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1517D" w14:textId="323C03AF" w:rsidR="00DC4F3D" w:rsidRPr="00CD13D5" w:rsidRDefault="36A5A24A" w:rsidP="001A69D6">
      <w:pPr>
        <w:pStyle w:val="Title"/>
        <w:rPr>
          <w:rFonts w:eastAsia="Arial" w:cs="Arial"/>
          <w:sz w:val="32"/>
          <w:szCs w:val="32"/>
        </w:rPr>
      </w:pPr>
      <w:r w:rsidRPr="00CD13D5">
        <w:rPr>
          <w:sz w:val="32"/>
          <w:szCs w:val="32"/>
        </w:rPr>
        <w:t>INDEPENDENT SCIENTIFIC ADVISORY COMMITTEE (ISAC</w:t>
      </w:r>
      <w:r w:rsidRPr="00CD13D5">
        <w:rPr>
          <w:rFonts w:eastAsia="Arial" w:cs="Arial"/>
          <w:sz w:val="32"/>
          <w:szCs w:val="32"/>
        </w:rPr>
        <w:t xml:space="preserve">) </w:t>
      </w:r>
      <w:r w:rsidR="00C03B80">
        <w:rPr>
          <w:rFonts w:eastAsia="Arial" w:cs="Arial"/>
          <w:sz w:val="32"/>
          <w:szCs w:val="32"/>
        </w:rPr>
        <w:t>PROTOCOL APPLICATION FORM</w:t>
      </w:r>
    </w:p>
    <w:p w14:paraId="525B5AF6" w14:textId="77777777" w:rsidR="00DC4F3D" w:rsidRPr="00CD13D5" w:rsidRDefault="00DC4F3D" w:rsidP="001A69D6">
      <w:pPr>
        <w:pStyle w:val="Title"/>
        <w:rPr>
          <w:rFonts w:cs="Arial"/>
          <w:sz w:val="32"/>
          <w:szCs w:val="32"/>
        </w:rPr>
      </w:pPr>
    </w:p>
    <w:p w14:paraId="10E42F56" w14:textId="48956A52" w:rsidR="00672602" w:rsidRPr="00CD13D5" w:rsidRDefault="00DC4F3D" w:rsidP="001A69D6">
      <w:pPr>
        <w:pStyle w:val="Title"/>
        <w:rPr>
          <w:rFonts w:cs="Arial"/>
          <w:sz w:val="32"/>
          <w:szCs w:val="32"/>
        </w:rPr>
      </w:pPr>
      <w:r w:rsidRPr="00CD13D5">
        <w:rPr>
          <w:rFonts w:cs="Arial"/>
          <w:sz w:val="32"/>
          <w:szCs w:val="32"/>
        </w:rPr>
        <w:t xml:space="preserve">PART 1: </w:t>
      </w:r>
      <w:r w:rsidR="00672602" w:rsidRPr="00CD13D5">
        <w:rPr>
          <w:rFonts w:cs="Arial"/>
          <w:sz w:val="32"/>
          <w:szCs w:val="32"/>
        </w:rPr>
        <w:t>APPLICATION FORM</w:t>
      </w:r>
    </w:p>
    <w:p w14:paraId="1CF8C239" w14:textId="77777777" w:rsidR="00672602" w:rsidRPr="00CD13D5" w:rsidRDefault="00672602" w:rsidP="001A69D6"/>
    <w:p w14:paraId="0E3FBF3B" w14:textId="77777777" w:rsidR="00672602" w:rsidRPr="00CD13D5" w:rsidRDefault="00672602" w:rsidP="001A69D6">
      <w:pPr>
        <w:jc w:val="center"/>
        <w:rPr>
          <w:rFonts w:cs="Arial"/>
          <w:b/>
          <w:i/>
          <w:szCs w:val="20"/>
          <w:u w:val="single"/>
        </w:rPr>
      </w:pPr>
      <w:r w:rsidRPr="00CD13D5">
        <w:rPr>
          <w:rFonts w:cs="Arial"/>
          <w:b/>
          <w:i/>
          <w:szCs w:val="20"/>
          <w:u w:val="single"/>
        </w:rPr>
        <w:t>IMPORTANT</w:t>
      </w:r>
    </w:p>
    <w:p w14:paraId="3E97E897" w14:textId="3E7ED679" w:rsidR="00672602" w:rsidRPr="00CD13D5" w:rsidRDefault="0038205B" w:rsidP="001A69D6">
      <w:pPr>
        <w:jc w:val="center"/>
        <w:rPr>
          <w:b/>
        </w:rPr>
      </w:pPr>
      <w:r w:rsidRPr="00CD13D5">
        <w:rPr>
          <w:b/>
        </w:rPr>
        <w:t>Both parts of this application</w:t>
      </w:r>
      <w:r w:rsidR="00090B54" w:rsidRPr="00CD13D5">
        <w:rPr>
          <w:b/>
        </w:rPr>
        <w:t xml:space="preserve"> must be completed in accordance with</w:t>
      </w:r>
      <w:r w:rsidR="00672602" w:rsidRPr="00CD13D5">
        <w:rPr>
          <w:b/>
        </w:rPr>
        <w:t xml:space="preserve"> the guidance note ‘Completion of the ISAC</w:t>
      </w:r>
      <w:r w:rsidR="00377586">
        <w:rPr>
          <w:b/>
        </w:rPr>
        <w:t xml:space="preserve"> Protocol</w:t>
      </w:r>
      <w:r w:rsidR="00672602" w:rsidRPr="00CD13D5">
        <w:rPr>
          <w:b/>
        </w:rPr>
        <w:t xml:space="preserve"> Application Form’</w:t>
      </w:r>
      <w:r w:rsidR="00A81754" w:rsidRPr="00CD13D5">
        <w:rPr>
          <w:b/>
        </w:rPr>
        <w:t>, which can be</w:t>
      </w:r>
      <w:r w:rsidR="00672602" w:rsidRPr="00CD13D5">
        <w:rPr>
          <w:b/>
        </w:rPr>
        <w:t xml:space="preserve"> found on the CPRD website (</w:t>
      </w:r>
      <w:hyperlink r:id="rId11" w:history="1">
        <w:r w:rsidR="008C0478" w:rsidRPr="00EB50C0">
          <w:rPr>
            <w:rStyle w:val="Hyperlink"/>
            <w:b/>
          </w:rPr>
          <w:t>https://cprd.com/research-applications</w:t>
        </w:r>
      </w:hyperlink>
      <w:r w:rsidR="00672602" w:rsidRPr="00CD13D5">
        <w:rPr>
          <w:b/>
        </w:rPr>
        <w:t xml:space="preserve">). </w:t>
      </w:r>
      <w:r w:rsidR="00672602" w:rsidRPr="00CD13D5">
        <w:rPr>
          <w:b/>
          <w:sz w:val="24"/>
        </w:rPr>
        <w:br/>
      </w:r>
    </w:p>
    <w:tbl>
      <w:tblPr>
        <w:tblW w:w="100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560"/>
      </w:tblGrid>
      <w:tr w:rsidR="00672602" w:rsidRPr="00CD13D5" w14:paraId="59E3AAC1" w14:textId="77777777" w:rsidTr="00B01179">
        <w:trPr>
          <w:trHeight w:hRule="exact" w:val="567"/>
          <w:jc w:val="center"/>
        </w:trPr>
        <w:tc>
          <w:tcPr>
            <w:tcW w:w="10099" w:type="dxa"/>
            <w:gridSpan w:val="2"/>
            <w:shd w:val="clear" w:color="auto" w:fill="B4C6E7" w:themeFill="accent1" w:themeFillTint="66"/>
            <w:vAlign w:val="center"/>
          </w:tcPr>
          <w:p w14:paraId="1E12FF95" w14:textId="6217D62E" w:rsidR="00672602" w:rsidRPr="00CD13D5" w:rsidRDefault="00DC43CD" w:rsidP="001A69D6">
            <w:pPr>
              <w:pStyle w:val="NoSpacing"/>
            </w:pPr>
            <w:r w:rsidRPr="00CD13D5">
              <w:rPr>
                <w:color w:val="auto"/>
              </w:rPr>
              <w:t>FOR ISAC USE ONLY</w:t>
            </w:r>
          </w:p>
        </w:tc>
      </w:tr>
      <w:tr w:rsidR="0080142B" w:rsidRPr="00CD13D5" w14:paraId="52F8A2FA" w14:textId="77777777" w:rsidTr="00B01179">
        <w:trPr>
          <w:trHeight w:val="480"/>
          <w:jc w:val="center"/>
        </w:trPr>
        <w:tc>
          <w:tcPr>
            <w:tcW w:w="3539" w:type="dxa"/>
            <w:vAlign w:val="center"/>
          </w:tcPr>
          <w:p w14:paraId="1304F06E" w14:textId="77777777" w:rsidR="0080142B" w:rsidRPr="00CD13D5" w:rsidRDefault="0080142B" w:rsidP="001A69D6">
            <w:pPr>
              <w:rPr>
                <w:rFonts w:cs="Arial"/>
                <w:szCs w:val="20"/>
              </w:rPr>
            </w:pPr>
            <w:r w:rsidRPr="00CD13D5">
              <w:rPr>
                <w:rFonts w:cs="Arial"/>
                <w:b/>
                <w:szCs w:val="20"/>
              </w:rPr>
              <w:t xml:space="preserve">Protocol No. - </w:t>
            </w:r>
          </w:p>
        </w:tc>
        <w:tc>
          <w:tcPr>
            <w:tcW w:w="6560" w:type="dxa"/>
            <w:vAlign w:val="center"/>
          </w:tcPr>
          <w:p w14:paraId="5D424908" w14:textId="36583288" w:rsidR="0080142B" w:rsidRPr="00854786" w:rsidRDefault="0080142B" w:rsidP="001A69D6">
            <w:pPr>
              <w:rPr>
                <w:rFonts w:cs="Arial"/>
                <w:b/>
                <w:szCs w:val="20"/>
              </w:rPr>
            </w:pPr>
            <w:r w:rsidRPr="00854786">
              <w:rPr>
                <w:rFonts w:cs="Arial"/>
                <w:b/>
                <w:szCs w:val="20"/>
              </w:rPr>
              <w:t xml:space="preserve">Submission </w:t>
            </w:r>
            <w:r w:rsidR="00854786" w:rsidRPr="00854786">
              <w:rPr>
                <w:rFonts w:cs="Arial"/>
                <w:b/>
                <w:szCs w:val="20"/>
              </w:rPr>
              <w:t xml:space="preserve">date - </w:t>
            </w:r>
          </w:p>
        </w:tc>
      </w:tr>
    </w:tbl>
    <w:p w14:paraId="27914051" w14:textId="77777777" w:rsidR="00672602" w:rsidRPr="00CD13D5" w:rsidRDefault="00672602" w:rsidP="001A69D6">
      <w:pPr>
        <w:spacing w:line="120" w:lineRule="exact"/>
        <w:rPr>
          <w:rFonts w:cs="Arial"/>
          <w:szCs w:val="20"/>
        </w:rPr>
      </w:pPr>
    </w:p>
    <w:p w14:paraId="0A5D21B2" w14:textId="77777777" w:rsidR="00672602" w:rsidRPr="00CD13D5" w:rsidRDefault="00672602" w:rsidP="001A69D6">
      <w:pPr>
        <w:spacing w:line="120" w:lineRule="exact"/>
        <w:rPr>
          <w:rFonts w:cs="Arial"/>
          <w:szCs w:val="20"/>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3"/>
      </w:tblGrid>
      <w:tr w:rsidR="00672602" w:rsidRPr="00CD13D5" w14:paraId="5335434F" w14:textId="77777777" w:rsidTr="00B01179">
        <w:trPr>
          <w:trHeight w:hRule="exact" w:val="567"/>
          <w:jc w:val="center"/>
        </w:trPr>
        <w:tc>
          <w:tcPr>
            <w:tcW w:w="10063" w:type="dxa"/>
            <w:shd w:val="clear" w:color="auto" w:fill="B4C6E7" w:themeFill="accent1" w:themeFillTint="66"/>
            <w:vAlign w:val="center"/>
          </w:tcPr>
          <w:p w14:paraId="53C8A380" w14:textId="1D57ACC1" w:rsidR="00672602" w:rsidRPr="00CD13D5" w:rsidRDefault="00672602" w:rsidP="001A69D6">
            <w:pPr>
              <w:pStyle w:val="NoSpacing"/>
            </w:pPr>
            <w:r w:rsidRPr="00CD13D5">
              <w:rPr>
                <w:rFonts w:eastAsia="MS Mincho"/>
                <w:color w:val="auto"/>
                <w:lang w:eastAsia="en-US"/>
              </w:rPr>
              <w:t>GENERAL INFORMATION ABOUT THE PROPOSED RESEARCH STUDY</w:t>
            </w:r>
          </w:p>
        </w:tc>
      </w:tr>
      <w:tr w:rsidR="00672602" w:rsidRPr="00CD13D5" w14:paraId="18F59C49" w14:textId="77777777" w:rsidTr="001A69D6">
        <w:trPr>
          <w:trHeight w:val="407"/>
          <w:jc w:val="center"/>
        </w:trPr>
        <w:tc>
          <w:tcPr>
            <w:tcW w:w="10063" w:type="dxa"/>
            <w:tcBorders>
              <w:bottom w:val="single" w:sz="4" w:space="0" w:color="auto"/>
            </w:tcBorders>
            <w:shd w:val="clear" w:color="auto" w:fill="auto"/>
          </w:tcPr>
          <w:p w14:paraId="3D64176C" w14:textId="19BF0FE2" w:rsidR="00672602" w:rsidRPr="00CD13D5" w:rsidRDefault="00672602" w:rsidP="001A69D6">
            <w:pPr>
              <w:pStyle w:val="Heading2"/>
              <w:numPr>
                <w:ilvl w:val="0"/>
                <w:numId w:val="6"/>
              </w:numPr>
              <w:rPr>
                <w:i/>
              </w:rPr>
            </w:pPr>
            <w:r w:rsidRPr="00CD13D5">
              <w:t>Study Title</w:t>
            </w:r>
            <w:r w:rsidR="00E709A7">
              <w:t xml:space="preserve"> (Max. 255 characters</w:t>
            </w:r>
            <w:r w:rsidR="003C5B8E">
              <w:t xml:space="preserve"> including spaces</w:t>
            </w:r>
            <w:r w:rsidR="00E709A7">
              <w:t>)</w:t>
            </w:r>
          </w:p>
          <w:p w14:paraId="6F89527F" w14:textId="77777777" w:rsidR="00672602" w:rsidRDefault="00DE1C82" w:rsidP="001A69D6">
            <w:pPr>
              <w:rPr>
                <w:rFonts w:cs="Arial"/>
                <w:szCs w:val="20"/>
              </w:rPr>
            </w:pPr>
            <w:r w:rsidRPr="00DE1C82">
              <w:rPr>
                <w:rFonts w:cs="Arial"/>
                <w:szCs w:val="20"/>
              </w:rPr>
              <w:t xml:space="preserve">Indirect acute effects of the COVID-19 pandemic on physical and </w:t>
            </w:r>
            <w:r>
              <w:rPr>
                <w:rFonts w:cs="Arial"/>
                <w:szCs w:val="20"/>
              </w:rPr>
              <w:t>mental</w:t>
            </w:r>
            <w:r w:rsidRPr="00DE1C82">
              <w:rPr>
                <w:rFonts w:cs="Arial"/>
                <w:szCs w:val="20"/>
              </w:rPr>
              <w:t xml:space="preserve"> </w:t>
            </w:r>
            <w:r>
              <w:rPr>
                <w:rFonts w:cs="Arial"/>
                <w:szCs w:val="20"/>
              </w:rPr>
              <w:t>health</w:t>
            </w:r>
          </w:p>
          <w:p w14:paraId="07350B0D" w14:textId="0379B7B5" w:rsidR="00DE1C82" w:rsidRPr="00CD13D5" w:rsidRDefault="00DE1C82" w:rsidP="001A69D6">
            <w:pPr>
              <w:rPr>
                <w:rFonts w:cs="Arial"/>
                <w:szCs w:val="20"/>
              </w:rPr>
            </w:pPr>
          </w:p>
        </w:tc>
      </w:tr>
      <w:tr w:rsidR="00672602" w:rsidRPr="00CD13D5" w14:paraId="46FBAFEE" w14:textId="77777777" w:rsidTr="00B01179">
        <w:trPr>
          <w:trHeight w:val="306"/>
          <w:jc w:val="center"/>
        </w:trPr>
        <w:tc>
          <w:tcPr>
            <w:tcW w:w="10063" w:type="dxa"/>
            <w:tcBorders>
              <w:bottom w:val="nil"/>
            </w:tcBorders>
          </w:tcPr>
          <w:p w14:paraId="0E4B7AC8" w14:textId="77777777" w:rsidR="00672602" w:rsidRDefault="00672602" w:rsidP="001A69D6">
            <w:pPr>
              <w:pStyle w:val="Heading2"/>
              <w:numPr>
                <w:ilvl w:val="0"/>
                <w:numId w:val="6"/>
              </w:numPr>
              <w:rPr>
                <w:b w:val="0"/>
              </w:rPr>
            </w:pPr>
            <w:r w:rsidRPr="00CD13D5">
              <w:rPr>
                <w:rStyle w:val="Heading2Char"/>
                <w:b/>
              </w:rPr>
              <w:t>Research Area</w:t>
            </w:r>
            <w:r w:rsidRPr="00CD13D5">
              <w:rPr>
                <w:b w:val="0"/>
              </w:rPr>
              <w:t xml:space="preserve"> (</w:t>
            </w:r>
            <w:r w:rsidR="00B62A1A" w:rsidRPr="00CD13D5">
              <w:rPr>
                <w:b w:val="0"/>
              </w:rPr>
              <w:t>place</w:t>
            </w:r>
            <w:r w:rsidRPr="00CD13D5">
              <w:rPr>
                <w:b w:val="0"/>
              </w:rPr>
              <w:t xml:space="preserve"> ‘</w:t>
            </w:r>
            <w:r w:rsidRPr="00CD13D5">
              <w:t>X</w:t>
            </w:r>
            <w:r w:rsidRPr="00CD13D5">
              <w:rPr>
                <w:b w:val="0"/>
              </w:rPr>
              <w:t xml:space="preserve">’ </w:t>
            </w:r>
            <w:r w:rsidR="00B62A1A" w:rsidRPr="00CD13D5">
              <w:rPr>
                <w:b w:val="0"/>
              </w:rPr>
              <w:t xml:space="preserve">in </w:t>
            </w:r>
            <w:r w:rsidRPr="00CD13D5">
              <w:rPr>
                <w:b w:val="0"/>
              </w:rPr>
              <w:t xml:space="preserve">all boxes </w:t>
            </w:r>
            <w:r w:rsidR="00B62A1A" w:rsidRPr="00CD13D5">
              <w:rPr>
                <w:b w:val="0"/>
              </w:rPr>
              <w:t>that</w:t>
            </w:r>
            <w:r w:rsidRPr="00CD13D5">
              <w:rPr>
                <w:b w:val="0"/>
              </w:rPr>
              <w:t xml:space="preserve"> apply)</w:t>
            </w:r>
          </w:p>
          <w:p w14:paraId="21795697" w14:textId="094A9BE6" w:rsidR="00C639AA" w:rsidRPr="00C639AA" w:rsidRDefault="00C639AA" w:rsidP="001A69D6"/>
        </w:tc>
      </w:tr>
      <w:tr w:rsidR="00672602" w:rsidRPr="00CD13D5" w14:paraId="764EFDEE" w14:textId="77777777" w:rsidTr="00B01179">
        <w:trPr>
          <w:trHeight w:val="1570"/>
          <w:jc w:val="center"/>
        </w:trPr>
        <w:tc>
          <w:tcPr>
            <w:tcW w:w="10063" w:type="dxa"/>
            <w:tcBorders>
              <w:top w:val="nil"/>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1"/>
              <w:gridCol w:w="625"/>
              <w:gridCol w:w="4337"/>
              <w:gridCol w:w="579"/>
            </w:tblGrid>
            <w:tr w:rsidR="00672602" w:rsidRPr="00CD13D5" w14:paraId="144815E5" w14:textId="77777777" w:rsidTr="00D9289D">
              <w:tc>
                <w:tcPr>
                  <w:tcW w:w="4291" w:type="dxa"/>
                  <w:shd w:val="clear" w:color="auto" w:fill="auto"/>
                </w:tcPr>
                <w:p w14:paraId="40990578" w14:textId="77777777" w:rsidR="00672602" w:rsidRPr="00CD13D5" w:rsidRDefault="00672602" w:rsidP="001A69D6">
                  <w:pPr>
                    <w:rPr>
                      <w:rFonts w:cs="Arial"/>
                      <w:szCs w:val="20"/>
                    </w:rPr>
                  </w:pPr>
                  <w:r w:rsidRPr="00CD13D5">
                    <w:rPr>
                      <w:rFonts w:cs="Arial"/>
                      <w:szCs w:val="20"/>
                    </w:rPr>
                    <w:t>Drug Safety</w:t>
                  </w:r>
                </w:p>
              </w:tc>
              <w:tc>
                <w:tcPr>
                  <w:tcW w:w="625" w:type="dxa"/>
                  <w:shd w:val="clear" w:color="auto" w:fill="auto"/>
                </w:tcPr>
                <w:p w14:paraId="4973956C" w14:textId="77777777" w:rsidR="00672602" w:rsidRPr="00CD13D5" w:rsidRDefault="00672602" w:rsidP="001A69D6">
                  <w:pPr>
                    <w:rPr>
                      <w:rFonts w:cs="Arial"/>
                      <w:szCs w:val="20"/>
                    </w:rPr>
                  </w:pPr>
                </w:p>
              </w:tc>
              <w:tc>
                <w:tcPr>
                  <w:tcW w:w="4337" w:type="dxa"/>
                  <w:shd w:val="clear" w:color="auto" w:fill="auto"/>
                </w:tcPr>
                <w:p w14:paraId="72383F5A" w14:textId="77777777" w:rsidR="00672602" w:rsidRPr="00CD13D5" w:rsidRDefault="00672602" w:rsidP="001A69D6">
                  <w:pPr>
                    <w:rPr>
                      <w:rFonts w:cs="Arial"/>
                      <w:szCs w:val="20"/>
                    </w:rPr>
                  </w:pPr>
                  <w:r w:rsidRPr="00CD13D5">
                    <w:rPr>
                      <w:rFonts w:cs="Arial"/>
                      <w:szCs w:val="20"/>
                    </w:rPr>
                    <w:t>Economics</w:t>
                  </w:r>
                </w:p>
              </w:tc>
              <w:tc>
                <w:tcPr>
                  <w:tcW w:w="579" w:type="dxa"/>
                  <w:shd w:val="clear" w:color="auto" w:fill="auto"/>
                </w:tcPr>
                <w:p w14:paraId="72E347D8" w14:textId="77777777" w:rsidR="00672602" w:rsidRPr="00CD13D5" w:rsidRDefault="00672602" w:rsidP="001A69D6">
                  <w:pPr>
                    <w:rPr>
                      <w:rFonts w:cs="Arial"/>
                      <w:szCs w:val="20"/>
                    </w:rPr>
                  </w:pPr>
                </w:p>
              </w:tc>
            </w:tr>
            <w:tr w:rsidR="00672602" w:rsidRPr="00CD13D5" w14:paraId="7ED8B14E" w14:textId="77777777" w:rsidTr="00D9289D">
              <w:tc>
                <w:tcPr>
                  <w:tcW w:w="4291" w:type="dxa"/>
                  <w:shd w:val="clear" w:color="auto" w:fill="auto"/>
                </w:tcPr>
                <w:p w14:paraId="2C7C9F60" w14:textId="77777777" w:rsidR="00672602" w:rsidRPr="00CD13D5" w:rsidRDefault="00672602" w:rsidP="001A69D6">
                  <w:pPr>
                    <w:rPr>
                      <w:rFonts w:cs="Arial"/>
                      <w:szCs w:val="20"/>
                    </w:rPr>
                  </w:pPr>
                  <w:r w:rsidRPr="00CD13D5">
                    <w:rPr>
                      <w:rFonts w:cs="Arial"/>
                      <w:szCs w:val="20"/>
                    </w:rPr>
                    <w:t>Drug Utilisation</w:t>
                  </w:r>
                </w:p>
              </w:tc>
              <w:tc>
                <w:tcPr>
                  <w:tcW w:w="625" w:type="dxa"/>
                  <w:shd w:val="clear" w:color="auto" w:fill="auto"/>
                </w:tcPr>
                <w:p w14:paraId="43FAEDA8" w14:textId="77777777" w:rsidR="00672602" w:rsidRPr="00CD13D5" w:rsidRDefault="00672602" w:rsidP="001A69D6">
                  <w:pPr>
                    <w:rPr>
                      <w:rFonts w:cs="Arial"/>
                      <w:szCs w:val="20"/>
                    </w:rPr>
                  </w:pPr>
                </w:p>
              </w:tc>
              <w:tc>
                <w:tcPr>
                  <w:tcW w:w="4337" w:type="dxa"/>
                  <w:shd w:val="clear" w:color="auto" w:fill="auto"/>
                </w:tcPr>
                <w:p w14:paraId="0C7C2053" w14:textId="77777777" w:rsidR="00672602" w:rsidRPr="00CD13D5" w:rsidRDefault="00672602" w:rsidP="001A69D6">
                  <w:pPr>
                    <w:rPr>
                      <w:rFonts w:cs="Arial"/>
                      <w:szCs w:val="20"/>
                    </w:rPr>
                  </w:pPr>
                  <w:r w:rsidRPr="00CD13D5">
                    <w:rPr>
                      <w:rFonts w:cs="Arial"/>
                      <w:szCs w:val="20"/>
                    </w:rPr>
                    <w:t>Pharmacoeconomics</w:t>
                  </w:r>
                </w:p>
              </w:tc>
              <w:tc>
                <w:tcPr>
                  <w:tcW w:w="579" w:type="dxa"/>
                  <w:shd w:val="clear" w:color="auto" w:fill="auto"/>
                </w:tcPr>
                <w:p w14:paraId="10F0BEE9" w14:textId="77777777" w:rsidR="00672602" w:rsidRPr="00CD13D5" w:rsidRDefault="00672602" w:rsidP="001A69D6">
                  <w:pPr>
                    <w:rPr>
                      <w:rFonts w:cs="Arial"/>
                      <w:szCs w:val="20"/>
                    </w:rPr>
                  </w:pPr>
                </w:p>
              </w:tc>
            </w:tr>
            <w:tr w:rsidR="00672602" w:rsidRPr="00CD13D5" w14:paraId="1D6B49A5" w14:textId="77777777" w:rsidTr="00D9289D">
              <w:tc>
                <w:tcPr>
                  <w:tcW w:w="4291" w:type="dxa"/>
                  <w:shd w:val="clear" w:color="auto" w:fill="auto"/>
                </w:tcPr>
                <w:p w14:paraId="5A16F42C" w14:textId="77777777" w:rsidR="00672602" w:rsidRPr="00CD13D5" w:rsidRDefault="00672602" w:rsidP="001A69D6">
                  <w:pPr>
                    <w:rPr>
                      <w:rFonts w:cs="Arial"/>
                      <w:szCs w:val="20"/>
                    </w:rPr>
                  </w:pPr>
                  <w:r w:rsidRPr="00CD13D5">
                    <w:rPr>
                      <w:rFonts w:cs="Arial"/>
                      <w:szCs w:val="20"/>
                    </w:rPr>
                    <w:t>Drug Effectiveness</w:t>
                  </w:r>
                </w:p>
              </w:tc>
              <w:tc>
                <w:tcPr>
                  <w:tcW w:w="625" w:type="dxa"/>
                  <w:shd w:val="clear" w:color="auto" w:fill="auto"/>
                </w:tcPr>
                <w:p w14:paraId="3DA2191F" w14:textId="77777777" w:rsidR="00672602" w:rsidRPr="00CD13D5" w:rsidRDefault="00672602" w:rsidP="001A69D6">
                  <w:pPr>
                    <w:rPr>
                      <w:rFonts w:cs="Arial"/>
                      <w:szCs w:val="20"/>
                    </w:rPr>
                  </w:pPr>
                </w:p>
              </w:tc>
              <w:tc>
                <w:tcPr>
                  <w:tcW w:w="4337" w:type="dxa"/>
                  <w:shd w:val="clear" w:color="auto" w:fill="auto"/>
                </w:tcPr>
                <w:p w14:paraId="0EAA8BA3" w14:textId="77777777" w:rsidR="00672602" w:rsidRPr="00CD13D5" w:rsidRDefault="00672602" w:rsidP="001A69D6">
                  <w:pPr>
                    <w:rPr>
                      <w:rFonts w:cs="Arial"/>
                      <w:szCs w:val="20"/>
                    </w:rPr>
                  </w:pPr>
                  <w:r w:rsidRPr="00CD13D5">
                    <w:rPr>
                      <w:rFonts w:cs="Arial"/>
                      <w:szCs w:val="20"/>
                    </w:rPr>
                    <w:t>Pharmacoepidemiology</w:t>
                  </w:r>
                </w:p>
              </w:tc>
              <w:tc>
                <w:tcPr>
                  <w:tcW w:w="579" w:type="dxa"/>
                  <w:shd w:val="clear" w:color="auto" w:fill="auto"/>
                </w:tcPr>
                <w:p w14:paraId="3FBBA9BB" w14:textId="77777777" w:rsidR="00672602" w:rsidRPr="00CD13D5" w:rsidRDefault="00672602" w:rsidP="001A69D6">
                  <w:pPr>
                    <w:rPr>
                      <w:rFonts w:cs="Arial"/>
                      <w:szCs w:val="20"/>
                    </w:rPr>
                  </w:pPr>
                </w:p>
              </w:tc>
            </w:tr>
            <w:tr w:rsidR="00672602" w:rsidRPr="00CD13D5" w14:paraId="46B7053A" w14:textId="77777777" w:rsidTr="00D9289D">
              <w:tc>
                <w:tcPr>
                  <w:tcW w:w="4291" w:type="dxa"/>
                  <w:shd w:val="clear" w:color="auto" w:fill="auto"/>
                </w:tcPr>
                <w:p w14:paraId="37F50932" w14:textId="77777777" w:rsidR="00672602" w:rsidRPr="00CD13D5" w:rsidRDefault="00672602" w:rsidP="001A69D6">
                  <w:pPr>
                    <w:rPr>
                      <w:rFonts w:cs="Arial"/>
                      <w:szCs w:val="20"/>
                    </w:rPr>
                  </w:pPr>
                  <w:r w:rsidRPr="00CD13D5">
                    <w:rPr>
                      <w:rFonts w:cs="Arial"/>
                      <w:szCs w:val="20"/>
                    </w:rPr>
                    <w:t>Disease Epidemiology</w:t>
                  </w:r>
                </w:p>
              </w:tc>
              <w:tc>
                <w:tcPr>
                  <w:tcW w:w="625" w:type="dxa"/>
                  <w:shd w:val="clear" w:color="auto" w:fill="auto"/>
                </w:tcPr>
                <w:p w14:paraId="4E6E9D3A" w14:textId="3CB0A0D2" w:rsidR="00672602" w:rsidRPr="00CD13D5" w:rsidRDefault="009779A7" w:rsidP="001A69D6">
                  <w:pPr>
                    <w:rPr>
                      <w:rFonts w:cs="Arial"/>
                      <w:szCs w:val="20"/>
                    </w:rPr>
                  </w:pPr>
                  <w:r>
                    <w:rPr>
                      <w:rFonts w:cs="Arial"/>
                      <w:szCs w:val="20"/>
                    </w:rPr>
                    <w:t>X</w:t>
                  </w:r>
                </w:p>
              </w:tc>
              <w:tc>
                <w:tcPr>
                  <w:tcW w:w="4337" w:type="dxa"/>
                  <w:tcBorders>
                    <w:bottom w:val="single" w:sz="4" w:space="0" w:color="auto"/>
                  </w:tcBorders>
                  <w:shd w:val="clear" w:color="auto" w:fill="auto"/>
                </w:tcPr>
                <w:p w14:paraId="0492A0A7" w14:textId="77777777" w:rsidR="00672602" w:rsidRPr="00CD13D5" w:rsidRDefault="00672602" w:rsidP="001A69D6">
                  <w:pPr>
                    <w:rPr>
                      <w:rFonts w:cs="Arial"/>
                      <w:szCs w:val="20"/>
                    </w:rPr>
                  </w:pPr>
                  <w:r w:rsidRPr="00CD13D5">
                    <w:rPr>
                      <w:rFonts w:cs="Arial"/>
                      <w:szCs w:val="20"/>
                    </w:rPr>
                    <w:t>Methodological</w:t>
                  </w:r>
                </w:p>
              </w:tc>
              <w:tc>
                <w:tcPr>
                  <w:tcW w:w="579" w:type="dxa"/>
                  <w:tcBorders>
                    <w:bottom w:val="single" w:sz="4" w:space="0" w:color="auto"/>
                  </w:tcBorders>
                  <w:shd w:val="clear" w:color="auto" w:fill="auto"/>
                </w:tcPr>
                <w:p w14:paraId="0829CD56" w14:textId="77777777" w:rsidR="00672602" w:rsidRPr="00CD13D5" w:rsidRDefault="00672602" w:rsidP="001A69D6">
                  <w:pPr>
                    <w:rPr>
                      <w:rFonts w:cs="Arial"/>
                      <w:szCs w:val="20"/>
                    </w:rPr>
                  </w:pPr>
                </w:p>
              </w:tc>
            </w:tr>
            <w:tr w:rsidR="00672602" w:rsidRPr="00CD13D5" w14:paraId="01CA7558" w14:textId="77777777" w:rsidTr="00D9289D">
              <w:tc>
                <w:tcPr>
                  <w:tcW w:w="4291" w:type="dxa"/>
                  <w:shd w:val="clear" w:color="auto" w:fill="auto"/>
                </w:tcPr>
                <w:p w14:paraId="7650699E" w14:textId="77777777" w:rsidR="00672602" w:rsidRPr="00CD13D5" w:rsidRDefault="00672602" w:rsidP="001A69D6">
                  <w:pPr>
                    <w:rPr>
                      <w:rFonts w:cs="Arial"/>
                      <w:szCs w:val="20"/>
                    </w:rPr>
                  </w:pPr>
                  <w:r w:rsidRPr="00CD13D5">
                    <w:rPr>
                      <w:rFonts w:cs="Arial"/>
                      <w:szCs w:val="20"/>
                    </w:rPr>
                    <w:t>Health Services Delivery</w:t>
                  </w:r>
                </w:p>
              </w:tc>
              <w:tc>
                <w:tcPr>
                  <w:tcW w:w="625" w:type="dxa"/>
                  <w:shd w:val="clear" w:color="auto" w:fill="auto"/>
                </w:tcPr>
                <w:p w14:paraId="05F0D3A7" w14:textId="77777777" w:rsidR="00672602" w:rsidRPr="00CD13D5" w:rsidRDefault="00672602" w:rsidP="001A69D6">
                  <w:pPr>
                    <w:rPr>
                      <w:rFonts w:cs="Arial"/>
                      <w:szCs w:val="20"/>
                    </w:rPr>
                  </w:pPr>
                </w:p>
              </w:tc>
              <w:tc>
                <w:tcPr>
                  <w:tcW w:w="4337" w:type="dxa"/>
                  <w:tcBorders>
                    <w:bottom w:val="nil"/>
                    <w:right w:val="nil"/>
                  </w:tcBorders>
                  <w:shd w:val="clear" w:color="auto" w:fill="auto"/>
                </w:tcPr>
                <w:p w14:paraId="02F46DE3" w14:textId="77777777" w:rsidR="00672602" w:rsidRPr="00CD13D5" w:rsidRDefault="00672602" w:rsidP="001A69D6">
                  <w:pPr>
                    <w:rPr>
                      <w:rFonts w:cs="Arial"/>
                      <w:szCs w:val="20"/>
                    </w:rPr>
                  </w:pPr>
                </w:p>
              </w:tc>
              <w:tc>
                <w:tcPr>
                  <w:tcW w:w="579" w:type="dxa"/>
                  <w:tcBorders>
                    <w:left w:val="nil"/>
                    <w:bottom w:val="nil"/>
                    <w:right w:val="nil"/>
                  </w:tcBorders>
                  <w:shd w:val="clear" w:color="auto" w:fill="auto"/>
                </w:tcPr>
                <w:p w14:paraId="76284420" w14:textId="77777777" w:rsidR="00672602" w:rsidRPr="00CD13D5" w:rsidRDefault="00672602" w:rsidP="001A69D6">
                  <w:pPr>
                    <w:rPr>
                      <w:rFonts w:cs="Arial"/>
                      <w:szCs w:val="20"/>
                    </w:rPr>
                  </w:pPr>
                </w:p>
              </w:tc>
            </w:tr>
          </w:tbl>
          <w:p w14:paraId="4F0462CC" w14:textId="77777777" w:rsidR="00672602" w:rsidRPr="00CD13D5" w:rsidRDefault="00672602" w:rsidP="001A69D6">
            <w:pPr>
              <w:rPr>
                <w:rFonts w:cs="Arial"/>
                <w:szCs w:val="20"/>
              </w:rPr>
            </w:pPr>
          </w:p>
        </w:tc>
      </w:tr>
      <w:tr w:rsidR="00672602" w:rsidRPr="00CD13D5" w14:paraId="0195FB3E" w14:textId="77777777" w:rsidTr="00B01179">
        <w:trPr>
          <w:trHeight w:val="419"/>
          <w:jc w:val="center"/>
        </w:trPr>
        <w:tc>
          <w:tcPr>
            <w:tcW w:w="10063" w:type="dxa"/>
          </w:tcPr>
          <w:p w14:paraId="4F7091CA" w14:textId="4A51E292" w:rsidR="00672602" w:rsidRDefault="00672602" w:rsidP="001A69D6">
            <w:pPr>
              <w:pStyle w:val="Heading2"/>
              <w:numPr>
                <w:ilvl w:val="0"/>
                <w:numId w:val="6"/>
              </w:numPr>
            </w:pPr>
            <w:r w:rsidRPr="00CD13D5">
              <w:t>Chief Investigator</w:t>
            </w:r>
          </w:p>
          <w:p w14:paraId="426DCC7C" w14:textId="77777777" w:rsidR="00C639AA" w:rsidRPr="00C639AA" w:rsidRDefault="00C639AA" w:rsidP="001A69D6"/>
          <w:tbl>
            <w:tblPr>
              <w:tblStyle w:val="TableGrid"/>
              <w:tblW w:w="15392" w:type="dxa"/>
              <w:tblLayout w:type="fixed"/>
              <w:tblLook w:val="04A0" w:firstRow="1" w:lastRow="0" w:firstColumn="1" w:lastColumn="0" w:noHBand="0" w:noVBand="1"/>
            </w:tblPr>
            <w:tblGrid>
              <w:gridCol w:w="4282"/>
              <w:gridCol w:w="5555"/>
              <w:gridCol w:w="5555"/>
            </w:tblGrid>
            <w:tr w:rsidR="009779A7" w:rsidRPr="00CD13D5" w14:paraId="6EE3D031" w14:textId="77777777" w:rsidTr="009779A7">
              <w:tc>
                <w:tcPr>
                  <w:tcW w:w="4282" w:type="dxa"/>
                </w:tcPr>
                <w:p w14:paraId="1E610981" w14:textId="77777777" w:rsidR="009779A7" w:rsidRPr="00CD13D5" w:rsidRDefault="009779A7" w:rsidP="001A69D6">
                  <w:pPr>
                    <w:rPr>
                      <w:rFonts w:cs="Arial"/>
                      <w:szCs w:val="20"/>
                    </w:rPr>
                  </w:pPr>
                  <w:r w:rsidRPr="00CD13D5">
                    <w:rPr>
                      <w:rFonts w:cs="Arial"/>
                      <w:szCs w:val="20"/>
                    </w:rPr>
                    <w:t>Title:</w:t>
                  </w:r>
                </w:p>
              </w:tc>
              <w:tc>
                <w:tcPr>
                  <w:tcW w:w="5555" w:type="dxa"/>
                </w:tcPr>
                <w:p w14:paraId="2D7607A8" w14:textId="098D2B3C" w:rsidR="009779A7" w:rsidRPr="00CD13D5" w:rsidRDefault="009779A7" w:rsidP="001A69D6">
                  <w:pPr>
                    <w:rPr>
                      <w:rFonts w:cs="Arial"/>
                      <w:szCs w:val="20"/>
                    </w:rPr>
                  </w:pPr>
                  <w:r w:rsidRPr="0042258C">
                    <w:rPr>
                      <w:rFonts w:cs="Arial"/>
                      <w:szCs w:val="20"/>
                    </w:rPr>
                    <w:t xml:space="preserve">Prof </w:t>
                  </w:r>
                </w:p>
              </w:tc>
              <w:tc>
                <w:tcPr>
                  <w:tcW w:w="5555" w:type="dxa"/>
                </w:tcPr>
                <w:p w14:paraId="0BB6623F" w14:textId="7726FAF2" w:rsidR="009779A7" w:rsidRPr="00CD13D5" w:rsidRDefault="009779A7" w:rsidP="001A69D6">
                  <w:pPr>
                    <w:rPr>
                      <w:rFonts w:cs="Arial"/>
                      <w:szCs w:val="20"/>
                    </w:rPr>
                  </w:pPr>
                </w:p>
              </w:tc>
            </w:tr>
            <w:tr w:rsidR="009779A7" w:rsidRPr="00CD13D5" w14:paraId="40F22BAD" w14:textId="77777777" w:rsidTr="009779A7">
              <w:tc>
                <w:tcPr>
                  <w:tcW w:w="4282" w:type="dxa"/>
                </w:tcPr>
                <w:p w14:paraId="34B6E8AE" w14:textId="77777777" w:rsidR="009779A7" w:rsidRPr="00CD13D5" w:rsidRDefault="009779A7" w:rsidP="001A69D6">
                  <w:pPr>
                    <w:rPr>
                      <w:rFonts w:cs="Arial"/>
                      <w:szCs w:val="20"/>
                    </w:rPr>
                  </w:pPr>
                  <w:r w:rsidRPr="00CD13D5">
                    <w:rPr>
                      <w:rFonts w:cs="Arial"/>
                      <w:szCs w:val="20"/>
                    </w:rPr>
                    <w:t>Full name:</w:t>
                  </w:r>
                </w:p>
              </w:tc>
              <w:tc>
                <w:tcPr>
                  <w:tcW w:w="5555" w:type="dxa"/>
                </w:tcPr>
                <w:p w14:paraId="2931FB46" w14:textId="07C0597E" w:rsidR="009779A7" w:rsidRPr="00CD13D5" w:rsidRDefault="009779A7" w:rsidP="001A69D6">
                  <w:pPr>
                    <w:rPr>
                      <w:rFonts w:cs="Arial"/>
                      <w:szCs w:val="20"/>
                    </w:rPr>
                  </w:pPr>
                  <w:proofErr w:type="spellStart"/>
                  <w:r w:rsidRPr="0042258C">
                    <w:rPr>
                      <w:rFonts w:cs="Arial"/>
                      <w:szCs w:val="20"/>
                    </w:rPr>
                    <w:t>Sinéad</w:t>
                  </w:r>
                  <w:proofErr w:type="spellEnd"/>
                  <w:r w:rsidRPr="0042258C">
                    <w:rPr>
                      <w:rFonts w:cs="Arial"/>
                      <w:szCs w:val="20"/>
                    </w:rPr>
                    <w:t xml:space="preserve"> </w:t>
                  </w:r>
                  <w:proofErr w:type="spellStart"/>
                  <w:r w:rsidRPr="0042258C">
                    <w:rPr>
                      <w:rFonts w:cs="Arial"/>
                      <w:szCs w:val="20"/>
                    </w:rPr>
                    <w:t>Langan</w:t>
                  </w:r>
                  <w:proofErr w:type="spellEnd"/>
                </w:p>
              </w:tc>
              <w:tc>
                <w:tcPr>
                  <w:tcW w:w="5555" w:type="dxa"/>
                </w:tcPr>
                <w:p w14:paraId="68091EDE" w14:textId="241087AF" w:rsidR="009779A7" w:rsidRPr="00CD13D5" w:rsidRDefault="009779A7" w:rsidP="001A69D6">
                  <w:pPr>
                    <w:rPr>
                      <w:rFonts w:cs="Arial"/>
                      <w:szCs w:val="20"/>
                    </w:rPr>
                  </w:pPr>
                </w:p>
              </w:tc>
            </w:tr>
            <w:tr w:rsidR="009779A7" w:rsidRPr="00CD13D5" w14:paraId="7A57D416" w14:textId="77777777" w:rsidTr="009779A7">
              <w:tc>
                <w:tcPr>
                  <w:tcW w:w="4282" w:type="dxa"/>
                </w:tcPr>
                <w:p w14:paraId="25825D72" w14:textId="77777777" w:rsidR="009779A7" w:rsidRPr="00CD13D5" w:rsidRDefault="009779A7" w:rsidP="001A69D6">
                  <w:pPr>
                    <w:rPr>
                      <w:rFonts w:cs="Arial"/>
                      <w:szCs w:val="20"/>
                    </w:rPr>
                  </w:pPr>
                  <w:r w:rsidRPr="00CD13D5">
                    <w:rPr>
                      <w:rFonts w:cs="Arial"/>
                      <w:szCs w:val="20"/>
                    </w:rPr>
                    <w:t>Job title:</w:t>
                  </w:r>
                </w:p>
              </w:tc>
              <w:tc>
                <w:tcPr>
                  <w:tcW w:w="5555" w:type="dxa"/>
                </w:tcPr>
                <w:p w14:paraId="6AB8B161" w14:textId="7935EF31" w:rsidR="009779A7" w:rsidRPr="00CD13D5" w:rsidRDefault="009779A7" w:rsidP="001A69D6">
                  <w:pPr>
                    <w:rPr>
                      <w:rFonts w:cs="Arial"/>
                      <w:szCs w:val="20"/>
                    </w:rPr>
                  </w:pPr>
                  <w:r w:rsidRPr="0042258C">
                    <w:rPr>
                      <w:rFonts w:cs="Arial"/>
                      <w:szCs w:val="20"/>
                    </w:rPr>
                    <w:t>Professor of Clinical Epidemiology</w:t>
                  </w:r>
                </w:p>
              </w:tc>
              <w:tc>
                <w:tcPr>
                  <w:tcW w:w="5555" w:type="dxa"/>
                </w:tcPr>
                <w:p w14:paraId="1547B0D7" w14:textId="7D8176D4" w:rsidR="009779A7" w:rsidRPr="00CD13D5" w:rsidRDefault="009779A7" w:rsidP="001A69D6">
                  <w:pPr>
                    <w:rPr>
                      <w:rFonts w:cs="Arial"/>
                      <w:szCs w:val="20"/>
                    </w:rPr>
                  </w:pPr>
                </w:p>
              </w:tc>
            </w:tr>
            <w:tr w:rsidR="009779A7" w:rsidRPr="00CD13D5" w14:paraId="0B7658FB" w14:textId="77777777" w:rsidTr="009779A7">
              <w:tc>
                <w:tcPr>
                  <w:tcW w:w="4282" w:type="dxa"/>
                </w:tcPr>
                <w:p w14:paraId="167041BC" w14:textId="77777777" w:rsidR="009779A7" w:rsidRPr="00CD13D5" w:rsidRDefault="009779A7" w:rsidP="001A69D6">
                  <w:pPr>
                    <w:rPr>
                      <w:rFonts w:cs="Arial"/>
                      <w:szCs w:val="20"/>
                    </w:rPr>
                  </w:pPr>
                  <w:r w:rsidRPr="00CD13D5">
                    <w:rPr>
                      <w:rFonts w:cs="Arial"/>
                      <w:szCs w:val="20"/>
                    </w:rPr>
                    <w:t>Affiliation/organisation:</w:t>
                  </w:r>
                </w:p>
              </w:tc>
              <w:tc>
                <w:tcPr>
                  <w:tcW w:w="5555" w:type="dxa"/>
                </w:tcPr>
                <w:p w14:paraId="3A11392E" w14:textId="25262263" w:rsidR="009779A7" w:rsidRPr="00CD13D5" w:rsidRDefault="009779A7" w:rsidP="001A69D6">
                  <w:pPr>
                    <w:rPr>
                      <w:rFonts w:cs="Arial"/>
                      <w:szCs w:val="20"/>
                    </w:rPr>
                  </w:pPr>
                  <w:r w:rsidRPr="0042258C">
                    <w:rPr>
                      <w:rFonts w:cs="Arial"/>
                      <w:szCs w:val="20"/>
                    </w:rPr>
                    <w:t>London School of Hygiene and Tropical Medicine</w:t>
                  </w:r>
                </w:p>
              </w:tc>
              <w:tc>
                <w:tcPr>
                  <w:tcW w:w="5555" w:type="dxa"/>
                </w:tcPr>
                <w:p w14:paraId="6B9698F1" w14:textId="4A79B493" w:rsidR="009779A7" w:rsidRPr="00CD13D5" w:rsidRDefault="009779A7" w:rsidP="001A69D6">
                  <w:pPr>
                    <w:rPr>
                      <w:rFonts w:cs="Arial"/>
                      <w:szCs w:val="20"/>
                    </w:rPr>
                  </w:pPr>
                </w:p>
              </w:tc>
            </w:tr>
            <w:tr w:rsidR="009779A7" w:rsidRPr="00CD13D5" w14:paraId="26ECFCDF" w14:textId="77777777" w:rsidTr="009779A7">
              <w:tc>
                <w:tcPr>
                  <w:tcW w:w="4282" w:type="dxa"/>
                </w:tcPr>
                <w:p w14:paraId="5640395F" w14:textId="77777777" w:rsidR="009779A7" w:rsidRPr="00CD13D5" w:rsidRDefault="009779A7" w:rsidP="001A69D6">
                  <w:pPr>
                    <w:rPr>
                      <w:rFonts w:cs="Arial"/>
                      <w:szCs w:val="20"/>
                    </w:rPr>
                  </w:pPr>
                  <w:r w:rsidRPr="00CD13D5">
                    <w:rPr>
                      <w:rFonts w:cs="Arial"/>
                      <w:szCs w:val="20"/>
                    </w:rPr>
                    <w:t>Email address:</w:t>
                  </w:r>
                </w:p>
              </w:tc>
              <w:tc>
                <w:tcPr>
                  <w:tcW w:w="5555" w:type="dxa"/>
                </w:tcPr>
                <w:p w14:paraId="327C1828" w14:textId="430205E8" w:rsidR="009779A7" w:rsidRPr="00CD13D5" w:rsidRDefault="009779A7" w:rsidP="001A69D6">
                  <w:pPr>
                    <w:rPr>
                      <w:rFonts w:cs="Arial"/>
                      <w:szCs w:val="20"/>
                    </w:rPr>
                  </w:pPr>
                  <w:r w:rsidRPr="0042258C">
                    <w:rPr>
                      <w:rFonts w:cs="Arial"/>
                      <w:szCs w:val="20"/>
                    </w:rPr>
                    <w:t>sinead.langan@lshtm.ac.uk</w:t>
                  </w:r>
                </w:p>
              </w:tc>
              <w:tc>
                <w:tcPr>
                  <w:tcW w:w="5555" w:type="dxa"/>
                </w:tcPr>
                <w:p w14:paraId="78E5E772" w14:textId="41CB6204" w:rsidR="009779A7" w:rsidRPr="00CD13D5" w:rsidRDefault="009779A7" w:rsidP="001A69D6">
                  <w:pPr>
                    <w:rPr>
                      <w:rFonts w:cs="Arial"/>
                      <w:szCs w:val="20"/>
                    </w:rPr>
                  </w:pPr>
                </w:p>
              </w:tc>
            </w:tr>
            <w:tr w:rsidR="009779A7" w:rsidRPr="00CD13D5" w14:paraId="74E26E6F" w14:textId="77777777" w:rsidTr="009779A7">
              <w:tc>
                <w:tcPr>
                  <w:tcW w:w="4282" w:type="dxa"/>
                </w:tcPr>
                <w:p w14:paraId="6CADC59C" w14:textId="77777777" w:rsidR="009779A7" w:rsidRPr="00CD13D5" w:rsidRDefault="009779A7" w:rsidP="001A69D6">
                  <w:pPr>
                    <w:rPr>
                      <w:rFonts w:cs="Arial"/>
                      <w:szCs w:val="20"/>
                    </w:rPr>
                  </w:pPr>
                  <w:r w:rsidRPr="00CD13D5">
                    <w:rPr>
                      <w:rFonts w:cs="Arial"/>
                      <w:szCs w:val="20"/>
                    </w:rPr>
                    <w:t>CV Number (if applicable):</w:t>
                  </w:r>
                </w:p>
              </w:tc>
              <w:tc>
                <w:tcPr>
                  <w:tcW w:w="5555" w:type="dxa"/>
                </w:tcPr>
                <w:p w14:paraId="66E255E8" w14:textId="3FA97C3C" w:rsidR="009779A7" w:rsidRPr="00CD13D5" w:rsidRDefault="009779A7" w:rsidP="001A69D6">
                  <w:pPr>
                    <w:rPr>
                      <w:rFonts w:cs="Arial"/>
                      <w:szCs w:val="20"/>
                    </w:rPr>
                  </w:pPr>
                  <w:r w:rsidRPr="0042258C">
                    <w:rPr>
                      <w:rFonts w:cs="Arial"/>
                      <w:szCs w:val="20"/>
                    </w:rPr>
                    <w:t>268_15CEP</w:t>
                  </w:r>
                </w:p>
              </w:tc>
              <w:tc>
                <w:tcPr>
                  <w:tcW w:w="5555" w:type="dxa"/>
                </w:tcPr>
                <w:p w14:paraId="6182E044" w14:textId="5DB7952A" w:rsidR="009779A7" w:rsidRPr="00CD13D5" w:rsidRDefault="009779A7" w:rsidP="001A69D6">
                  <w:pPr>
                    <w:rPr>
                      <w:rFonts w:cs="Arial"/>
                      <w:szCs w:val="20"/>
                    </w:rPr>
                  </w:pPr>
                </w:p>
              </w:tc>
            </w:tr>
            <w:tr w:rsidR="009779A7" w:rsidRPr="00CD13D5" w14:paraId="1B30B7B8" w14:textId="77777777" w:rsidTr="009779A7">
              <w:tc>
                <w:tcPr>
                  <w:tcW w:w="4282" w:type="dxa"/>
                </w:tcPr>
                <w:p w14:paraId="068E2C7F" w14:textId="5094CE06" w:rsidR="009779A7" w:rsidRPr="00CD13D5" w:rsidRDefault="009779A7" w:rsidP="001A69D6">
                  <w:pPr>
                    <w:rPr>
                      <w:rFonts w:cs="Arial"/>
                      <w:szCs w:val="20"/>
                    </w:rPr>
                  </w:pPr>
                  <w:r>
                    <w:rPr>
                      <w:rFonts w:cs="Arial"/>
                      <w:szCs w:val="20"/>
                    </w:rPr>
                    <w:t>Will this person be analysing the data? (Y/N)</w:t>
                  </w:r>
                </w:p>
              </w:tc>
              <w:tc>
                <w:tcPr>
                  <w:tcW w:w="5555" w:type="dxa"/>
                </w:tcPr>
                <w:p w14:paraId="58EE526E" w14:textId="640FD34D" w:rsidR="009779A7" w:rsidRPr="00CD13D5" w:rsidRDefault="009779A7" w:rsidP="001A69D6">
                  <w:pPr>
                    <w:rPr>
                      <w:rFonts w:cs="Arial"/>
                      <w:szCs w:val="20"/>
                    </w:rPr>
                  </w:pPr>
                  <w:r w:rsidRPr="0042258C">
                    <w:rPr>
                      <w:rFonts w:cs="Arial"/>
                      <w:szCs w:val="20"/>
                    </w:rPr>
                    <w:t>N</w:t>
                  </w:r>
                </w:p>
              </w:tc>
              <w:tc>
                <w:tcPr>
                  <w:tcW w:w="5555" w:type="dxa"/>
                </w:tcPr>
                <w:p w14:paraId="174DB54B" w14:textId="14068378" w:rsidR="009779A7" w:rsidRPr="00CD13D5" w:rsidRDefault="009779A7" w:rsidP="001A69D6">
                  <w:pPr>
                    <w:rPr>
                      <w:rFonts w:cs="Arial"/>
                      <w:szCs w:val="20"/>
                    </w:rPr>
                  </w:pPr>
                </w:p>
              </w:tc>
            </w:tr>
          </w:tbl>
          <w:p w14:paraId="4C5F5D95" w14:textId="45C3AD74" w:rsidR="009964C3" w:rsidRPr="00CD13D5" w:rsidRDefault="00167437" w:rsidP="001A69D6">
            <w:pPr>
              <w:rPr>
                <w:rFonts w:cs="Arial"/>
                <w:szCs w:val="20"/>
              </w:rPr>
            </w:pPr>
            <w:r>
              <w:rPr>
                <w:rFonts w:cs="Arial"/>
                <w:szCs w:val="20"/>
              </w:rPr>
              <w:t xml:space="preserve"> </w:t>
            </w:r>
          </w:p>
        </w:tc>
      </w:tr>
      <w:tr w:rsidR="00672602" w:rsidRPr="00CD13D5" w14:paraId="631944CC" w14:textId="77777777" w:rsidTr="00B01179">
        <w:trPr>
          <w:trHeight w:val="567"/>
          <w:jc w:val="center"/>
        </w:trPr>
        <w:tc>
          <w:tcPr>
            <w:tcW w:w="10063" w:type="dxa"/>
          </w:tcPr>
          <w:p w14:paraId="71D43264" w14:textId="00C3B568" w:rsidR="00672602" w:rsidRDefault="00672602" w:rsidP="001A69D6">
            <w:pPr>
              <w:pStyle w:val="Heading2"/>
              <w:numPr>
                <w:ilvl w:val="0"/>
                <w:numId w:val="6"/>
              </w:numPr>
            </w:pPr>
            <w:r w:rsidRPr="00CD13D5">
              <w:t>Corresponding Applicant</w:t>
            </w:r>
          </w:p>
          <w:p w14:paraId="6F131678" w14:textId="77777777" w:rsidR="00C639AA" w:rsidRPr="00C639AA" w:rsidRDefault="00C639AA" w:rsidP="001A69D6"/>
          <w:tbl>
            <w:tblPr>
              <w:tblStyle w:val="TableGrid"/>
              <w:tblW w:w="15392" w:type="dxa"/>
              <w:tblLayout w:type="fixed"/>
              <w:tblLook w:val="04A0" w:firstRow="1" w:lastRow="0" w:firstColumn="1" w:lastColumn="0" w:noHBand="0" w:noVBand="1"/>
            </w:tblPr>
            <w:tblGrid>
              <w:gridCol w:w="4282"/>
              <w:gridCol w:w="5555"/>
              <w:gridCol w:w="5555"/>
            </w:tblGrid>
            <w:tr w:rsidR="009779A7" w:rsidRPr="00CD13D5" w14:paraId="198E5D4F" w14:textId="77777777" w:rsidTr="001A69D6">
              <w:tc>
                <w:tcPr>
                  <w:tcW w:w="4282" w:type="dxa"/>
                  <w:shd w:val="clear" w:color="auto" w:fill="auto"/>
                </w:tcPr>
                <w:p w14:paraId="42956DAB" w14:textId="77777777" w:rsidR="009779A7" w:rsidRPr="00CD13D5" w:rsidRDefault="009779A7" w:rsidP="001A69D6">
                  <w:pPr>
                    <w:rPr>
                      <w:rFonts w:cs="Arial"/>
                      <w:szCs w:val="20"/>
                    </w:rPr>
                  </w:pPr>
                  <w:r w:rsidRPr="00CD13D5">
                    <w:rPr>
                      <w:rFonts w:cs="Arial"/>
                      <w:szCs w:val="20"/>
                    </w:rPr>
                    <w:t>Title:</w:t>
                  </w:r>
                </w:p>
              </w:tc>
              <w:tc>
                <w:tcPr>
                  <w:tcW w:w="5555" w:type="dxa"/>
                  <w:shd w:val="clear" w:color="auto" w:fill="auto"/>
                </w:tcPr>
                <w:p w14:paraId="3258117E" w14:textId="73AC70D3" w:rsidR="009779A7" w:rsidRPr="00CD13D5" w:rsidRDefault="00A153B4" w:rsidP="001A69D6">
                  <w:pPr>
                    <w:rPr>
                      <w:rFonts w:cs="Arial"/>
                      <w:szCs w:val="20"/>
                    </w:rPr>
                  </w:pPr>
                  <w:r>
                    <w:rPr>
                      <w:rFonts w:cs="Arial"/>
                      <w:szCs w:val="20"/>
                    </w:rPr>
                    <w:t>Dr</w:t>
                  </w:r>
                  <w:r w:rsidR="009779A7" w:rsidRPr="0042258C">
                    <w:rPr>
                      <w:rFonts w:cs="Arial"/>
                      <w:szCs w:val="20"/>
                    </w:rPr>
                    <w:t xml:space="preserve"> </w:t>
                  </w:r>
                </w:p>
              </w:tc>
              <w:tc>
                <w:tcPr>
                  <w:tcW w:w="5555" w:type="dxa"/>
                </w:tcPr>
                <w:p w14:paraId="799D107C" w14:textId="1FF26D4E" w:rsidR="009779A7" w:rsidRPr="00CD13D5" w:rsidRDefault="009779A7" w:rsidP="001A69D6">
                  <w:pPr>
                    <w:rPr>
                      <w:rFonts w:cs="Arial"/>
                      <w:szCs w:val="20"/>
                    </w:rPr>
                  </w:pPr>
                </w:p>
              </w:tc>
            </w:tr>
            <w:tr w:rsidR="009779A7" w:rsidRPr="00CD13D5" w14:paraId="197C6A40" w14:textId="77777777" w:rsidTr="001A69D6">
              <w:tc>
                <w:tcPr>
                  <w:tcW w:w="4282" w:type="dxa"/>
                  <w:shd w:val="clear" w:color="auto" w:fill="auto"/>
                </w:tcPr>
                <w:p w14:paraId="059E67B6" w14:textId="77777777" w:rsidR="009779A7" w:rsidRPr="00CD13D5" w:rsidRDefault="009779A7" w:rsidP="001A69D6">
                  <w:pPr>
                    <w:rPr>
                      <w:rFonts w:cs="Arial"/>
                      <w:szCs w:val="20"/>
                    </w:rPr>
                  </w:pPr>
                  <w:r w:rsidRPr="00CD13D5">
                    <w:rPr>
                      <w:rFonts w:cs="Arial"/>
                      <w:szCs w:val="20"/>
                    </w:rPr>
                    <w:t>Full name:</w:t>
                  </w:r>
                </w:p>
              </w:tc>
              <w:tc>
                <w:tcPr>
                  <w:tcW w:w="5555" w:type="dxa"/>
                  <w:shd w:val="clear" w:color="auto" w:fill="auto"/>
                </w:tcPr>
                <w:p w14:paraId="65A9C602" w14:textId="583DFBFA" w:rsidR="009779A7" w:rsidRPr="00CD13D5" w:rsidRDefault="00A153B4" w:rsidP="001A69D6">
                  <w:pPr>
                    <w:rPr>
                      <w:rFonts w:cs="Arial"/>
                      <w:szCs w:val="20"/>
                    </w:rPr>
                  </w:pPr>
                  <w:r>
                    <w:rPr>
                      <w:rFonts w:cs="Arial"/>
                      <w:szCs w:val="20"/>
                    </w:rPr>
                    <w:t>Kathryn Mansfield</w:t>
                  </w:r>
                </w:p>
              </w:tc>
              <w:tc>
                <w:tcPr>
                  <w:tcW w:w="5555" w:type="dxa"/>
                </w:tcPr>
                <w:p w14:paraId="28FD5396" w14:textId="77A3E58A" w:rsidR="009779A7" w:rsidRPr="00CD13D5" w:rsidRDefault="009779A7" w:rsidP="001A69D6">
                  <w:pPr>
                    <w:rPr>
                      <w:rFonts w:cs="Arial"/>
                      <w:szCs w:val="20"/>
                    </w:rPr>
                  </w:pPr>
                </w:p>
              </w:tc>
            </w:tr>
            <w:tr w:rsidR="00A153B4" w:rsidRPr="00CD13D5" w14:paraId="490D9E08" w14:textId="77777777" w:rsidTr="001A69D6">
              <w:tc>
                <w:tcPr>
                  <w:tcW w:w="4282" w:type="dxa"/>
                  <w:shd w:val="clear" w:color="auto" w:fill="auto"/>
                </w:tcPr>
                <w:p w14:paraId="5504DB09" w14:textId="77777777" w:rsidR="00A153B4" w:rsidRPr="00CD13D5" w:rsidRDefault="00A153B4" w:rsidP="001A69D6">
                  <w:pPr>
                    <w:rPr>
                      <w:rFonts w:cs="Arial"/>
                      <w:szCs w:val="20"/>
                    </w:rPr>
                  </w:pPr>
                  <w:r w:rsidRPr="00CD13D5">
                    <w:rPr>
                      <w:rFonts w:cs="Arial"/>
                      <w:szCs w:val="20"/>
                    </w:rPr>
                    <w:t>Job title:</w:t>
                  </w:r>
                </w:p>
              </w:tc>
              <w:tc>
                <w:tcPr>
                  <w:tcW w:w="5555" w:type="dxa"/>
                  <w:shd w:val="clear" w:color="auto" w:fill="auto"/>
                </w:tcPr>
                <w:p w14:paraId="484C7639" w14:textId="5930E99E" w:rsidR="00A153B4" w:rsidRPr="00CD13D5" w:rsidRDefault="00A153B4" w:rsidP="001A69D6">
                  <w:pPr>
                    <w:rPr>
                      <w:rFonts w:cs="Arial"/>
                      <w:szCs w:val="20"/>
                    </w:rPr>
                  </w:pPr>
                  <w:r>
                    <w:rPr>
                      <w:rFonts w:cs="Arial"/>
                      <w:szCs w:val="20"/>
                    </w:rPr>
                    <w:t>Assistant</w:t>
                  </w:r>
                  <w:r w:rsidRPr="0042258C">
                    <w:rPr>
                      <w:rFonts w:cs="Arial"/>
                      <w:szCs w:val="20"/>
                    </w:rPr>
                    <w:t xml:space="preserve"> Professor</w:t>
                  </w:r>
                </w:p>
              </w:tc>
              <w:tc>
                <w:tcPr>
                  <w:tcW w:w="5555" w:type="dxa"/>
                </w:tcPr>
                <w:p w14:paraId="3653D48B" w14:textId="3D1E23B4" w:rsidR="00A153B4" w:rsidRPr="00CD13D5" w:rsidRDefault="00A153B4" w:rsidP="001A69D6">
                  <w:pPr>
                    <w:rPr>
                      <w:rFonts w:cs="Arial"/>
                      <w:szCs w:val="20"/>
                    </w:rPr>
                  </w:pPr>
                </w:p>
              </w:tc>
            </w:tr>
            <w:tr w:rsidR="00A153B4" w:rsidRPr="00CD13D5" w14:paraId="7DDE0054" w14:textId="77777777" w:rsidTr="001A69D6">
              <w:tc>
                <w:tcPr>
                  <w:tcW w:w="4282" w:type="dxa"/>
                  <w:shd w:val="clear" w:color="auto" w:fill="auto"/>
                </w:tcPr>
                <w:p w14:paraId="2A7461F7" w14:textId="77777777" w:rsidR="00A153B4" w:rsidRPr="00CD13D5" w:rsidRDefault="00A153B4" w:rsidP="001A69D6">
                  <w:pPr>
                    <w:rPr>
                      <w:rFonts w:cs="Arial"/>
                      <w:szCs w:val="20"/>
                    </w:rPr>
                  </w:pPr>
                  <w:r w:rsidRPr="00CD13D5">
                    <w:rPr>
                      <w:rFonts w:cs="Arial"/>
                      <w:szCs w:val="20"/>
                    </w:rPr>
                    <w:t>Affiliation/organisation:</w:t>
                  </w:r>
                </w:p>
              </w:tc>
              <w:tc>
                <w:tcPr>
                  <w:tcW w:w="5555" w:type="dxa"/>
                  <w:shd w:val="clear" w:color="auto" w:fill="auto"/>
                </w:tcPr>
                <w:p w14:paraId="618F3364" w14:textId="607FF2EC" w:rsidR="00A153B4" w:rsidRPr="00CD13D5" w:rsidRDefault="00A153B4" w:rsidP="001A69D6">
                  <w:pPr>
                    <w:rPr>
                      <w:rFonts w:cs="Arial"/>
                      <w:szCs w:val="20"/>
                    </w:rPr>
                  </w:pPr>
                  <w:r w:rsidRPr="0042258C">
                    <w:rPr>
                      <w:rFonts w:cs="Arial"/>
                      <w:szCs w:val="20"/>
                    </w:rPr>
                    <w:t>London School of Hygiene and Tropical Medicine</w:t>
                  </w:r>
                </w:p>
              </w:tc>
              <w:tc>
                <w:tcPr>
                  <w:tcW w:w="5555" w:type="dxa"/>
                </w:tcPr>
                <w:p w14:paraId="4DDEF807" w14:textId="38604DA3" w:rsidR="00A153B4" w:rsidRPr="00CD13D5" w:rsidRDefault="00A153B4" w:rsidP="001A69D6">
                  <w:pPr>
                    <w:rPr>
                      <w:rFonts w:cs="Arial"/>
                      <w:szCs w:val="20"/>
                    </w:rPr>
                  </w:pPr>
                </w:p>
              </w:tc>
            </w:tr>
            <w:tr w:rsidR="00A153B4" w:rsidRPr="00CD13D5" w14:paraId="52C5E8C9" w14:textId="77777777" w:rsidTr="001A69D6">
              <w:tc>
                <w:tcPr>
                  <w:tcW w:w="4282" w:type="dxa"/>
                  <w:shd w:val="clear" w:color="auto" w:fill="auto"/>
                </w:tcPr>
                <w:p w14:paraId="48BF83E9" w14:textId="77777777" w:rsidR="00A153B4" w:rsidRPr="00CD13D5" w:rsidRDefault="00A153B4" w:rsidP="001A69D6">
                  <w:pPr>
                    <w:rPr>
                      <w:rFonts w:cs="Arial"/>
                      <w:szCs w:val="20"/>
                    </w:rPr>
                  </w:pPr>
                  <w:r w:rsidRPr="00CD13D5">
                    <w:rPr>
                      <w:rFonts w:cs="Arial"/>
                      <w:szCs w:val="20"/>
                    </w:rPr>
                    <w:t>Email address:</w:t>
                  </w:r>
                </w:p>
              </w:tc>
              <w:tc>
                <w:tcPr>
                  <w:tcW w:w="5555" w:type="dxa"/>
                  <w:shd w:val="clear" w:color="auto" w:fill="auto"/>
                </w:tcPr>
                <w:p w14:paraId="758E4657" w14:textId="6DBEA140" w:rsidR="00A153B4" w:rsidRPr="00CD13D5" w:rsidRDefault="00A153B4" w:rsidP="001A69D6">
                  <w:pPr>
                    <w:rPr>
                      <w:rFonts w:cs="Arial"/>
                      <w:szCs w:val="20"/>
                    </w:rPr>
                  </w:pPr>
                  <w:r w:rsidRPr="0042258C">
                    <w:rPr>
                      <w:rFonts w:cs="Arial"/>
                      <w:szCs w:val="20"/>
                    </w:rPr>
                    <w:t>kathryn.mansfield@lshtm.ac.uk</w:t>
                  </w:r>
                </w:p>
              </w:tc>
              <w:tc>
                <w:tcPr>
                  <w:tcW w:w="5555" w:type="dxa"/>
                </w:tcPr>
                <w:p w14:paraId="763462F9" w14:textId="4DB3609D" w:rsidR="00A153B4" w:rsidRPr="00CD13D5" w:rsidRDefault="00A153B4" w:rsidP="001A69D6">
                  <w:pPr>
                    <w:rPr>
                      <w:rFonts w:cs="Arial"/>
                      <w:szCs w:val="20"/>
                    </w:rPr>
                  </w:pPr>
                </w:p>
              </w:tc>
            </w:tr>
            <w:tr w:rsidR="00A153B4" w:rsidRPr="00CD13D5" w14:paraId="72C2D79C" w14:textId="77777777" w:rsidTr="001A69D6">
              <w:tc>
                <w:tcPr>
                  <w:tcW w:w="4282" w:type="dxa"/>
                  <w:shd w:val="clear" w:color="auto" w:fill="auto"/>
                </w:tcPr>
                <w:p w14:paraId="0D804A74" w14:textId="77777777" w:rsidR="00A153B4" w:rsidRPr="00CD13D5" w:rsidRDefault="00A153B4" w:rsidP="001A69D6">
                  <w:pPr>
                    <w:rPr>
                      <w:rFonts w:cs="Arial"/>
                      <w:szCs w:val="20"/>
                    </w:rPr>
                  </w:pPr>
                  <w:r w:rsidRPr="00CD13D5">
                    <w:rPr>
                      <w:rFonts w:cs="Arial"/>
                      <w:szCs w:val="20"/>
                    </w:rPr>
                    <w:t>CV Number (if applicable):</w:t>
                  </w:r>
                </w:p>
              </w:tc>
              <w:tc>
                <w:tcPr>
                  <w:tcW w:w="5555" w:type="dxa"/>
                  <w:shd w:val="clear" w:color="auto" w:fill="auto"/>
                </w:tcPr>
                <w:p w14:paraId="619F0ED7" w14:textId="51832C44" w:rsidR="00A153B4" w:rsidRPr="00CD13D5" w:rsidRDefault="00A153B4" w:rsidP="001A69D6">
                  <w:pPr>
                    <w:rPr>
                      <w:rFonts w:cs="Arial"/>
                      <w:szCs w:val="20"/>
                    </w:rPr>
                  </w:pPr>
                  <w:r w:rsidRPr="0042258C">
                    <w:rPr>
                      <w:rFonts w:cs="Arial"/>
                      <w:szCs w:val="20"/>
                    </w:rPr>
                    <w:t>319_15S</w:t>
                  </w:r>
                </w:p>
              </w:tc>
              <w:tc>
                <w:tcPr>
                  <w:tcW w:w="5555" w:type="dxa"/>
                </w:tcPr>
                <w:p w14:paraId="0DB4F90B" w14:textId="6E2D799B" w:rsidR="00A153B4" w:rsidRPr="00CD13D5" w:rsidRDefault="00A153B4" w:rsidP="001A69D6">
                  <w:pPr>
                    <w:rPr>
                      <w:rFonts w:cs="Arial"/>
                      <w:szCs w:val="20"/>
                    </w:rPr>
                  </w:pPr>
                </w:p>
              </w:tc>
            </w:tr>
            <w:tr w:rsidR="00A153B4" w:rsidRPr="00CD13D5" w14:paraId="09790D17" w14:textId="77777777" w:rsidTr="001A69D6">
              <w:tc>
                <w:tcPr>
                  <w:tcW w:w="4282" w:type="dxa"/>
                  <w:shd w:val="clear" w:color="auto" w:fill="auto"/>
                </w:tcPr>
                <w:p w14:paraId="1551A3B6" w14:textId="6F01ECA6" w:rsidR="00A153B4" w:rsidRPr="00CD13D5" w:rsidRDefault="00A153B4" w:rsidP="001A69D6">
                  <w:pPr>
                    <w:rPr>
                      <w:rFonts w:cs="Arial"/>
                      <w:szCs w:val="20"/>
                    </w:rPr>
                  </w:pPr>
                  <w:r w:rsidRPr="00945045">
                    <w:rPr>
                      <w:rFonts w:cs="Arial"/>
                      <w:szCs w:val="20"/>
                    </w:rPr>
                    <w:t>Will this person be analysing the data? (Y/N)</w:t>
                  </w:r>
                </w:p>
              </w:tc>
              <w:tc>
                <w:tcPr>
                  <w:tcW w:w="5555" w:type="dxa"/>
                  <w:shd w:val="clear" w:color="auto" w:fill="auto"/>
                </w:tcPr>
                <w:p w14:paraId="33B81946" w14:textId="0AB4E5D1" w:rsidR="00A153B4" w:rsidRPr="00CD13D5" w:rsidRDefault="00A153B4" w:rsidP="001A69D6">
                  <w:pPr>
                    <w:rPr>
                      <w:rFonts w:cs="Arial"/>
                      <w:szCs w:val="20"/>
                    </w:rPr>
                  </w:pPr>
                  <w:r w:rsidRPr="0042258C">
                    <w:rPr>
                      <w:rFonts w:cs="Arial"/>
                      <w:szCs w:val="20"/>
                    </w:rPr>
                    <w:t>Y</w:t>
                  </w:r>
                </w:p>
              </w:tc>
              <w:tc>
                <w:tcPr>
                  <w:tcW w:w="5555" w:type="dxa"/>
                </w:tcPr>
                <w:p w14:paraId="780240B3" w14:textId="2E093EB9" w:rsidR="00A153B4" w:rsidRPr="00CD13D5" w:rsidRDefault="00A153B4" w:rsidP="001A69D6">
                  <w:pPr>
                    <w:rPr>
                      <w:rFonts w:cs="Arial"/>
                      <w:szCs w:val="20"/>
                    </w:rPr>
                  </w:pPr>
                </w:p>
              </w:tc>
            </w:tr>
          </w:tbl>
          <w:p w14:paraId="5E14E81B" w14:textId="43DB40E1" w:rsidR="003C74AC" w:rsidRPr="00CD13D5" w:rsidRDefault="00167437" w:rsidP="001A69D6">
            <w:pPr>
              <w:rPr>
                <w:rFonts w:cs="Arial"/>
                <w:szCs w:val="20"/>
              </w:rPr>
            </w:pPr>
            <w:r>
              <w:rPr>
                <w:rFonts w:cs="Arial"/>
                <w:szCs w:val="20"/>
              </w:rPr>
              <w:t xml:space="preserve"> </w:t>
            </w:r>
          </w:p>
        </w:tc>
      </w:tr>
      <w:tr w:rsidR="00672602" w:rsidRPr="00CD13D5" w14:paraId="583DB2C5" w14:textId="77777777" w:rsidTr="00B01179">
        <w:trPr>
          <w:trHeight w:val="567"/>
          <w:jc w:val="center"/>
        </w:trPr>
        <w:tc>
          <w:tcPr>
            <w:tcW w:w="10063" w:type="dxa"/>
          </w:tcPr>
          <w:p w14:paraId="5B714303" w14:textId="6E40F3FE" w:rsidR="00672602" w:rsidRDefault="00672602" w:rsidP="001A69D6">
            <w:pPr>
              <w:pStyle w:val="Heading2"/>
              <w:keepNext/>
              <w:keepLines/>
              <w:numPr>
                <w:ilvl w:val="0"/>
                <w:numId w:val="6"/>
              </w:numPr>
              <w:ind w:left="357" w:hanging="357"/>
            </w:pPr>
            <w:r w:rsidRPr="00CD13D5">
              <w:lastRenderedPageBreak/>
              <w:t>List of all investigators/collaborators</w:t>
            </w:r>
          </w:p>
          <w:p w14:paraId="4CDD4AAA" w14:textId="77777777" w:rsidR="00825B6C" w:rsidRPr="00825B6C" w:rsidRDefault="00825B6C" w:rsidP="001A69D6"/>
          <w:tbl>
            <w:tblPr>
              <w:tblStyle w:val="TableGrid"/>
              <w:tblW w:w="15392" w:type="dxa"/>
              <w:tblLayout w:type="fixed"/>
              <w:tblLook w:val="04A0" w:firstRow="1" w:lastRow="0" w:firstColumn="1" w:lastColumn="0" w:noHBand="0" w:noVBand="1"/>
            </w:tblPr>
            <w:tblGrid>
              <w:gridCol w:w="4282"/>
              <w:gridCol w:w="5555"/>
              <w:gridCol w:w="5555"/>
            </w:tblGrid>
            <w:tr w:rsidR="009779A7" w:rsidRPr="00CD13D5" w14:paraId="565FF274" w14:textId="77777777" w:rsidTr="009779A7">
              <w:tc>
                <w:tcPr>
                  <w:tcW w:w="4282" w:type="dxa"/>
                </w:tcPr>
                <w:p w14:paraId="27C7EA8A" w14:textId="6EB9A20F" w:rsidR="009779A7" w:rsidRPr="00CD13D5" w:rsidRDefault="009779A7" w:rsidP="001A69D6">
                  <w:pPr>
                    <w:rPr>
                      <w:rFonts w:cs="Arial"/>
                      <w:szCs w:val="20"/>
                    </w:rPr>
                  </w:pPr>
                  <w:r w:rsidRPr="00CD13D5">
                    <w:rPr>
                      <w:rFonts w:cs="Arial"/>
                      <w:szCs w:val="20"/>
                    </w:rPr>
                    <w:t>Title:</w:t>
                  </w:r>
                </w:p>
              </w:tc>
              <w:tc>
                <w:tcPr>
                  <w:tcW w:w="5555" w:type="dxa"/>
                </w:tcPr>
                <w:p w14:paraId="657421B3" w14:textId="142CD80C" w:rsidR="009779A7" w:rsidRPr="00CD13D5" w:rsidRDefault="009779A7" w:rsidP="001A69D6">
                  <w:pPr>
                    <w:rPr>
                      <w:rFonts w:cs="Arial"/>
                      <w:szCs w:val="20"/>
                    </w:rPr>
                  </w:pPr>
                  <w:r w:rsidRPr="0042258C">
                    <w:rPr>
                      <w:rFonts w:cs="Arial"/>
                      <w:szCs w:val="20"/>
                    </w:rPr>
                    <w:t xml:space="preserve">Dr </w:t>
                  </w:r>
                </w:p>
              </w:tc>
              <w:tc>
                <w:tcPr>
                  <w:tcW w:w="5555" w:type="dxa"/>
                </w:tcPr>
                <w:p w14:paraId="3B7D70DF" w14:textId="2CDAEAF2" w:rsidR="009779A7" w:rsidRPr="00CD13D5" w:rsidRDefault="009779A7" w:rsidP="001A69D6">
                  <w:pPr>
                    <w:rPr>
                      <w:rFonts w:cs="Arial"/>
                      <w:szCs w:val="20"/>
                    </w:rPr>
                  </w:pPr>
                </w:p>
              </w:tc>
            </w:tr>
            <w:tr w:rsidR="009779A7" w:rsidRPr="00CD13D5" w14:paraId="1B7B4D5F" w14:textId="77777777" w:rsidTr="009779A7">
              <w:tc>
                <w:tcPr>
                  <w:tcW w:w="4282" w:type="dxa"/>
                </w:tcPr>
                <w:p w14:paraId="39E52502" w14:textId="5927C85B" w:rsidR="009779A7" w:rsidRPr="00CD13D5" w:rsidRDefault="009779A7" w:rsidP="001A69D6">
                  <w:pPr>
                    <w:rPr>
                      <w:rFonts w:cs="Arial"/>
                      <w:szCs w:val="20"/>
                    </w:rPr>
                  </w:pPr>
                  <w:r w:rsidRPr="00CD13D5">
                    <w:rPr>
                      <w:rFonts w:cs="Arial"/>
                      <w:szCs w:val="20"/>
                    </w:rPr>
                    <w:t>Full name:</w:t>
                  </w:r>
                </w:p>
              </w:tc>
              <w:tc>
                <w:tcPr>
                  <w:tcW w:w="5555" w:type="dxa"/>
                </w:tcPr>
                <w:p w14:paraId="6298B990" w14:textId="37B42783" w:rsidR="009779A7" w:rsidRPr="00CD13D5" w:rsidRDefault="00A153B4" w:rsidP="001A69D6">
                  <w:pPr>
                    <w:rPr>
                      <w:rFonts w:cs="Arial"/>
                      <w:szCs w:val="20"/>
                    </w:rPr>
                  </w:pPr>
                  <w:r>
                    <w:rPr>
                      <w:rFonts w:cs="Arial"/>
                      <w:szCs w:val="20"/>
                    </w:rPr>
                    <w:t>Kathryn</w:t>
                  </w:r>
                  <w:r w:rsidR="009779A7" w:rsidRPr="0042258C">
                    <w:rPr>
                      <w:rFonts w:cs="Arial"/>
                      <w:szCs w:val="20"/>
                    </w:rPr>
                    <w:t xml:space="preserve"> Mansfield</w:t>
                  </w:r>
                </w:p>
              </w:tc>
              <w:tc>
                <w:tcPr>
                  <w:tcW w:w="5555" w:type="dxa"/>
                </w:tcPr>
                <w:p w14:paraId="26C9818A" w14:textId="333DBD6C" w:rsidR="009779A7" w:rsidRPr="00CD13D5" w:rsidRDefault="009779A7" w:rsidP="001A69D6">
                  <w:pPr>
                    <w:rPr>
                      <w:rFonts w:cs="Arial"/>
                      <w:szCs w:val="20"/>
                    </w:rPr>
                  </w:pPr>
                </w:p>
              </w:tc>
            </w:tr>
            <w:tr w:rsidR="009779A7" w:rsidRPr="00CD13D5" w14:paraId="1CCD0C98" w14:textId="77777777" w:rsidTr="009779A7">
              <w:tc>
                <w:tcPr>
                  <w:tcW w:w="4282" w:type="dxa"/>
                </w:tcPr>
                <w:p w14:paraId="6453FEDD" w14:textId="4F4EAC2F" w:rsidR="009779A7" w:rsidRPr="00CD13D5" w:rsidRDefault="009779A7" w:rsidP="001A69D6">
                  <w:pPr>
                    <w:rPr>
                      <w:rFonts w:cs="Arial"/>
                      <w:szCs w:val="20"/>
                    </w:rPr>
                  </w:pPr>
                  <w:r w:rsidRPr="00CD13D5">
                    <w:rPr>
                      <w:rFonts w:cs="Arial"/>
                      <w:szCs w:val="20"/>
                    </w:rPr>
                    <w:t>Job title:</w:t>
                  </w:r>
                </w:p>
              </w:tc>
              <w:tc>
                <w:tcPr>
                  <w:tcW w:w="5555" w:type="dxa"/>
                </w:tcPr>
                <w:p w14:paraId="49DEC1DC" w14:textId="5BF7F760" w:rsidR="009779A7" w:rsidRPr="00CD13D5" w:rsidRDefault="009779A7" w:rsidP="001A69D6">
                  <w:pPr>
                    <w:rPr>
                      <w:rFonts w:cs="Arial"/>
                      <w:szCs w:val="20"/>
                    </w:rPr>
                  </w:pPr>
                  <w:r>
                    <w:rPr>
                      <w:rFonts w:cs="Arial"/>
                      <w:szCs w:val="20"/>
                    </w:rPr>
                    <w:t>Assistant</w:t>
                  </w:r>
                  <w:r w:rsidRPr="0042258C">
                    <w:rPr>
                      <w:rFonts w:cs="Arial"/>
                      <w:szCs w:val="20"/>
                    </w:rPr>
                    <w:t xml:space="preserve"> Professor</w:t>
                  </w:r>
                </w:p>
              </w:tc>
              <w:tc>
                <w:tcPr>
                  <w:tcW w:w="5555" w:type="dxa"/>
                </w:tcPr>
                <w:p w14:paraId="05655DD3" w14:textId="1813C7A5" w:rsidR="009779A7" w:rsidRPr="00CD13D5" w:rsidRDefault="009779A7" w:rsidP="001A69D6">
                  <w:pPr>
                    <w:rPr>
                      <w:rFonts w:cs="Arial"/>
                      <w:szCs w:val="20"/>
                    </w:rPr>
                  </w:pPr>
                </w:p>
              </w:tc>
            </w:tr>
            <w:tr w:rsidR="009779A7" w:rsidRPr="00CD13D5" w14:paraId="0BBEC3EA" w14:textId="77777777" w:rsidTr="009779A7">
              <w:tc>
                <w:tcPr>
                  <w:tcW w:w="4282" w:type="dxa"/>
                </w:tcPr>
                <w:p w14:paraId="0168EBC1" w14:textId="5B3F4053" w:rsidR="009779A7" w:rsidRPr="00CD13D5" w:rsidRDefault="009779A7" w:rsidP="001A69D6">
                  <w:pPr>
                    <w:rPr>
                      <w:rFonts w:cs="Arial"/>
                      <w:szCs w:val="20"/>
                    </w:rPr>
                  </w:pPr>
                  <w:r w:rsidRPr="00CD13D5">
                    <w:rPr>
                      <w:rFonts w:cs="Arial"/>
                      <w:szCs w:val="20"/>
                    </w:rPr>
                    <w:t>Affiliation/organisation:</w:t>
                  </w:r>
                </w:p>
              </w:tc>
              <w:tc>
                <w:tcPr>
                  <w:tcW w:w="5555" w:type="dxa"/>
                </w:tcPr>
                <w:p w14:paraId="3957761C" w14:textId="523976C4" w:rsidR="009779A7" w:rsidRPr="00CD13D5" w:rsidRDefault="009779A7" w:rsidP="001A69D6">
                  <w:pPr>
                    <w:rPr>
                      <w:rFonts w:cs="Arial"/>
                      <w:szCs w:val="20"/>
                    </w:rPr>
                  </w:pPr>
                  <w:r w:rsidRPr="0042258C">
                    <w:rPr>
                      <w:rFonts w:cs="Arial"/>
                      <w:szCs w:val="20"/>
                    </w:rPr>
                    <w:t>London School of Hygiene and Tropical Medicine</w:t>
                  </w:r>
                </w:p>
              </w:tc>
              <w:tc>
                <w:tcPr>
                  <w:tcW w:w="5555" w:type="dxa"/>
                </w:tcPr>
                <w:p w14:paraId="3128F7FF" w14:textId="01BFE241" w:rsidR="009779A7" w:rsidRPr="00CD13D5" w:rsidRDefault="009779A7" w:rsidP="001A69D6">
                  <w:pPr>
                    <w:rPr>
                      <w:rFonts w:cs="Arial"/>
                      <w:szCs w:val="20"/>
                    </w:rPr>
                  </w:pPr>
                </w:p>
              </w:tc>
            </w:tr>
            <w:tr w:rsidR="009779A7" w:rsidRPr="00CD13D5" w14:paraId="5F895EB8" w14:textId="77777777" w:rsidTr="009779A7">
              <w:tc>
                <w:tcPr>
                  <w:tcW w:w="4282" w:type="dxa"/>
                </w:tcPr>
                <w:p w14:paraId="306E918F" w14:textId="0FA3573E" w:rsidR="009779A7" w:rsidRPr="00CD13D5" w:rsidRDefault="009779A7" w:rsidP="001A69D6">
                  <w:pPr>
                    <w:rPr>
                      <w:rFonts w:cs="Arial"/>
                      <w:szCs w:val="20"/>
                    </w:rPr>
                  </w:pPr>
                  <w:r w:rsidRPr="00CD13D5">
                    <w:rPr>
                      <w:rFonts w:cs="Arial"/>
                      <w:szCs w:val="20"/>
                    </w:rPr>
                    <w:t>Email address:</w:t>
                  </w:r>
                </w:p>
              </w:tc>
              <w:tc>
                <w:tcPr>
                  <w:tcW w:w="5555" w:type="dxa"/>
                </w:tcPr>
                <w:p w14:paraId="1966028D" w14:textId="018E3039" w:rsidR="009779A7" w:rsidRPr="00CD13D5" w:rsidRDefault="009779A7" w:rsidP="001A69D6">
                  <w:pPr>
                    <w:rPr>
                      <w:rFonts w:cs="Arial"/>
                      <w:szCs w:val="20"/>
                    </w:rPr>
                  </w:pPr>
                  <w:r w:rsidRPr="0042258C">
                    <w:rPr>
                      <w:rFonts w:cs="Arial"/>
                      <w:szCs w:val="20"/>
                    </w:rPr>
                    <w:t>kathryn.mansfield@lshtm.ac.uk</w:t>
                  </w:r>
                </w:p>
              </w:tc>
              <w:tc>
                <w:tcPr>
                  <w:tcW w:w="5555" w:type="dxa"/>
                </w:tcPr>
                <w:p w14:paraId="1CD2D6DB" w14:textId="6B5AE73D" w:rsidR="009779A7" w:rsidRPr="00CD13D5" w:rsidRDefault="009779A7" w:rsidP="001A69D6">
                  <w:pPr>
                    <w:rPr>
                      <w:rFonts w:cs="Arial"/>
                      <w:szCs w:val="20"/>
                    </w:rPr>
                  </w:pPr>
                </w:p>
              </w:tc>
            </w:tr>
            <w:tr w:rsidR="009779A7" w:rsidRPr="00CD13D5" w14:paraId="1F49E5C4" w14:textId="77777777" w:rsidTr="009779A7">
              <w:tc>
                <w:tcPr>
                  <w:tcW w:w="4282" w:type="dxa"/>
                </w:tcPr>
                <w:p w14:paraId="3403A228" w14:textId="6E303879" w:rsidR="009779A7" w:rsidRPr="00CD13D5" w:rsidRDefault="009779A7" w:rsidP="001A69D6">
                  <w:pPr>
                    <w:rPr>
                      <w:rFonts w:cs="Arial"/>
                      <w:szCs w:val="20"/>
                    </w:rPr>
                  </w:pPr>
                  <w:r w:rsidRPr="00CD13D5">
                    <w:rPr>
                      <w:rFonts w:cs="Arial"/>
                      <w:szCs w:val="20"/>
                    </w:rPr>
                    <w:t>CV Number (if applicable):</w:t>
                  </w:r>
                </w:p>
              </w:tc>
              <w:tc>
                <w:tcPr>
                  <w:tcW w:w="5555" w:type="dxa"/>
                </w:tcPr>
                <w:p w14:paraId="3EA88A97" w14:textId="46DCA737" w:rsidR="009779A7" w:rsidRPr="00CD13D5" w:rsidRDefault="009779A7" w:rsidP="001A69D6">
                  <w:pPr>
                    <w:rPr>
                      <w:rFonts w:cs="Arial"/>
                      <w:szCs w:val="20"/>
                    </w:rPr>
                  </w:pPr>
                  <w:r w:rsidRPr="0042258C">
                    <w:rPr>
                      <w:rFonts w:cs="Arial"/>
                      <w:szCs w:val="20"/>
                    </w:rPr>
                    <w:t>319_15S</w:t>
                  </w:r>
                </w:p>
              </w:tc>
              <w:tc>
                <w:tcPr>
                  <w:tcW w:w="5555" w:type="dxa"/>
                </w:tcPr>
                <w:p w14:paraId="0A70AA82" w14:textId="797CAA92" w:rsidR="009779A7" w:rsidRPr="00CD13D5" w:rsidRDefault="009779A7" w:rsidP="001A69D6">
                  <w:pPr>
                    <w:rPr>
                      <w:rFonts w:cs="Arial"/>
                      <w:szCs w:val="20"/>
                    </w:rPr>
                  </w:pPr>
                </w:p>
              </w:tc>
            </w:tr>
            <w:tr w:rsidR="009779A7" w:rsidRPr="00CD13D5" w14:paraId="2981D197" w14:textId="77777777" w:rsidTr="009779A7">
              <w:tc>
                <w:tcPr>
                  <w:tcW w:w="4282" w:type="dxa"/>
                </w:tcPr>
                <w:p w14:paraId="71004DF1" w14:textId="42278A9E" w:rsidR="009779A7" w:rsidRPr="00113106" w:rsidRDefault="009779A7" w:rsidP="001A69D6">
                  <w:pPr>
                    <w:rPr>
                      <w:rFonts w:cs="Arial"/>
                    </w:rPr>
                  </w:pPr>
                  <w:r w:rsidRPr="00113106">
                    <w:rPr>
                      <w:rFonts w:cs="Arial"/>
                    </w:rPr>
                    <w:t>Will this person be analysing the data? (Y/N)</w:t>
                  </w:r>
                </w:p>
              </w:tc>
              <w:tc>
                <w:tcPr>
                  <w:tcW w:w="5555" w:type="dxa"/>
                </w:tcPr>
                <w:p w14:paraId="518B2844" w14:textId="1A07BEC7" w:rsidR="009779A7" w:rsidRPr="00CD13D5" w:rsidRDefault="009779A7" w:rsidP="001A69D6">
                  <w:pPr>
                    <w:rPr>
                      <w:rFonts w:cs="Arial"/>
                      <w:szCs w:val="20"/>
                    </w:rPr>
                  </w:pPr>
                  <w:r w:rsidRPr="0042258C">
                    <w:rPr>
                      <w:rFonts w:cs="Arial"/>
                      <w:szCs w:val="20"/>
                    </w:rPr>
                    <w:t>Y</w:t>
                  </w:r>
                </w:p>
              </w:tc>
              <w:tc>
                <w:tcPr>
                  <w:tcW w:w="5555" w:type="dxa"/>
                </w:tcPr>
                <w:p w14:paraId="33BB0A2B" w14:textId="62D99DE4" w:rsidR="009779A7" w:rsidRPr="00CD13D5" w:rsidRDefault="009779A7" w:rsidP="001A69D6">
                  <w:pPr>
                    <w:rPr>
                      <w:rFonts w:cs="Arial"/>
                      <w:szCs w:val="20"/>
                    </w:rPr>
                  </w:pPr>
                </w:p>
              </w:tc>
            </w:tr>
          </w:tbl>
          <w:p w14:paraId="102BF1F4" w14:textId="77777777" w:rsidR="009779A7" w:rsidRPr="0042258C" w:rsidRDefault="009779A7" w:rsidP="001A69D6">
            <w:pPr>
              <w:rPr>
                <w:rFonts w:cs="Arial"/>
                <w:szCs w:val="20"/>
              </w:rPr>
            </w:pPr>
          </w:p>
          <w:tbl>
            <w:tblPr>
              <w:tblStyle w:val="21"/>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42258C" w14:paraId="4D1F944E" w14:textId="77777777" w:rsidTr="008C48BA">
              <w:tc>
                <w:tcPr>
                  <w:tcW w:w="4282" w:type="dxa"/>
                </w:tcPr>
                <w:p w14:paraId="00EDD085" w14:textId="77777777" w:rsidR="009779A7" w:rsidRPr="0042258C" w:rsidRDefault="009779A7" w:rsidP="001A69D6">
                  <w:pPr>
                    <w:rPr>
                      <w:rFonts w:cs="Arial"/>
                      <w:szCs w:val="20"/>
                    </w:rPr>
                  </w:pPr>
                  <w:r w:rsidRPr="0042258C">
                    <w:rPr>
                      <w:rFonts w:cs="Arial"/>
                      <w:szCs w:val="20"/>
                    </w:rPr>
                    <w:t>Title:</w:t>
                  </w:r>
                </w:p>
              </w:tc>
              <w:tc>
                <w:tcPr>
                  <w:tcW w:w="5555" w:type="dxa"/>
                </w:tcPr>
                <w:p w14:paraId="3E653E9B" w14:textId="77777777" w:rsidR="009779A7" w:rsidRPr="0042258C" w:rsidRDefault="009779A7" w:rsidP="001A69D6">
                  <w:pPr>
                    <w:rPr>
                      <w:rFonts w:cs="Arial"/>
                      <w:szCs w:val="20"/>
                    </w:rPr>
                  </w:pPr>
                  <w:r w:rsidRPr="0042258C">
                    <w:rPr>
                      <w:rFonts w:cs="Arial"/>
                      <w:szCs w:val="20"/>
                    </w:rPr>
                    <w:t xml:space="preserve">Dr </w:t>
                  </w:r>
                </w:p>
              </w:tc>
            </w:tr>
            <w:tr w:rsidR="009779A7" w:rsidRPr="0042258C" w14:paraId="445FC7CC" w14:textId="77777777" w:rsidTr="008C48BA">
              <w:tc>
                <w:tcPr>
                  <w:tcW w:w="4282" w:type="dxa"/>
                </w:tcPr>
                <w:p w14:paraId="4F894B07" w14:textId="77777777" w:rsidR="009779A7" w:rsidRPr="0042258C" w:rsidRDefault="009779A7" w:rsidP="001A69D6">
                  <w:pPr>
                    <w:rPr>
                      <w:rFonts w:cs="Arial"/>
                      <w:szCs w:val="20"/>
                    </w:rPr>
                  </w:pPr>
                  <w:r w:rsidRPr="0042258C">
                    <w:rPr>
                      <w:rFonts w:cs="Arial"/>
                      <w:szCs w:val="20"/>
                    </w:rPr>
                    <w:t>Full name:</w:t>
                  </w:r>
                </w:p>
              </w:tc>
              <w:tc>
                <w:tcPr>
                  <w:tcW w:w="5555" w:type="dxa"/>
                </w:tcPr>
                <w:p w14:paraId="61102B73" w14:textId="77777777" w:rsidR="009779A7" w:rsidRPr="0042258C" w:rsidRDefault="009779A7" w:rsidP="001A69D6">
                  <w:pPr>
                    <w:rPr>
                      <w:rFonts w:cs="Arial"/>
                      <w:szCs w:val="20"/>
                    </w:rPr>
                  </w:pPr>
                  <w:r w:rsidRPr="0042258C">
                    <w:rPr>
                      <w:rFonts w:cs="Arial"/>
                      <w:szCs w:val="20"/>
                    </w:rPr>
                    <w:t>Kevin Wing</w:t>
                  </w:r>
                </w:p>
              </w:tc>
            </w:tr>
            <w:tr w:rsidR="009779A7" w:rsidRPr="0042258C" w14:paraId="03B16699" w14:textId="77777777" w:rsidTr="008C48BA">
              <w:tc>
                <w:tcPr>
                  <w:tcW w:w="4282" w:type="dxa"/>
                </w:tcPr>
                <w:p w14:paraId="2980C1F7" w14:textId="77777777" w:rsidR="009779A7" w:rsidRPr="0042258C" w:rsidRDefault="009779A7" w:rsidP="001A69D6">
                  <w:pPr>
                    <w:rPr>
                      <w:rFonts w:cs="Arial"/>
                      <w:szCs w:val="20"/>
                    </w:rPr>
                  </w:pPr>
                  <w:r w:rsidRPr="0042258C">
                    <w:rPr>
                      <w:rFonts w:cs="Arial"/>
                      <w:szCs w:val="20"/>
                    </w:rPr>
                    <w:t>Job title:</w:t>
                  </w:r>
                </w:p>
              </w:tc>
              <w:tc>
                <w:tcPr>
                  <w:tcW w:w="5555" w:type="dxa"/>
                </w:tcPr>
                <w:p w14:paraId="4B9DE6F0" w14:textId="77777777" w:rsidR="009779A7" w:rsidRPr="0042258C" w:rsidRDefault="009779A7" w:rsidP="001A69D6">
                  <w:pPr>
                    <w:rPr>
                      <w:rFonts w:cs="Arial"/>
                      <w:szCs w:val="20"/>
                    </w:rPr>
                  </w:pPr>
                  <w:r w:rsidRPr="0042258C">
                    <w:rPr>
                      <w:rFonts w:cs="Arial"/>
                      <w:szCs w:val="20"/>
                    </w:rPr>
                    <w:t>Assistant Professor</w:t>
                  </w:r>
                </w:p>
              </w:tc>
            </w:tr>
            <w:tr w:rsidR="009779A7" w:rsidRPr="0042258C" w14:paraId="6EC23337" w14:textId="77777777" w:rsidTr="008C48BA">
              <w:tc>
                <w:tcPr>
                  <w:tcW w:w="4282" w:type="dxa"/>
                </w:tcPr>
                <w:p w14:paraId="47B9B427" w14:textId="77777777" w:rsidR="009779A7" w:rsidRPr="0042258C" w:rsidRDefault="009779A7" w:rsidP="001A69D6">
                  <w:pPr>
                    <w:rPr>
                      <w:rFonts w:cs="Arial"/>
                      <w:szCs w:val="20"/>
                    </w:rPr>
                  </w:pPr>
                  <w:r w:rsidRPr="0042258C">
                    <w:rPr>
                      <w:rFonts w:cs="Arial"/>
                      <w:szCs w:val="20"/>
                    </w:rPr>
                    <w:t>Affiliation/organisation:</w:t>
                  </w:r>
                </w:p>
              </w:tc>
              <w:tc>
                <w:tcPr>
                  <w:tcW w:w="5555" w:type="dxa"/>
                </w:tcPr>
                <w:p w14:paraId="3A411B54" w14:textId="77777777" w:rsidR="009779A7" w:rsidRPr="0042258C" w:rsidRDefault="009779A7" w:rsidP="001A69D6">
                  <w:pPr>
                    <w:rPr>
                      <w:rFonts w:cs="Arial"/>
                      <w:szCs w:val="20"/>
                    </w:rPr>
                  </w:pPr>
                  <w:r w:rsidRPr="0042258C">
                    <w:rPr>
                      <w:rFonts w:cs="Arial"/>
                      <w:szCs w:val="20"/>
                    </w:rPr>
                    <w:t>London School of Hygiene and Tropical Medicine</w:t>
                  </w:r>
                </w:p>
              </w:tc>
            </w:tr>
            <w:tr w:rsidR="009779A7" w:rsidRPr="0042258C" w14:paraId="272DCF88" w14:textId="77777777" w:rsidTr="008C48BA">
              <w:tc>
                <w:tcPr>
                  <w:tcW w:w="4282" w:type="dxa"/>
                </w:tcPr>
                <w:p w14:paraId="2B33ACAF" w14:textId="77777777" w:rsidR="009779A7" w:rsidRPr="0042258C" w:rsidRDefault="009779A7" w:rsidP="001A69D6">
                  <w:pPr>
                    <w:rPr>
                      <w:rFonts w:cs="Arial"/>
                      <w:szCs w:val="20"/>
                    </w:rPr>
                  </w:pPr>
                  <w:r w:rsidRPr="0042258C">
                    <w:rPr>
                      <w:rFonts w:cs="Arial"/>
                      <w:szCs w:val="20"/>
                    </w:rPr>
                    <w:t>Email address:</w:t>
                  </w:r>
                </w:p>
              </w:tc>
              <w:tc>
                <w:tcPr>
                  <w:tcW w:w="5555" w:type="dxa"/>
                </w:tcPr>
                <w:p w14:paraId="78747808" w14:textId="77777777" w:rsidR="009779A7" w:rsidRPr="0042258C" w:rsidRDefault="009779A7" w:rsidP="001A69D6">
                  <w:pPr>
                    <w:rPr>
                      <w:rFonts w:cs="Arial"/>
                      <w:szCs w:val="20"/>
                    </w:rPr>
                  </w:pPr>
                  <w:r w:rsidRPr="0042258C">
                    <w:rPr>
                      <w:rFonts w:cs="Arial"/>
                      <w:szCs w:val="20"/>
                    </w:rPr>
                    <w:t>kevin.wing@lshtm.ac.uk</w:t>
                  </w:r>
                </w:p>
              </w:tc>
            </w:tr>
            <w:tr w:rsidR="009779A7" w:rsidRPr="0042258C" w14:paraId="37F762E4" w14:textId="77777777" w:rsidTr="008C48BA">
              <w:tc>
                <w:tcPr>
                  <w:tcW w:w="4282" w:type="dxa"/>
                </w:tcPr>
                <w:p w14:paraId="237F5B5E" w14:textId="77777777" w:rsidR="009779A7" w:rsidRPr="0042258C" w:rsidRDefault="009779A7" w:rsidP="001A69D6">
                  <w:pPr>
                    <w:rPr>
                      <w:rFonts w:cs="Arial"/>
                      <w:szCs w:val="20"/>
                    </w:rPr>
                  </w:pPr>
                  <w:r w:rsidRPr="0042258C">
                    <w:rPr>
                      <w:rFonts w:cs="Arial"/>
                      <w:szCs w:val="20"/>
                    </w:rPr>
                    <w:t>CV Number (if applicable):</w:t>
                  </w:r>
                </w:p>
              </w:tc>
              <w:tc>
                <w:tcPr>
                  <w:tcW w:w="5555" w:type="dxa"/>
                </w:tcPr>
                <w:p w14:paraId="67E0D926" w14:textId="77777777" w:rsidR="009779A7" w:rsidRPr="0042258C" w:rsidRDefault="009779A7" w:rsidP="001A69D6">
                  <w:pPr>
                    <w:rPr>
                      <w:rFonts w:cs="Arial"/>
                      <w:szCs w:val="20"/>
                    </w:rPr>
                  </w:pPr>
                  <w:r w:rsidRPr="0042258C">
                    <w:rPr>
                      <w:rFonts w:cs="Arial"/>
                      <w:szCs w:val="20"/>
                    </w:rPr>
                    <w:t>497_16ES</w:t>
                  </w:r>
                </w:p>
              </w:tc>
            </w:tr>
            <w:tr w:rsidR="009779A7" w:rsidRPr="0042258C" w14:paraId="78736CE7" w14:textId="77777777" w:rsidTr="008C48BA">
              <w:tc>
                <w:tcPr>
                  <w:tcW w:w="4282" w:type="dxa"/>
                </w:tcPr>
                <w:p w14:paraId="2899A7BC" w14:textId="77777777" w:rsidR="009779A7" w:rsidRPr="0042258C" w:rsidRDefault="009779A7" w:rsidP="001A69D6">
                  <w:pPr>
                    <w:rPr>
                      <w:rFonts w:cs="Arial"/>
                      <w:szCs w:val="20"/>
                    </w:rPr>
                  </w:pPr>
                  <w:r w:rsidRPr="0042258C">
                    <w:rPr>
                      <w:rFonts w:cs="Arial"/>
                      <w:szCs w:val="20"/>
                    </w:rPr>
                    <w:t>Will this person be analysing the data? (Y/N)</w:t>
                  </w:r>
                </w:p>
              </w:tc>
              <w:tc>
                <w:tcPr>
                  <w:tcW w:w="5555" w:type="dxa"/>
                </w:tcPr>
                <w:p w14:paraId="29C4A825" w14:textId="77777777" w:rsidR="009779A7" w:rsidRPr="0042258C" w:rsidRDefault="009779A7" w:rsidP="001A69D6">
                  <w:pPr>
                    <w:rPr>
                      <w:rFonts w:cs="Arial"/>
                      <w:szCs w:val="20"/>
                    </w:rPr>
                  </w:pPr>
                  <w:r w:rsidRPr="0042258C">
                    <w:rPr>
                      <w:rFonts w:cs="Arial"/>
                      <w:szCs w:val="20"/>
                    </w:rPr>
                    <w:t>Y</w:t>
                  </w:r>
                </w:p>
              </w:tc>
            </w:tr>
          </w:tbl>
          <w:p w14:paraId="7F25D579" w14:textId="77777777" w:rsidR="009779A7" w:rsidRPr="0042258C" w:rsidRDefault="009779A7" w:rsidP="001A69D6">
            <w:pPr>
              <w:rPr>
                <w:rFonts w:cs="Arial"/>
                <w:szCs w:val="20"/>
              </w:rPr>
            </w:pPr>
          </w:p>
          <w:tbl>
            <w:tblPr>
              <w:tblStyle w:val="21"/>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42258C" w14:paraId="41AD9365" w14:textId="77777777" w:rsidTr="008C48BA">
              <w:tc>
                <w:tcPr>
                  <w:tcW w:w="4282" w:type="dxa"/>
                </w:tcPr>
                <w:p w14:paraId="697B7106" w14:textId="77777777" w:rsidR="009779A7" w:rsidRPr="0042258C" w:rsidRDefault="009779A7" w:rsidP="001A69D6">
                  <w:pPr>
                    <w:rPr>
                      <w:rFonts w:cs="Arial"/>
                      <w:szCs w:val="20"/>
                    </w:rPr>
                  </w:pPr>
                  <w:r w:rsidRPr="0042258C">
                    <w:rPr>
                      <w:rFonts w:cs="Arial"/>
                      <w:szCs w:val="20"/>
                    </w:rPr>
                    <w:t>Title:</w:t>
                  </w:r>
                </w:p>
              </w:tc>
              <w:tc>
                <w:tcPr>
                  <w:tcW w:w="5555" w:type="dxa"/>
                </w:tcPr>
                <w:p w14:paraId="3FABECF0" w14:textId="77777777" w:rsidR="009779A7" w:rsidRPr="0042258C" w:rsidRDefault="009779A7" w:rsidP="001A69D6">
                  <w:pPr>
                    <w:rPr>
                      <w:rFonts w:cs="Arial"/>
                      <w:szCs w:val="20"/>
                    </w:rPr>
                  </w:pPr>
                  <w:r w:rsidRPr="0042258C">
                    <w:rPr>
                      <w:rFonts w:cs="Arial"/>
                      <w:szCs w:val="20"/>
                    </w:rPr>
                    <w:t xml:space="preserve">Dr </w:t>
                  </w:r>
                </w:p>
              </w:tc>
            </w:tr>
            <w:tr w:rsidR="009779A7" w:rsidRPr="0042258C" w14:paraId="5DDA15F8" w14:textId="77777777" w:rsidTr="008C48BA">
              <w:tc>
                <w:tcPr>
                  <w:tcW w:w="4282" w:type="dxa"/>
                </w:tcPr>
                <w:p w14:paraId="3AFC6C39" w14:textId="77777777" w:rsidR="009779A7" w:rsidRPr="0042258C" w:rsidRDefault="009779A7" w:rsidP="001A69D6">
                  <w:pPr>
                    <w:rPr>
                      <w:rFonts w:cs="Arial"/>
                      <w:szCs w:val="20"/>
                    </w:rPr>
                  </w:pPr>
                  <w:r w:rsidRPr="0042258C">
                    <w:rPr>
                      <w:rFonts w:cs="Arial"/>
                      <w:szCs w:val="20"/>
                    </w:rPr>
                    <w:t>Full name:</w:t>
                  </w:r>
                </w:p>
              </w:tc>
              <w:tc>
                <w:tcPr>
                  <w:tcW w:w="5555" w:type="dxa"/>
                </w:tcPr>
                <w:p w14:paraId="00D09B15" w14:textId="77777777" w:rsidR="009779A7" w:rsidRPr="0042258C" w:rsidRDefault="009779A7" w:rsidP="001A69D6">
                  <w:pPr>
                    <w:rPr>
                      <w:rFonts w:cs="Arial"/>
                      <w:szCs w:val="20"/>
                    </w:rPr>
                  </w:pPr>
                  <w:r w:rsidRPr="0042258C">
                    <w:rPr>
                      <w:rFonts w:cs="Arial"/>
                      <w:szCs w:val="20"/>
                    </w:rPr>
                    <w:t>Rohini Mathur</w:t>
                  </w:r>
                </w:p>
              </w:tc>
            </w:tr>
            <w:tr w:rsidR="009779A7" w:rsidRPr="0042258C" w14:paraId="509A1745" w14:textId="77777777" w:rsidTr="008C48BA">
              <w:tc>
                <w:tcPr>
                  <w:tcW w:w="4282" w:type="dxa"/>
                </w:tcPr>
                <w:p w14:paraId="1289C4C8" w14:textId="77777777" w:rsidR="009779A7" w:rsidRPr="0042258C" w:rsidRDefault="009779A7" w:rsidP="001A69D6">
                  <w:pPr>
                    <w:rPr>
                      <w:rFonts w:cs="Arial"/>
                      <w:szCs w:val="20"/>
                    </w:rPr>
                  </w:pPr>
                  <w:r w:rsidRPr="0042258C">
                    <w:rPr>
                      <w:rFonts w:cs="Arial"/>
                      <w:szCs w:val="20"/>
                    </w:rPr>
                    <w:t>Job title:</w:t>
                  </w:r>
                </w:p>
              </w:tc>
              <w:tc>
                <w:tcPr>
                  <w:tcW w:w="5555" w:type="dxa"/>
                </w:tcPr>
                <w:p w14:paraId="4A4EEAFF" w14:textId="77777777" w:rsidR="009779A7" w:rsidRPr="0042258C" w:rsidRDefault="009779A7" w:rsidP="001A69D6">
                  <w:pPr>
                    <w:rPr>
                      <w:rFonts w:cs="Arial"/>
                      <w:szCs w:val="20"/>
                    </w:rPr>
                  </w:pPr>
                  <w:r w:rsidRPr="0042258C">
                    <w:rPr>
                      <w:rFonts w:cs="Arial"/>
                      <w:szCs w:val="20"/>
                    </w:rPr>
                    <w:t>Assistant Professor</w:t>
                  </w:r>
                </w:p>
              </w:tc>
            </w:tr>
            <w:tr w:rsidR="009779A7" w:rsidRPr="0042258C" w14:paraId="0D40F4F7" w14:textId="77777777" w:rsidTr="008C48BA">
              <w:tc>
                <w:tcPr>
                  <w:tcW w:w="4282" w:type="dxa"/>
                </w:tcPr>
                <w:p w14:paraId="427B9BB7" w14:textId="77777777" w:rsidR="009779A7" w:rsidRPr="0042258C" w:rsidRDefault="009779A7" w:rsidP="001A69D6">
                  <w:pPr>
                    <w:rPr>
                      <w:rFonts w:cs="Arial"/>
                      <w:szCs w:val="20"/>
                    </w:rPr>
                  </w:pPr>
                  <w:r w:rsidRPr="0042258C">
                    <w:rPr>
                      <w:rFonts w:cs="Arial"/>
                      <w:szCs w:val="20"/>
                    </w:rPr>
                    <w:t>Affiliation/organisation:</w:t>
                  </w:r>
                </w:p>
              </w:tc>
              <w:tc>
                <w:tcPr>
                  <w:tcW w:w="5555" w:type="dxa"/>
                </w:tcPr>
                <w:p w14:paraId="1B1199AB" w14:textId="77777777" w:rsidR="009779A7" w:rsidRPr="0042258C" w:rsidRDefault="009779A7" w:rsidP="001A69D6">
                  <w:pPr>
                    <w:rPr>
                      <w:rFonts w:cs="Arial"/>
                      <w:szCs w:val="20"/>
                    </w:rPr>
                  </w:pPr>
                  <w:r w:rsidRPr="0042258C">
                    <w:rPr>
                      <w:rFonts w:cs="Arial"/>
                      <w:szCs w:val="20"/>
                    </w:rPr>
                    <w:t>London School of Hygiene and Tropical Medicine</w:t>
                  </w:r>
                </w:p>
              </w:tc>
            </w:tr>
            <w:tr w:rsidR="009779A7" w:rsidRPr="0042258C" w14:paraId="5074000B" w14:textId="77777777" w:rsidTr="008C48BA">
              <w:tc>
                <w:tcPr>
                  <w:tcW w:w="4282" w:type="dxa"/>
                </w:tcPr>
                <w:p w14:paraId="100251EB" w14:textId="77777777" w:rsidR="009779A7" w:rsidRPr="0042258C" w:rsidRDefault="009779A7" w:rsidP="001A69D6">
                  <w:pPr>
                    <w:rPr>
                      <w:rFonts w:cs="Arial"/>
                      <w:szCs w:val="20"/>
                    </w:rPr>
                  </w:pPr>
                  <w:r w:rsidRPr="0042258C">
                    <w:rPr>
                      <w:rFonts w:cs="Arial"/>
                      <w:szCs w:val="20"/>
                    </w:rPr>
                    <w:t>Email address:</w:t>
                  </w:r>
                </w:p>
              </w:tc>
              <w:tc>
                <w:tcPr>
                  <w:tcW w:w="5555" w:type="dxa"/>
                </w:tcPr>
                <w:p w14:paraId="440D61F6" w14:textId="494A0B30" w:rsidR="009779A7" w:rsidRPr="0042258C" w:rsidRDefault="009779A7" w:rsidP="001A69D6">
                  <w:pPr>
                    <w:rPr>
                      <w:rFonts w:cs="Arial"/>
                      <w:szCs w:val="20"/>
                    </w:rPr>
                  </w:pPr>
                  <w:r w:rsidRPr="00296883">
                    <w:rPr>
                      <w:rFonts w:cs="Arial"/>
                      <w:szCs w:val="20"/>
                    </w:rPr>
                    <w:t>Rohini.mathur@lshtm.ac.uk</w:t>
                  </w:r>
                </w:p>
              </w:tc>
            </w:tr>
            <w:tr w:rsidR="009779A7" w:rsidRPr="0042258C" w14:paraId="4C02E8AC" w14:textId="77777777" w:rsidTr="008C48BA">
              <w:tc>
                <w:tcPr>
                  <w:tcW w:w="4282" w:type="dxa"/>
                </w:tcPr>
                <w:p w14:paraId="0D32927F" w14:textId="77777777" w:rsidR="009779A7" w:rsidRPr="0042258C" w:rsidRDefault="009779A7" w:rsidP="001A69D6">
                  <w:pPr>
                    <w:rPr>
                      <w:rFonts w:cs="Arial"/>
                      <w:szCs w:val="20"/>
                    </w:rPr>
                  </w:pPr>
                  <w:r w:rsidRPr="0042258C">
                    <w:rPr>
                      <w:rFonts w:cs="Arial"/>
                      <w:szCs w:val="20"/>
                    </w:rPr>
                    <w:t>CV Number (if applicable):</w:t>
                  </w:r>
                </w:p>
              </w:tc>
              <w:tc>
                <w:tcPr>
                  <w:tcW w:w="5555" w:type="dxa"/>
                </w:tcPr>
                <w:p w14:paraId="682AC636" w14:textId="77777777" w:rsidR="009779A7" w:rsidRPr="0042258C" w:rsidRDefault="009779A7" w:rsidP="001A69D6">
                  <w:pPr>
                    <w:rPr>
                      <w:rFonts w:cs="Arial"/>
                      <w:szCs w:val="20"/>
                    </w:rPr>
                  </w:pPr>
                  <w:r w:rsidRPr="00AB71AD">
                    <w:rPr>
                      <w:rFonts w:cs="Arial"/>
                      <w:szCs w:val="20"/>
                    </w:rPr>
                    <w:t>316_15CESL</w:t>
                  </w:r>
                </w:p>
              </w:tc>
            </w:tr>
            <w:tr w:rsidR="009779A7" w:rsidRPr="0042258C" w14:paraId="4FE889D3" w14:textId="77777777" w:rsidTr="008C48BA">
              <w:tc>
                <w:tcPr>
                  <w:tcW w:w="4282" w:type="dxa"/>
                </w:tcPr>
                <w:p w14:paraId="26A4ED45" w14:textId="77777777" w:rsidR="009779A7" w:rsidRPr="0042258C" w:rsidRDefault="009779A7" w:rsidP="001A69D6">
                  <w:pPr>
                    <w:rPr>
                      <w:rFonts w:cs="Arial"/>
                      <w:szCs w:val="20"/>
                    </w:rPr>
                  </w:pPr>
                  <w:r w:rsidRPr="0042258C">
                    <w:rPr>
                      <w:rFonts w:cs="Arial"/>
                      <w:szCs w:val="20"/>
                    </w:rPr>
                    <w:t>Will this person be analysing the data? (Y/N)</w:t>
                  </w:r>
                </w:p>
              </w:tc>
              <w:tc>
                <w:tcPr>
                  <w:tcW w:w="5555" w:type="dxa"/>
                </w:tcPr>
                <w:p w14:paraId="202F414A" w14:textId="77777777" w:rsidR="009779A7" w:rsidRPr="0042258C" w:rsidRDefault="009779A7" w:rsidP="001A69D6">
                  <w:pPr>
                    <w:rPr>
                      <w:rFonts w:cs="Arial"/>
                      <w:szCs w:val="20"/>
                    </w:rPr>
                  </w:pPr>
                  <w:r w:rsidRPr="0042258C">
                    <w:rPr>
                      <w:rFonts w:cs="Arial"/>
                      <w:szCs w:val="20"/>
                    </w:rPr>
                    <w:t>Y</w:t>
                  </w:r>
                </w:p>
              </w:tc>
            </w:tr>
          </w:tbl>
          <w:p w14:paraId="26FC4A9B" w14:textId="77777777" w:rsidR="009779A7" w:rsidRPr="0042258C" w:rsidRDefault="009779A7" w:rsidP="001A69D6">
            <w:pPr>
              <w:rPr>
                <w:rFonts w:cs="Arial"/>
                <w:szCs w:val="20"/>
              </w:rPr>
            </w:pPr>
          </w:p>
          <w:tbl>
            <w:tblPr>
              <w:tblStyle w:val="21"/>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253652" w14:paraId="0129B28D" w14:textId="77777777" w:rsidTr="008C48BA">
              <w:tc>
                <w:tcPr>
                  <w:tcW w:w="4282" w:type="dxa"/>
                </w:tcPr>
                <w:p w14:paraId="37C6E5D0" w14:textId="77777777" w:rsidR="009779A7" w:rsidRPr="00253652" w:rsidRDefault="009779A7" w:rsidP="001A69D6">
                  <w:pPr>
                    <w:rPr>
                      <w:rFonts w:cs="Arial"/>
                      <w:szCs w:val="20"/>
                    </w:rPr>
                  </w:pPr>
                  <w:r w:rsidRPr="00253652">
                    <w:rPr>
                      <w:rFonts w:cs="Arial"/>
                      <w:szCs w:val="20"/>
                    </w:rPr>
                    <w:t>Title:</w:t>
                  </w:r>
                </w:p>
              </w:tc>
              <w:tc>
                <w:tcPr>
                  <w:tcW w:w="5555" w:type="dxa"/>
                </w:tcPr>
                <w:p w14:paraId="646B3DAB" w14:textId="77777777" w:rsidR="009779A7" w:rsidRPr="00253652" w:rsidRDefault="009779A7" w:rsidP="001A69D6">
                  <w:pPr>
                    <w:rPr>
                      <w:rFonts w:cs="Arial"/>
                      <w:szCs w:val="20"/>
                    </w:rPr>
                  </w:pPr>
                  <w:r w:rsidRPr="00253652">
                    <w:rPr>
                      <w:rFonts w:cs="Arial"/>
                      <w:szCs w:val="20"/>
                    </w:rPr>
                    <w:t>Mr.</w:t>
                  </w:r>
                </w:p>
              </w:tc>
            </w:tr>
            <w:tr w:rsidR="009779A7" w:rsidRPr="00253652" w14:paraId="6A10D00B" w14:textId="77777777" w:rsidTr="008C48BA">
              <w:tc>
                <w:tcPr>
                  <w:tcW w:w="4282" w:type="dxa"/>
                </w:tcPr>
                <w:p w14:paraId="37B36E24" w14:textId="77777777" w:rsidR="009779A7" w:rsidRPr="00253652" w:rsidRDefault="009779A7" w:rsidP="001A69D6">
                  <w:pPr>
                    <w:rPr>
                      <w:rFonts w:cs="Arial"/>
                      <w:szCs w:val="20"/>
                    </w:rPr>
                  </w:pPr>
                  <w:r w:rsidRPr="00253652">
                    <w:rPr>
                      <w:rFonts w:cs="Arial"/>
                      <w:szCs w:val="20"/>
                    </w:rPr>
                    <w:t>Full name:</w:t>
                  </w:r>
                </w:p>
              </w:tc>
              <w:tc>
                <w:tcPr>
                  <w:tcW w:w="5555" w:type="dxa"/>
                </w:tcPr>
                <w:p w14:paraId="79952747" w14:textId="77777777" w:rsidR="009779A7" w:rsidRPr="00253652" w:rsidRDefault="009779A7" w:rsidP="001A69D6">
                  <w:pPr>
                    <w:rPr>
                      <w:rFonts w:cs="Arial"/>
                      <w:szCs w:val="20"/>
                    </w:rPr>
                  </w:pPr>
                  <w:r w:rsidRPr="00253652">
                    <w:rPr>
                      <w:rFonts w:cs="Arial"/>
                      <w:szCs w:val="20"/>
                    </w:rPr>
                    <w:t xml:space="preserve">Patrick </w:t>
                  </w:r>
                  <w:proofErr w:type="spellStart"/>
                  <w:r w:rsidRPr="00253652">
                    <w:rPr>
                      <w:rFonts w:cs="Arial"/>
                      <w:szCs w:val="20"/>
                    </w:rPr>
                    <w:t>Bidulka</w:t>
                  </w:r>
                  <w:proofErr w:type="spellEnd"/>
                </w:p>
              </w:tc>
            </w:tr>
            <w:tr w:rsidR="009779A7" w:rsidRPr="00253652" w14:paraId="36D84B50" w14:textId="77777777" w:rsidTr="008C48BA">
              <w:tc>
                <w:tcPr>
                  <w:tcW w:w="4282" w:type="dxa"/>
                </w:tcPr>
                <w:p w14:paraId="220A1C93" w14:textId="77777777" w:rsidR="009779A7" w:rsidRPr="00253652" w:rsidRDefault="009779A7" w:rsidP="001A69D6">
                  <w:pPr>
                    <w:rPr>
                      <w:rFonts w:cs="Arial"/>
                      <w:szCs w:val="20"/>
                    </w:rPr>
                  </w:pPr>
                  <w:r w:rsidRPr="00253652">
                    <w:rPr>
                      <w:rFonts w:cs="Arial"/>
                      <w:szCs w:val="20"/>
                    </w:rPr>
                    <w:t>Job title:</w:t>
                  </w:r>
                </w:p>
              </w:tc>
              <w:tc>
                <w:tcPr>
                  <w:tcW w:w="5555" w:type="dxa"/>
                </w:tcPr>
                <w:p w14:paraId="78F7006D" w14:textId="77777777" w:rsidR="009779A7" w:rsidRPr="00253652" w:rsidRDefault="009779A7" w:rsidP="001A69D6">
                  <w:pPr>
                    <w:rPr>
                      <w:rFonts w:cs="Arial"/>
                      <w:szCs w:val="20"/>
                    </w:rPr>
                  </w:pPr>
                  <w:r w:rsidRPr="00253652">
                    <w:rPr>
                      <w:rFonts w:cs="Arial"/>
                      <w:szCs w:val="20"/>
                    </w:rPr>
                    <w:t>Research Assistant</w:t>
                  </w:r>
                </w:p>
              </w:tc>
            </w:tr>
            <w:tr w:rsidR="009779A7" w:rsidRPr="00253652" w14:paraId="5FF09E1B" w14:textId="77777777" w:rsidTr="008C48BA">
              <w:tc>
                <w:tcPr>
                  <w:tcW w:w="4282" w:type="dxa"/>
                </w:tcPr>
                <w:p w14:paraId="22CDFD54" w14:textId="77777777" w:rsidR="009779A7" w:rsidRPr="00253652" w:rsidRDefault="009779A7" w:rsidP="001A69D6">
                  <w:pPr>
                    <w:rPr>
                      <w:rFonts w:cs="Arial"/>
                      <w:szCs w:val="20"/>
                    </w:rPr>
                  </w:pPr>
                  <w:r w:rsidRPr="00253652">
                    <w:rPr>
                      <w:rFonts w:cs="Arial"/>
                      <w:szCs w:val="20"/>
                    </w:rPr>
                    <w:t>Affiliation/organisation:</w:t>
                  </w:r>
                </w:p>
              </w:tc>
              <w:tc>
                <w:tcPr>
                  <w:tcW w:w="5555" w:type="dxa"/>
                </w:tcPr>
                <w:p w14:paraId="537C3B02" w14:textId="77777777" w:rsidR="009779A7" w:rsidRPr="00253652" w:rsidRDefault="009779A7" w:rsidP="001A69D6">
                  <w:pPr>
                    <w:rPr>
                      <w:rFonts w:cs="Arial"/>
                      <w:szCs w:val="20"/>
                    </w:rPr>
                  </w:pPr>
                  <w:r w:rsidRPr="00253652">
                    <w:rPr>
                      <w:rFonts w:cs="Arial"/>
                      <w:szCs w:val="20"/>
                    </w:rPr>
                    <w:t>London School of Hygiene and Tropical Medicine</w:t>
                  </w:r>
                </w:p>
              </w:tc>
            </w:tr>
            <w:tr w:rsidR="009779A7" w:rsidRPr="00253652" w14:paraId="3538268C" w14:textId="77777777" w:rsidTr="008C48BA">
              <w:tc>
                <w:tcPr>
                  <w:tcW w:w="4282" w:type="dxa"/>
                </w:tcPr>
                <w:p w14:paraId="2CEE5E9B" w14:textId="77777777" w:rsidR="009779A7" w:rsidRPr="00253652" w:rsidRDefault="009779A7" w:rsidP="001A69D6">
                  <w:pPr>
                    <w:rPr>
                      <w:rFonts w:cs="Arial"/>
                      <w:szCs w:val="20"/>
                    </w:rPr>
                  </w:pPr>
                  <w:r w:rsidRPr="00253652">
                    <w:rPr>
                      <w:rFonts w:cs="Arial"/>
                      <w:szCs w:val="20"/>
                    </w:rPr>
                    <w:t>Email address:</w:t>
                  </w:r>
                </w:p>
              </w:tc>
              <w:tc>
                <w:tcPr>
                  <w:tcW w:w="5555" w:type="dxa"/>
                </w:tcPr>
                <w:p w14:paraId="4FB03042" w14:textId="77777777" w:rsidR="009779A7" w:rsidRPr="00253652" w:rsidRDefault="009779A7" w:rsidP="001A69D6">
                  <w:pPr>
                    <w:rPr>
                      <w:rFonts w:cs="Arial"/>
                      <w:szCs w:val="20"/>
                    </w:rPr>
                  </w:pPr>
                  <w:r w:rsidRPr="00253652">
                    <w:rPr>
                      <w:rFonts w:cs="Arial"/>
                      <w:szCs w:val="20"/>
                    </w:rPr>
                    <w:t>patrick.bidulka1@lshtm.ac.uk</w:t>
                  </w:r>
                </w:p>
              </w:tc>
            </w:tr>
            <w:tr w:rsidR="009779A7" w:rsidRPr="00253652" w14:paraId="136A0504" w14:textId="77777777" w:rsidTr="008C48BA">
              <w:tc>
                <w:tcPr>
                  <w:tcW w:w="4282" w:type="dxa"/>
                </w:tcPr>
                <w:p w14:paraId="462BA924" w14:textId="77777777" w:rsidR="009779A7" w:rsidRPr="00253652" w:rsidRDefault="009779A7" w:rsidP="001A69D6">
                  <w:pPr>
                    <w:rPr>
                      <w:rFonts w:cs="Arial"/>
                      <w:szCs w:val="20"/>
                    </w:rPr>
                  </w:pPr>
                  <w:r w:rsidRPr="00253652">
                    <w:rPr>
                      <w:rFonts w:cs="Arial"/>
                      <w:szCs w:val="20"/>
                    </w:rPr>
                    <w:t>CV Number (if applicable):</w:t>
                  </w:r>
                </w:p>
              </w:tc>
              <w:tc>
                <w:tcPr>
                  <w:tcW w:w="5555" w:type="dxa"/>
                </w:tcPr>
                <w:p w14:paraId="1404B395" w14:textId="77777777" w:rsidR="009779A7" w:rsidRPr="00253652" w:rsidRDefault="009779A7" w:rsidP="001A69D6">
                  <w:pPr>
                    <w:rPr>
                      <w:rFonts w:cs="Arial"/>
                      <w:szCs w:val="20"/>
                    </w:rPr>
                  </w:pPr>
                  <w:r w:rsidRPr="00253652">
                    <w:rPr>
                      <w:rFonts w:cs="Arial"/>
                      <w:szCs w:val="20"/>
                    </w:rPr>
                    <w:t>325_18</w:t>
                  </w:r>
                </w:p>
              </w:tc>
            </w:tr>
            <w:tr w:rsidR="009779A7" w:rsidRPr="00253652" w14:paraId="3A4182AD" w14:textId="77777777" w:rsidTr="008C48BA">
              <w:trPr>
                <w:trHeight w:val="61"/>
              </w:trPr>
              <w:tc>
                <w:tcPr>
                  <w:tcW w:w="4282" w:type="dxa"/>
                </w:tcPr>
                <w:p w14:paraId="654F3288" w14:textId="77777777" w:rsidR="009779A7" w:rsidRPr="00253652" w:rsidRDefault="009779A7" w:rsidP="001A69D6">
                  <w:pPr>
                    <w:rPr>
                      <w:rFonts w:cs="Arial"/>
                      <w:szCs w:val="20"/>
                    </w:rPr>
                  </w:pPr>
                  <w:r w:rsidRPr="00253652">
                    <w:rPr>
                      <w:rFonts w:cs="Arial"/>
                      <w:szCs w:val="20"/>
                    </w:rPr>
                    <w:t>Will this person be analysing the data? (Y/N)</w:t>
                  </w:r>
                </w:p>
              </w:tc>
              <w:tc>
                <w:tcPr>
                  <w:tcW w:w="5555" w:type="dxa"/>
                </w:tcPr>
                <w:p w14:paraId="2A528192" w14:textId="77777777" w:rsidR="009779A7" w:rsidRPr="00253652" w:rsidRDefault="009779A7" w:rsidP="001A69D6">
                  <w:pPr>
                    <w:rPr>
                      <w:rFonts w:cs="Arial"/>
                      <w:szCs w:val="20"/>
                    </w:rPr>
                  </w:pPr>
                  <w:r w:rsidRPr="00253652">
                    <w:rPr>
                      <w:rFonts w:cs="Arial"/>
                      <w:szCs w:val="20"/>
                    </w:rPr>
                    <w:t>Y</w:t>
                  </w:r>
                </w:p>
              </w:tc>
            </w:tr>
          </w:tbl>
          <w:p w14:paraId="7E3EE902" w14:textId="77777777" w:rsidR="009779A7" w:rsidRPr="0042258C" w:rsidRDefault="009779A7" w:rsidP="001A69D6">
            <w:pPr>
              <w:rPr>
                <w:rFonts w:cs="Arial"/>
                <w:szCs w:val="20"/>
              </w:rPr>
            </w:pPr>
          </w:p>
          <w:tbl>
            <w:tblPr>
              <w:tblStyle w:val="21"/>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253652" w14:paraId="44D47EB4" w14:textId="77777777" w:rsidTr="008C48BA">
              <w:tc>
                <w:tcPr>
                  <w:tcW w:w="4282" w:type="dxa"/>
                </w:tcPr>
                <w:p w14:paraId="4E7DDA7A" w14:textId="77777777" w:rsidR="009779A7" w:rsidRPr="00253652" w:rsidRDefault="009779A7" w:rsidP="001A69D6">
                  <w:pPr>
                    <w:rPr>
                      <w:rFonts w:cs="Arial"/>
                      <w:szCs w:val="20"/>
                    </w:rPr>
                  </w:pPr>
                  <w:r w:rsidRPr="00253652">
                    <w:rPr>
                      <w:rFonts w:cs="Arial"/>
                      <w:szCs w:val="20"/>
                    </w:rPr>
                    <w:t>Title:</w:t>
                  </w:r>
                </w:p>
              </w:tc>
              <w:tc>
                <w:tcPr>
                  <w:tcW w:w="5555" w:type="dxa"/>
                </w:tcPr>
                <w:p w14:paraId="4D3351C3" w14:textId="77777777" w:rsidR="009779A7" w:rsidRPr="00253652" w:rsidRDefault="009779A7" w:rsidP="001A69D6">
                  <w:pPr>
                    <w:rPr>
                      <w:rFonts w:cs="Arial"/>
                      <w:szCs w:val="20"/>
                    </w:rPr>
                  </w:pPr>
                  <w:r w:rsidRPr="00253652">
                    <w:rPr>
                      <w:rFonts w:cs="Arial"/>
                      <w:szCs w:val="20"/>
                    </w:rPr>
                    <w:t>M</w:t>
                  </w:r>
                  <w:r>
                    <w:rPr>
                      <w:rFonts w:cs="Arial"/>
                      <w:szCs w:val="20"/>
                    </w:rPr>
                    <w:t>s</w:t>
                  </w:r>
                  <w:r w:rsidRPr="00253652">
                    <w:rPr>
                      <w:rFonts w:cs="Arial"/>
                      <w:szCs w:val="20"/>
                    </w:rPr>
                    <w:t>.</w:t>
                  </w:r>
                </w:p>
              </w:tc>
            </w:tr>
            <w:tr w:rsidR="009779A7" w:rsidRPr="00253652" w14:paraId="6B9D975C" w14:textId="77777777" w:rsidTr="008C48BA">
              <w:tc>
                <w:tcPr>
                  <w:tcW w:w="4282" w:type="dxa"/>
                </w:tcPr>
                <w:p w14:paraId="270DA991" w14:textId="77777777" w:rsidR="009779A7" w:rsidRPr="00253652" w:rsidRDefault="009779A7" w:rsidP="001A69D6">
                  <w:pPr>
                    <w:rPr>
                      <w:rFonts w:cs="Arial"/>
                      <w:szCs w:val="20"/>
                    </w:rPr>
                  </w:pPr>
                  <w:r w:rsidRPr="00253652">
                    <w:rPr>
                      <w:rFonts w:cs="Arial"/>
                      <w:szCs w:val="20"/>
                    </w:rPr>
                    <w:t>Full name:</w:t>
                  </w:r>
                </w:p>
              </w:tc>
              <w:tc>
                <w:tcPr>
                  <w:tcW w:w="5555" w:type="dxa"/>
                </w:tcPr>
                <w:p w14:paraId="522EE1E9" w14:textId="77777777" w:rsidR="009779A7" w:rsidRPr="00253652" w:rsidRDefault="009779A7" w:rsidP="001A69D6">
                  <w:pPr>
                    <w:rPr>
                      <w:rFonts w:cs="Arial"/>
                      <w:szCs w:val="20"/>
                    </w:rPr>
                  </w:pPr>
                  <w:r>
                    <w:rPr>
                      <w:rFonts w:cs="Arial"/>
                      <w:szCs w:val="20"/>
                    </w:rPr>
                    <w:t xml:space="preserve">Amy </w:t>
                  </w:r>
                  <w:proofErr w:type="spellStart"/>
                  <w:r>
                    <w:rPr>
                      <w:rFonts w:cs="Arial"/>
                      <w:szCs w:val="20"/>
                    </w:rPr>
                    <w:t>Mulick</w:t>
                  </w:r>
                  <w:proofErr w:type="spellEnd"/>
                </w:p>
              </w:tc>
            </w:tr>
            <w:tr w:rsidR="009779A7" w:rsidRPr="00253652" w14:paraId="49AEDDF9" w14:textId="77777777" w:rsidTr="008C48BA">
              <w:tc>
                <w:tcPr>
                  <w:tcW w:w="4282" w:type="dxa"/>
                </w:tcPr>
                <w:p w14:paraId="17C49DF5" w14:textId="77777777" w:rsidR="009779A7" w:rsidRPr="00253652" w:rsidRDefault="009779A7" w:rsidP="001A69D6">
                  <w:pPr>
                    <w:rPr>
                      <w:rFonts w:cs="Arial"/>
                      <w:szCs w:val="20"/>
                    </w:rPr>
                  </w:pPr>
                  <w:r w:rsidRPr="00253652">
                    <w:rPr>
                      <w:rFonts w:cs="Arial"/>
                      <w:szCs w:val="20"/>
                    </w:rPr>
                    <w:t>Job title:</w:t>
                  </w:r>
                </w:p>
              </w:tc>
              <w:tc>
                <w:tcPr>
                  <w:tcW w:w="5555" w:type="dxa"/>
                </w:tcPr>
                <w:p w14:paraId="6CEC8B74" w14:textId="77777777" w:rsidR="009779A7" w:rsidRPr="00253652" w:rsidRDefault="009779A7" w:rsidP="001A69D6">
                  <w:pPr>
                    <w:rPr>
                      <w:rFonts w:cs="Arial"/>
                      <w:szCs w:val="20"/>
                    </w:rPr>
                  </w:pPr>
                  <w:r w:rsidRPr="00253652">
                    <w:rPr>
                      <w:rFonts w:cs="Arial"/>
                      <w:szCs w:val="20"/>
                    </w:rPr>
                    <w:t>Research</w:t>
                  </w:r>
                  <w:r>
                    <w:rPr>
                      <w:rFonts w:cs="Arial"/>
                      <w:szCs w:val="20"/>
                    </w:rPr>
                    <w:t xml:space="preserve"> Fellow</w:t>
                  </w:r>
                </w:p>
              </w:tc>
            </w:tr>
            <w:tr w:rsidR="009779A7" w:rsidRPr="00253652" w14:paraId="0A4F1CFB" w14:textId="77777777" w:rsidTr="008C48BA">
              <w:tc>
                <w:tcPr>
                  <w:tcW w:w="4282" w:type="dxa"/>
                </w:tcPr>
                <w:p w14:paraId="5486649C" w14:textId="77777777" w:rsidR="009779A7" w:rsidRPr="00253652" w:rsidRDefault="009779A7" w:rsidP="001A69D6">
                  <w:pPr>
                    <w:rPr>
                      <w:rFonts w:cs="Arial"/>
                      <w:szCs w:val="20"/>
                    </w:rPr>
                  </w:pPr>
                  <w:r w:rsidRPr="00253652">
                    <w:rPr>
                      <w:rFonts w:cs="Arial"/>
                      <w:szCs w:val="20"/>
                    </w:rPr>
                    <w:t>Affiliation/organisation:</w:t>
                  </w:r>
                </w:p>
              </w:tc>
              <w:tc>
                <w:tcPr>
                  <w:tcW w:w="5555" w:type="dxa"/>
                </w:tcPr>
                <w:p w14:paraId="42CE95A1" w14:textId="77777777" w:rsidR="009779A7" w:rsidRPr="00253652" w:rsidRDefault="009779A7" w:rsidP="001A69D6">
                  <w:pPr>
                    <w:rPr>
                      <w:rFonts w:cs="Arial"/>
                      <w:szCs w:val="20"/>
                    </w:rPr>
                  </w:pPr>
                  <w:r w:rsidRPr="00253652">
                    <w:rPr>
                      <w:rFonts w:cs="Arial"/>
                      <w:szCs w:val="20"/>
                    </w:rPr>
                    <w:t>London School of Hygiene and Tropical Medicine</w:t>
                  </w:r>
                </w:p>
              </w:tc>
            </w:tr>
            <w:tr w:rsidR="009779A7" w:rsidRPr="00253652" w14:paraId="15DD48B4" w14:textId="77777777" w:rsidTr="008C48BA">
              <w:tc>
                <w:tcPr>
                  <w:tcW w:w="4282" w:type="dxa"/>
                </w:tcPr>
                <w:p w14:paraId="18177458" w14:textId="77777777" w:rsidR="009779A7" w:rsidRPr="00253652" w:rsidRDefault="009779A7" w:rsidP="001A69D6">
                  <w:pPr>
                    <w:rPr>
                      <w:rFonts w:cs="Arial"/>
                      <w:szCs w:val="20"/>
                    </w:rPr>
                  </w:pPr>
                  <w:r w:rsidRPr="00253652">
                    <w:rPr>
                      <w:rFonts w:cs="Arial"/>
                      <w:szCs w:val="20"/>
                    </w:rPr>
                    <w:t>Email address:</w:t>
                  </w:r>
                </w:p>
              </w:tc>
              <w:tc>
                <w:tcPr>
                  <w:tcW w:w="5555" w:type="dxa"/>
                </w:tcPr>
                <w:p w14:paraId="56D71F6C" w14:textId="77777777" w:rsidR="009779A7" w:rsidRPr="00253652" w:rsidRDefault="009779A7" w:rsidP="001A69D6">
                  <w:pPr>
                    <w:rPr>
                      <w:rFonts w:cs="Arial"/>
                      <w:szCs w:val="20"/>
                    </w:rPr>
                  </w:pPr>
                  <w:r>
                    <w:rPr>
                      <w:rFonts w:cs="Arial"/>
                      <w:szCs w:val="20"/>
                    </w:rPr>
                    <w:t>Amy.mulick</w:t>
                  </w:r>
                  <w:r w:rsidRPr="00253652">
                    <w:rPr>
                      <w:rFonts w:cs="Arial"/>
                      <w:szCs w:val="20"/>
                    </w:rPr>
                    <w:t>@lshtm.ac.uk</w:t>
                  </w:r>
                </w:p>
              </w:tc>
            </w:tr>
            <w:tr w:rsidR="009779A7" w:rsidRPr="00253652" w14:paraId="2A2D76D9" w14:textId="77777777" w:rsidTr="008C48BA">
              <w:tc>
                <w:tcPr>
                  <w:tcW w:w="4282" w:type="dxa"/>
                </w:tcPr>
                <w:p w14:paraId="653AEC64" w14:textId="77777777" w:rsidR="009779A7" w:rsidRPr="00253652" w:rsidRDefault="009779A7" w:rsidP="001A69D6">
                  <w:pPr>
                    <w:rPr>
                      <w:rFonts w:cs="Arial"/>
                      <w:szCs w:val="20"/>
                    </w:rPr>
                  </w:pPr>
                  <w:r w:rsidRPr="00253652">
                    <w:rPr>
                      <w:rFonts w:cs="Arial"/>
                      <w:szCs w:val="20"/>
                    </w:rPr>
                    <w:t>CV Number (if applicable):</w:t>
                  </w:r>
                </w:p>
              </w:tc>
              <w:tc>
                <w:tcPr>
                  <w:tcW w:w="5555" w:type="dxa"/>
                </w:tcPr>
                <w:p w14:paraId="208BB1B7" w14:textId="77777777" w:rsidR="009779A7" w:rsidRPr="00253652" w:rsidRDefault="009779A7" w:rsidP="001A69D6">
                  <w:pPr>
                    <w:rPr>
                      <w:rFonts w:cs="Arial"/>
                      <w:szCs w:val="20"/>
                    </w:rPr>
                  </w:pPr>
                  <w:r w:rsidRPr="009D13B7">
                    <w:rPr>
                      <w:rFonts w:cs="Arial"/>
                      <w:szCs w:val="20"/>
                    </w:rPr>
                    <w:t>554_17</w:t>
                  </w:r>
                </w:p>
              </w:tc>
            </w:tr>
            <w:tr w:rsidR="009779A7" w:rsidRPr="00253652" w14:paraId="23781F27" w14:textId="77777777" w:rsidTr="008C48BA">
              <w:trPr>
                <w:trHeight w:val="61"/>
              </w:trPr>
              <w:tc>
                <w:tcPr>
                  <w:tcW w:w="4282" w:type="dxa"/>
                </w:tcPr>
                <w:p w14:paraId="2D35339B" w14:textId="77777777" w:rsidR="009779A7" w:rsidRPr="00253652" w:rsidRDefault="009779A7" w:rsidP="001A69D6">
                  <w:pPr>
                    <w:rPr>
                      <w:rFonts w:cs="Arial"/>
                      <w:szCs w:val="20"/>
                    </w:rPr>
                  </w:pPr>
                  <w:r w:rsidRPr="00253652">
                    <w:rPr>
                      <w:rFonts w:cs="Arial"/>
                      <w:szCs w:val="20"/>
                    </w:rPr>
                    <w:t>Will this person be analysing the data? (Y/N)</w:t>
                  </w:r>
                </w:p>
              </w:tc>
              <w:tc>
                <w:tcPr>
                  <w:tcW w:w="5555" w:type="dxa"/>
                </w:tcPr>
                <w:p w14:paraId="6D0993CD" w14:textId="77777777" w:rsidR="009779A7" w:rsidRPr="00253652" w:rsidRDefault="009779A7" w:rsidP="001A69D6">
                  <w:pPr>
                    <w:rPr>
                      <w:rFonts w:cs="Arial"/>
                      <w:szCs w:val="20"/>
                    </w:rPr>
                  </w:pPr>
                  <w:r w:rsidRPr="00253652">
                    <w:rPr>
                      <w:rFonts w:cs="Arial"/>
                      <w:szCs w:val="20"/>
                    </w:rPr>
                    <w:t>Y</w:t>
                  </w:r>
                </w:p>
              </w:tc>
            </w:tr>
          </w:tbl>
          <w:p w14:paraId="524FE26D" w14:textId="77777777" w:rsidR="009779A7" w:rsidRDefault="009779A7" w:rsidP="001A69D6">
            <w:pPr>
              <w:rPr>
                <w:rFonts w:cs="Arial"/>
                <w:szCs w:val="20"/>
                <w:highlight w:val="cyan"/>
              </w:rPr>
            </w:pPr>
          </w:p>
          <w:tbl>
            <w:tblPr>
              <w:tblStyle w:val="21"/>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253652" w14:paraId="3FDEE25A" w14:textId="77777777" w:rsidTr="008C48BA">
              <w:tc>
                <w:tcPr>
                  <w:tcW w:w="4282" w:type="dxa"/>
                </w:tcPr>
                <w:p w14:paraId="5DAE3F78" w14:textId="77777777" w:rsidR="009779A7" w:rsidRPr="00253652" w:rsidRDefault="009779A7" w:rsidP="001A69D6">
                  <w:pPr>
                    <w:rPr>
                      <w:rFonts w:cs="Arial"/>
                      <w:szCs w:val="20"/>
                    </w:rPr>
                  </w:pPr>
                  <w:r w:rsidRPr="00253652">
                    <w:rPr>
                      <w:rFonts w:cs="Arial"/>
                      <w:szCs w:val="20"/>
                    </w:rPr>
                    <w:t>Title:</w:t>
                  </w:r>
                </w:p>
              </w:tc>
              <w:tc>
                <w:tcPr>
                  <w:tcW w:w="5555" w:type="dxa"/>
                </w:tcPr>
                <w:p w14:paraId="00C5D090" w14:textId="77777777" w:rsidR="009779A7" w:rsidRPr="00253652" w:rsidRDefault="009779A7" w:rsidP="001A69D6">
                  <w:pPr>
                    <w:rPr>
                      <w:rFonts w:cs="Arial"/>
                      <w:szCs w:val="20"/>
                    </w:rPr>
                  </w:pPr>
                  <w:r>
                    <w:rPr>
                      <w:rFonts w:cs="Arial"/>
                      <w:szCs w:val="20"/>
                    </w:rPr>
                    <w:t>Mr</w:t>
                  </w:r>
                </w:p>
              </w:tc>
            </w:tr>
            <w:tr w:rsidR="009779A7" w:rsidRPr="00253652" w14:paraId="545B3B59" w14:textId="77777777" w:rsidTr="008C48BA">
              <w:tc>
                <w:tcPr>
                  <w:tcW w:w="4282" w:type="dxa"/>
                </w:tcPr>
                <w:p w14:paraId="649E7FD2" w14:textId="77777777" w:rsidR="009779A7" w:rsidRPr="00253652" w:rsidRDefault="009779A7" w:rsidP="001A69D6">
                  <w:pPr>
                    <w:rPr>
                      <w:rFonts w:cs="Arial"/>
                      <w:szCs w:val="20"/>
                    </w:rPr>
                  </w:pPr>
                  <w:r w:rsidRPr="00253652">
                    <w:rPr>
                      <w:rFonts w:cs="Arial"/>
                      <w:szCs w:val="20"/>
                    </w:rPr>
                    <w:t>Full name:</w:t>
                  </w:r>
                </w:p>
              </w:tc>
              <w:tc>
                <w:tcPr>
                  <w:tcW w:w="5555" w:type="dxa"/>
                </w:tcPr>
                <w:p w14:paraId="2F9A7A86" w14:textId="77777777" w:rsidR="009779A7" w:rsidRPr="00253652" w:rsidRDefault="009779A7" w:rsidP="001A69D6">
                  <w:pPr>
                    <w:rPr>
                      <w:rFonts w:cs="Arial"/>
                      <w:szCs w:val="20"/>
                    </w:rPr>
                  </w:pPr>
                  <w:r>
                    <w:rPr>
                      <w:rFonts w:cs="Arial"/>
                      <w:szCs w:val="20"/>
                    </w:rPr>
                    <w:t xml:space="preserve">John </w:t>
                  </w:r>
                  <w:proofErr w:type="spellStart"/>
                  <w:r>
                    <w:rPr>
                      <w:rFonts w:cs="Arial"/>
                      <w:szCs w:val="20"/>
                    </w:rPr>
                    <w:t>Tazare</w:t>
                  </w:r>
                  <w:proofErr w:type="spellEnd"/>
                </w:p>
              </w:tc>
            </w:tr>
            <w:tr w:rsidR="009779A7" w:rsidRPr="00253652" w14:paraId="4C6AC835" w14:textId="77777777" w:rsidTr="008C48BA">
              <w:tc>
                <w:tcPr>
                  <w:tcW w:w="4282" w:type="dxa"/>
                </w:tcPr>
                <w:p w14:paraId="4B00A8E9" w14:textId="77777777" w:rsidR="009779A7" w:rsidRPr="00253652" w:rsidRDefault="009779A7" w:rsidP="001A69D6">
                  <w:pPr>
                    <w:rPr>
                      <w:rFonts w:cs="Arial"/>
                      <w:szCs w:val="20"/>
                    </w:rPr>
                  </w:pPr>
                  <w:r w:rsidRPr="00253652">
                    <w:rPr>
                      <w:rFonts w:cs="Arial"/>
                      <w:szCs w:val="20"/>
                    </w:rPr>
                    <w:t>Job title:</w:t>
                  </w:r>
                </w:p>
              </w:tc>
              <w:tc>
                <w:tcPr>
                  <w:tcW w:w="5555" w:type="dxa"/>
                </w:tcPr>
                <w:p w14:paraId="735CDBD7" w14:textId="77777777" w:rsidR="009779A7" w:rsidRPr="00253652" w:rsidRDefault="009779A7" w:rsidP="001A69D6">
                  <w:pPr>
                    <w:rPr>
                      <w:rFonts w:cs="Arial"/>
                      <w:szCs w:val="20"/>
                    </w:rPr>
                  </w:pPr>
                  <w:r>
                    <w:rPr>
                      <w:rFonts w:cs="Arial"/>
                      <w:szCs w:val="20"/>
                    </w:rPr>
                    <w:t>PhD Student</w:t>
                  </w:r>
                </w:p>
              </w:tc>
            </w:tr>
            <w:tr w:rsidR="009779A7" w:rsidRPr="00253652" w14:paraId="4FF00477" w14:textId="77777777" w:rsidTr="008C48BA">
              <w:tc>
                <w:tcPr>
                  <w:tcW w:w="4282" w:type="dxa"/>
                </w:tcPr>
                <w:p w14:paraId="378F71E5" w14:textId="77777777" w:rsidR="009779A7" w:rsidRPr="00253652" w:rsidRDefault="009779A7" w:rsidP="001A69D6">
                  <w:pPr>
                    <w:rPr>
                      <w:rFonts w:cs="Arial"/>
                      <w:szCs w:val="20"/>
                    </w:rPr>
                  </w:pPr>
                  <w:r w:rsidRPr="00253652">
                    <w:rPr>
                      <w:rFonts w:cs="Arial"/>
                      <w:szCs w:val="20"/>
                    </w:rPr>
                    <w:t>Affiliation/organisation:</w:t>
                  </w:r>
                </w:p>
              </w:tc>
              <w:tc>
                <w:tcPr>
                  <w:tcW w:w="5555" w:type="dxa"/>
                </w:tcPr>
                <w:p w14:paraId="15113376" w14:textId="77777777" w:rsidR="009779A7" w:rsidRPr="00253652" w:rsidRDefault="009779A7" w:rsidP="001A69D6">
                  <w:pPr>
                    <w:rPr>
                      <w:rFonts w:cs="Arial"/>
                      <w:szCs w:val="20"/>
                    </w:rPr>
                  </w:pPr>
                  <w:r w:rsidRPr="00253652">
                    <w:rPr>
                      <w:rFonts w:cs="Arial"/>
                      <w:szCs w:val="20"/>
                    </w:rPr>
                    <w:t>London School of Hygiene and Tropical Medicine</w:t>
                  </w:r>
                </w:p>
              </w:tc>
            </w:tr>
            <w:tr w:rsidR="009779A7" w:rsidRPr="00253652" w14:paraId="719AF3B8" w14:textId="77777777" w:rsidTr="008C48BA">
              <w:tc>
                <w:tcPr>
                  <w:tcW w:w="4282" w:type="dxa"/>
                </w:tcPr>
                <w:p w14:paraId="45E837D3" w14:textId="77777777" w:rsidR="009779A7" w:rsidRPr="00253652" w:rsidRDefault="009779A7" w:rsidP="001A69D6">
                  <w:pPr>
                    <w:rPr>
                      <w:rFonts w:cs="Arial"/>
                      <w:szCs w:val="20"/>
                    </w:rPr>
                  </w:pPr>
                  <w:r w:rsidRPr="00253652">
                    <w:rPr>
                      <w:rFonts w:cs="Arial"/>
                      <w:szCs w:val="20"/>
                    </w:rPr>
                    <w:t>Email address:</w:t>
                  </w:r>
                </w:p>
              </w:tc>
              <w:tc>
                <w:tcPr>
                  <w:tcW w:w="5555" w:type="dxa"/>
                </w:tcPr>
                <w:p w14:paraId="78B27762" w14:textId="4AD284BF" w:rsidR="009779A7" w:rsidRPr="00253652" w:rsidRDefault="009779A7" w:rsidP="001A69D6">
                  <w:pPr>
                    <w:rPr>
                      <w:rFonts w:cs="Arial"/>
                      <w:szCs w:val="20"/>
                    </w:rPr>
                  </w:pPr>
                  <w:r w:rsidRPr="00296883">
                    <w:rPr>
                      <w:rFonts w:cs="Arial"/>
                      <w:szCs w:val="20"/>
                    </w:rPr>
                    <w:t>John.tazare1@lshtm.ac.uk</w:t>
                  </w:r>
                </w:p>
              </w:tc>
            </w:tr>
            <w:tr w:rsidR="009779A7" w:rsidRPr="00253652" w14:paraId="2A77BD68" w14:textId="77777777" w:rsidTr="008C48BA">
              <w:tc>
                <w:tcPr>
                  <w:tcW w:w="4282" w:type="dxa"/>
                </w:tcPr>
                <w:p w14:paraId="6084C344" w14:textId="77777777" w:rsidR="009779A7" w:rsidRPr="00253652" w:rsidRDefault="009779A7" w:rsidP="001A69D6">
                  <w:pPr>
                    <w:rPr>
                      <w:rFonts w:cs="Arial"/>
                      <w:szCs w:val="20"/>
                    </w:rPr>
                  </w:pPr>
                  <w:r w:rsidRPr="00253652">
                    <w:rPr>
                      <w:rFonts w:cs="Arial"/>
                      <w:szCs w:val="20"/>
                    </w:rPr>
                    <w:t>CV Number (if applicable):</w:t>
                  </w:r>
                </w:p>
              </w:tc>
              <w:tc>
                <w:tcPr>
                  <w:tcW w:w="5555" w:type="dxa"/>
                </w:tcPr>
                <w:p w14:paraId="6043F76B" w14:textId="77777777" w:rsidR="009779A7" w:rsidRPr="00253652" w:rsidRDefault="009779A7" w:rsidP="001A69D6">
                  <w:pPr>
                    <w:rPr>
                      <w:rFonts w:cs="Arial"/>
                      <w:szCs w:val="20"/>
                    </w:rPr>
                  </w:pPr>
                  <w:r>
                    <w:rPr>
                      <w:rFonts w:cs="Arial"/>
                      <w:szCs w:val="20"/>
                    </w:rPr>
                    <w:t>448_17</w:t>
                  </w:r>
                </w:p>
              </w:tc>
            </w:tr>
            <w:tr w:rsidR="009779A7" w:rsidRPr="00253652" w14:paraId="15D405EE" w14:textId="77777777" w:rsidTr="008C48BA">
              <w:trPr>
                <w:trHeight w:val="61"/>
              </w:trPr>
              <w:tc>
                <w:tcPr>
                  <w:tcW w:w="4282" w:type="dxa"/>
                </w:tcPr>
                <w:p w14:paraId="4EAA0A15" w14:textId="77777777" w:rsidR="009779A7" w:rsidRPr="00253652" w:rsidRDefault="009779A7" w:rsidP="001A69D6">
                  <w:pPr>
                    <w:rPr>
                      <w:rFonts w:cs="Arial"/>
                      <w:szCs w:val="20"/>
                    </w:rPr>
                  </w:pPr>
                  <w:r w:rsidRPr="00253652">
                    <w:rPr>
                      <w:rFonts w:cs="Arial"/>
                      <w:szCs w:val="20"/>
                    </w:rPr>
                    <w:t>Will this person be analysing the data? (Y/N)</w:t>
                  </w:r>
                </w:p>
              </w:tc>
              <w:tc>
                <w:tcPr>
                  <w:tcW w:w="5555" w:type="dxa"/>
                </w:tcPr>
                <w:p w14:paraId="6C51B685" w14:textId="77777777" w:rsidR="009779A7" w:rsidRPr="00253652" w:rsidRDefault="009779A7" w:rsidP="001A69D6">
                  <w:pPr>
                    <w:rPr>
                      <w:rFonts w:cs="Arial"/>
                      <w:szCs w:val="20"/>
                    </w:rPr>
                  </w:pPr>
                  <w:r w:rsidRPr="00253652">
                    <w:rPr>
                      <w:rFonts w:cs="Arial"/>
                      <w:szCs w:val="20"/>
                    </w:rPr>
                    <w:t>Y</w:t>
                  </w:r>
                </w:p>
              </w:tc>
            </w:tr>
          </w:tbl>
          <w:p w14:paraId="01F42773" w14:textId="77777777" w:rsidR="009779A7" w:rsidRDefault="009779A7" w:rsidP="001A69D6">
            <w:pPr>
              <w:rPr>
                <w:rFonts w:cs="Arial"/>
                <w:szCs w:val="20"/>
                <w:highlight w:val="cyan"/>
              </w:rPr>
            </w:pPr>
          </w:p>
          <w:tbl>
            <w:tblPr>
              <w:tblStyle w:val="TableGrid"/>
              <w:tblW w:w="0" w:type="auto"/>
              <w:tblLayout w:type="fixed"/>
              <w:tblLook w:val="04A0" w:firstRow="1" w:lastRow="0" w:firstColumn="1" w:lastColumn="0" w:noHBand="0" w:noVBand="1"/>
            </w:tblPr>
            <w:tblGrid>
              <w:gridCol w:w="4282"/>
              <w:gridCol w:w="5555"/>
            </w:tblGrid>
            <w:tr w:rsidR="009779A7" w:rsidRPr="00E05E8F" w14:paraId="4A9E6903" w14:textId="77777777" w:rsidTr="008C48BA">
              <w:tc>
                <w:tcPr>
                  <w:tcW w:w="4282" w:type="dxa"/>
                </w:tcPr>
                <w:p w14:paraId="0E9A0BCC" w14:textId="77777777" w:rsidR="009779A7" w:rsidRPr="00E05E8F" w:rsidRDefault="009779A7" w:rsidP="001A69D6">
                  <w:pPr>
                    <w:rPr>
                      <w:rFonts w:cs="Arial"/>
                      <w:szCs w:val="20"/>
                    </w:rPr>
                  </w:pPr>
                  <w:r w:rsidRPr="00E05E8F">
                    <w:rPr>
                      <w:rFonts w:cs="Arial"/>
                      <w:szCs w:val="20"/>
                    </w:rPr>
                    <w:t>Title:</w:t>
                  </w:r>
                </w:p>
              </w:tc>
              <w:tc>
                <w:tcPr>
                  <w:tcW w:w="5555" w:type="dxa"/>
                </w:tcPr>
                <w:p w14:paraId="46C33A3F" w14:textId="77777777" w:rsidR="009779A7" w:rsidRPr="00E05E8F" w:rsidRDefault="009779A7" w:rsidP="001A69D6">
                  <w:pPr>
                    <w:rPr>
                      <w:rFonts w:cs="Arial"/>
                      <w:szCs w:val="20"/>
                    </w:rPr>
                  </w:pPr>
                  <w:r w:rsidRPr="00E05E8F">
                    <w:rPr>
                      <w:rFonts w:cs="Arial"/>
                      <w:szCs w:val="20"/>
                    </w:rPr>
                    <w:t>Dr</w:t>
                  </w:r>
                </w:p>
              </w:tc>
            </w:tr>
            <w:tr w:rsidR="009779A7" w:rsidRPr="00E05E8F" w14:paraId="45E7BC7D" w14:textId="77777777" w:rsidTr="008C48BA">
              <w:tc>
                <w:tcPr>
                  <w:tcW w:w="4282" w:type="dxa"/>
                </w:tcPr>
                <w:p w14:paraId="3A2F8809" w14:textId="77777777" w:rsidR="009779A7" w:rsidRPr="00E05E8F" w:rsidRDefault="009779A7" w:rsidP="001A69D6">
                  <w:pPr>
                    <w:rPr>
                      <w:rFonts w:cs="Arial"/>
                      <w:szCs w:val="20"/>
                    </w:rPr>
                  </w:pPr>
                  <w:r w:rsidRPr="00E05E8F">
                    <w:rPr>
                      <w:rFonts w:cs="Arial"/>
                      <w:szCs w:val="20"/>
                    </w:rPr>
                    <w:t>Full name:</w:t>
                  </w:r>
                </w:p>
              </w:tc>
              <w:tc>
                <w:tcPr>
                  <w:tcW w:w="5555" w:type="dxa"/>
                </w:tcPr>
                <w:p w14:paraId="4C8282FB" w14:textId="77777777" w:rsidR="009779A7" w:rsidRPr="00E05E8F" w:rsidRDefault="009779A7" w:rsidP="001A69D6">
                  <w:pPr>
                    <w:rPr>
                      <w:rFonts w:cs="Arial"/>
                      <w:szCs w:val="20"/>
                    </w:rPr>
                  </w:pPr>
                  <w:r w:rsidRPr="00E05E8F">
                    <w:rPr>
                      <w:rFonts w:cs="Arial"/>
                      <w:szCs w:val="20"/>
                    </w:rPr>
                    <w:t>Angel Wong</w:t>
                  </w:r>
                </w:p>
              </w:tc>
            </w:tr>
            <w:tr w:rsidR="009779A7" w:rsidRPr="00E05E8F" w14:paraId="5E8E4FBD" w14:textId="77777777" w:rsidTr="008C48BA">
              <w:tc>
                <w:tcPr>
                  <w:tcW w:w="4282" w:type="dxa"/>
                </w:tcPr>
                <w:p w14:paraId="6636D110" w14:textId="77777777" w:rsidR="009779A7" w:rsidRPr="00E05E8F" w:rsidRDefault="009779A7" w:rsidP="001A69D6">
                  <w:pPr>
                    <w:rPr>
                      <w:rFonts w:cs="Arial"/>
                      <w:szCs w:val="20"/>
                    </w:rPr>
                  </w:pPr>
                  <w:r w:rsidRPr="00E05E8F">
                    <w:rPr>
                      <w:rFonts w:cs="Arial"/>
                      <w:szCs w:val="20"/>
                    </w:rPr>
                    <w:t>Job title:</w:t>
                  </w:r>
                </w:p>
              </w:tc>
              <w:tc>
                <w:tcPr>
                  <w:tcW w:w="5555" w:type="dxa"/>
                </w:tcPr>
                <w:p w14:paraId="5FFF41DB" w14:textId="77777777" w:rsidR="009779A7" w:rsidRPr="00E05E8F" w:rsidRDefault="009779A7" w:rsidP="001A69D6">
                  <w:pPr>
                    <w:rPr>
                      <w:rFonts w:cs="Arial"/>
                      <w:szCs w:val="20"/>
                    </w:rPr>
                  </w:pPr>
                  <w:r w:rsidRPr="00E05E8F">
                    <w:rPr>
                      <w:rFonts w:cs="Arial"/>
                      <w:szCs w:val="20"/>
                    </w:rPr>
                    <w:t>Research Fellow</w:t>
                  </w:r>
                </w:p>
              </w:tc>
            </w:tr>
            <w:tr w:rsidR="009779A7" w:rsidRPr="00E05E8F" w14:paraId="0ECD0977" w14:textId="77777777" w:rsidTr="008C48BA">
              <w:tc>
                <w:tcPr>
                  <w:tcW w:w="4282" w:type="dxa"/>
                </w:tcPr>
                <w:p w14:paraId="1495F60E" w14:textId="77777777" w:rsidR="009779A7" w:rsidRPr="00E05E8F" w:rsidRDefault="009779A7" w:rsidP="001A69D6">
                  <w:pPr>
                    <w:rPr>
                      <w:rFonts w:cs="Arial"/>
                      <w:szCs w:val="20"/>
                    </w:rPr>
                  </w:pPr>
                  <w:r w:rsidRPr="00E05E8F">
                    <w:rPr>
                      <w:rFonts w:cs="Arial"/>
                      <w:szCs w:val="20"/>
                    </w:rPr>
                    <w:t>Affiliation/organisation:</w:t>
                  </w:r>
                </w:p>
              </w:tc>
              <w:tc>
                <w:tcPr>
                  <w:tcW w:w="5555" w:type="dxa"/>
                </w:tcPr>
                <w:p w14:paraId="580D3C3E" w14:textId="77777777" w:rsidR="009779A7" w:rsidRPr="00E05E8F" w:rsidRDefault="009779A7" w:rsidP="001A69D6">
                  <w:pPr>
                    <w:rPr>
                      <w:rFonts w:cs="Arial"/>
                      <w:szCs w:val="20"/>
                    </w:rPr>
                  </w:pPr>
                  <w:r w:rsidRPr="00E05E8F">
                    <w:rPr>
                      <w:rFonts w:cs="Arial"/>
                      <w:szCs w:val="20"/>
                    </w:rPr>
                    <w:t>London School of Hygiene and Tropical Medicine</w:t>
                  </w:r>
                </w:p>
              </w:tc>
            </w:tr>
            <w:tr w:rsidR="009779A7" w:rsidRPr="00E05E8F" w14:paraId="057A8959" w14:textId="77777777" w:rsidTr="008C48BA">
              <w:tc>
                <w:tcPr>
                  <w:tcW w:w="4282" w:type="dxa"/>
                </w:tcPr>
                <w:p w14:paraId="6AF0E621" w14:textId="77777777" w:rsidR="009779A7" w:rsidRPr="00E05E8F" w:rsidRDefault="009779A7" w:rsidP="001A69D6">
                  <w:pPr>
                    <w:rPr>
                      <w:rFonts w:cs="Arial"/>
                      <w:szCs w:val="20"/>
                    </w:rPr>
                  </w:pPr>
                  <w:r w:rsidRPr="00E05E8F">
                    <w:rPr>
                      <w:rFonts w:cs="Arial"/>
                      <w:szCs w:val="20"/>
                    </w:rPr>
                    <w:t>Email address:</w:t>
                  </w:r>
                </w:p>
              </w:tc>
              <w:tc>
                <w:tcPr>
                  <w:tcW w:w="5555" w:type="dxa"/>
                </w:tcPr>
                <w:p w14:paraId="36B98044" w14:textId="77777777" w:rsidR="009779A7" w:rsidRPr="00E05E8F" w:rsidRDefault="009779A7" w:rsidP="001A69D6">
                  <w:pPr>
                    <w:rPr>
                      <w:rFonts w:cs="Arial"/>
                      <w:szCs w:val="20"/>
                    </w:rPr>
                  </w:pPr>
                  <w:r w:rsidRPr="00E05E8F">
                    <w:rPr>
                      <w:rFonts w:cs="Arial"/>
                      <w:szCs w:val="20"/>
                    </w:rPr>
                    <w:t>Angel.Wong@lshtm.ac.uk</w:t>
                  </w:r>
                </w:p>
              </w:tc>
            </w:tr>
            <w:tr w:rsidR="009779A7" w:rsidRPr="00E05E8F" w14:paraId="2D9A8512" w14:textId="77777777" w:rsidTr="008C48BA">
              <w:tc>
                <w:tcPr>
                  <w:tcW w:w="4282" w:type="dxa"/>
                </w:tcPr>
                <w:p w14:paraId="48F3CA3D" w14:textId="77777777" w:rsidR="009779A7" w:rsidRPr="00E05E8F" w:rsidRDefault="009779A7" w:rsidP="001A69D6">
                  <w:pPr>
                    <w:rPr>
                      <w:rFonts w:cs="Arial"/>
                      <w:szCs w:val="20"/>
                    </w:rPr>
                  </w:pPr>
                  <w:r w:rsidRPr="00E05E8F">
                    <w:rPr>
                      <w:rFonts w:cs="Arial"/>
                      <w:szCs w:val="20"/>
                    </w:rPr>
                    <w:lastRenderedPageBreak/>
                    <w:t>CV Number (if applicable):</w:t>
                  </w:r>
                </w:p>
              </w:tc>
              <w:tc>
                <w:tcPr>
                  <w:tcW w:w="5555" w:type="dxa"/>
                </w:tcPr>
                <w:p w14:paraId="4BA254C2" w14:textId="77777777" w:rsidR="009779A7" w:rsidRPr="00E05E8F" w:rsidRDefault="009779A7" w:rsidP="001A69D6">
                  <w:pPr>
                    <w:rPr>
                      <w:rFonts w:cs="Arial"/>
                      <w:szCs w:val="20"/>
                    </w:rPr>
                  </w:pPr>
                  <w:r w:rsidRPr="00E05E8F">
                    <w:rPr>
                      <w:rFonts w:cs="Arial"/>
                      <w:szCs w:val="20"/>
                    </w:rPr>
                    <w:t>462_18</w:t>
                  </w:r>
                </w:p>
              </w:tc>
            </w:tr>
            <w:tr w:rsidR="009779A7" w:rsidRPr="00E05E8F" w14:paraId="52467D59" w14:textId="77777777" w:rsidTr="008C48BA">
              <w:trPr>
                <w:trHeight w:val="328"/>
              </w:trPr>
              <w:tc>
                <w:tcPr>
                  <w:tcW w:w="4282" w:type="dxa"/>
                </w:tcPr>
                <w:p w14:paraId="1BEFE147" w14:textId="77777777" w:rsidR="009779A7" w:rsidRPr="00E05E8F" w:rsidRDefault="009779A7" w:rsidP="001A69D6">
                  <w:pPr>
                    <w:rPr>
                      <w:rFonts w:cs="Arial"/>
                      <w:szCs w:val="20"/>
                    </w:rPr>
                  </w:pPr>
                  <w:r w:rsidRPr="00E05E8F">
                    <w:rPr>
                      <w:rFonts w:cs="Arial"/>
                      <w:szCs w:val="20"/>
                    </w:rPr>
                    <w:t>Will this person be analysing the data? (Y/N)</w:t>
                  </w:r>
                </w:p>
              </w:tc>
              <w:tc>
                <w:tcPr>
                  <w:tcW w:w="5555" w:type="dxa"/>
                </w:tcPr>
                <w:p w14:paraId="5CA21D2F" w14:textId="77777777" w:rsidR="009779A7" w:rsidRPr="00E05E8F" w:rsidRDefault="009779A7" w:rsidP="001A69D6">
                  <w:pPr>
                    <w:rPr>
                      <w:rFonts w:cs="Arial"/>
                      <w:szCs w:val="20"/>
                    </w:rPr>
                  </w:pPr>
                  <w:r w:rsidRPr="00E05E8F">
                    <w:rPr>
                      <w:rFonts w:cs="Arial"/>
                      <w:szCs w:val="20"/>
                    </w:rPr>
                    <w:t>N</w:t>
                  </w:r>
                </w:p>
              </w:tc>
            </w:tr>
          </w:tbl>
          <w:p w14:paraId="7543A109" w14:textId="77777777" w:rsidR="009779A7" w:rsidRDefault="009779A7" w:rsidP="001A69D6">
            <w:pPr>
              <w:rPr>
                <w:rFonts w:cs="Arial"/>
                <w:szCs w:val="20"/>
                <w:highlight w:val="cyan"/>
              </w:rPr>
            </w:pPr>
          </w:p>
          <w:tbl>
            <w:tblPr>
              <w:tblW w:w="9840" w:type="dxa"/>
              <w:shd w:val="clear" w:color="auto" w:fill="FFFFFF"/>
              <w:tblLayout w:type="fixed"/>
              <w:tblCellMar>
                <w:left w:w="0" w:type="dxa"/>
                <w:right w:w="0" w:type="dxa"/>
              </w:tblCellMar>
              <w:tblLook w:val="04A0" w:firstRow="1" w:lastRow="0" w:firstColumn="1" w:lastColumn="0" w:noHBand="0" w:noVBand="1"/>
            </w:tblPr>
            <w:tblGrid>
              <w:gridCol w:w="4283"/>
              <w:gridCol w:w="5557"/>
            </w:tblGrid>
            <w:tr w:rsidR="009779A7" w14:paraId="19BD5EA0" w14:textId="77777777" w:rsidTr="008C48BA">
              <w:tc>
                <w:tcPr>
                  <w:tcW w:w="428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E85D114"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Title:</w:t>
                  </w:r>
                </w:p>
              </w:tc>
              <w:tc>
                <w:tcPr>
                  <w:tcW w:w="555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EB2BB04"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Dr</w:t>
                  </w:r>
                </w:p>
              </w:tc>
            </w:tr>
            <w:tr w:rsidR="009779A7" w14:paraId="31E06521" w14:textId="77777777" w:rsidTr="008C48BA">
              <w:tc>
                <w:tcPr>
                  <w:tcW w:w="42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10E3CF42"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Full name:</w:t>
                  </w:r>
                </w:p>
              </w:tc>
              <w:tc>
                <w:tcPr>
                  <w:tcW w:w="5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E92D41F"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Helen Strongman</w:t>
                  </w:r>
                </w:p>
              </w:tc>
            </w:tr>
            <w:tr w:rsidR="009779A7" w14:paraId="552CCA00" w14:textId="77777777" w:rsidTr="008C48BA">
              <w:tc>
                <w:tcPr>
                  <w:tcW w:w="42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89481DA"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Job title:</w:t>
                  </w:r>
                </w:p>
              </w:tc>
              <w:tc>
                <w:tcPr>
                  <w:tcW w:w="5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4463A06"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Research Fellow</w:t>
                  </w:r>
                </w:p>
              </w:tc>
            </w:tr>
            <w:tr w:rsidR="009779A7" w14:paraId="795AB800" w14:textId="77777777" w:rsidTr="008C48BA">
              <w:tc>
                <w:tcPr>
                  <w:tcW w:w="42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24E4954"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Affiliation/organisation:</w:t>
                  </w:r>
                </w:p>
              </w:tc>
              <w:tc>
                <w:tcPr>
                  <w:tcW w:w="5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5FE181"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London School of Hygiene and Tropical Medicine</w:t>
                  </w:r>
                </w:p>
              </w:tc>
            </w:tr>
            <w:tr w:rsidR="009779A7" w14:paraId="10EC3161" w14:textId="77777777" w:rsidTr="008C48BA">
              <w:tc>
                <w:tcPr>
                  <w:tcW w:w="42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851C34D"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Email address:</w:t>
                  </w:r>
                </w:p>
              </w:tc>
              <w:tc>
                <w:tcPr>
                  <w:tcW w:w="5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BE2707"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Helen.strongman@lshtm.ac.uk</w:t>
                  </w:r>
                </w:p>
              </w:tc>
            </w:tr>
            <w:tr w:rsidR="009779A7" w14:paraId="046DE919" w14:textId="77777777" w:rsidTr="008C48BA">
              <w:tc>
                <w:tcPr>
                  <w:tcW w:w="42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02F170D"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CV Number (if applicable):</w:t>
                  </w:r>
                </w:p>
              </w:tc>
              <w:tc>
                <w:tcPr>
                  <w:tcW w:w="5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9942C22"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419_15</w:t>
                  </w:r>
                </w:p>
              </w:tc>
            </w:tr>
            <w:tr w:rsidR="009779A7" w14:paraId="0C86DCC6" w14:textId="77777777" w:rsidTr="008C48BA">
              <w:trPr>
                <w:trHeight w:val="70"/>
              </w:trPr>
              <w:tc>
                <w:tcPr>
                  <w:tcW w:w="42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7942845"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Will this person be analysing the data? (Y/N)</w:t>
                  </w:r>
                </w:p>
              </w:tc>
              <w:tc>
                <w:tcPr>
                  <w:tcW w:w="555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9D99DC8" w14:textId="77777777" w:rsidR="009779A7" w:rsidRDefault="009779A7" w:rsidP="001A69D6">
                  <w:pPr>
                    <w:pStyle w:val="NormalWeb"/>
                    <w:spacing w:before="0" w:beforeAutospacing="0" w:after="0" w:afterAutospacing="0"/>
                    <w:rPr>
                      <w:rFonts w:ascii="Calibri" w:hAnsi="Calibri" w:cs="Segoe UI"/>
                      <w:color w:val="201F1E"/>
                      <w:sz w:val="22"/>
                      <w:szCs w:val="22"/>
                    </w:rPr>
                  </w:pPr>
                  <w:r>
                    <w:rPr>
                      <w:rFonts w:ascii="Arial" w:hAnsi="Arial" w:cs="Arial"/>
                      <w:color w:val="201F1E"/>
                      <w:sz w:val="20"/>
                      <w:szCs w:val="20"/>
                      <w:bdr w:val="none" w:sz="0" w:space="0" w:color="auto" w:frame="1"/>
                    </w:rPr>
                    <w:t>Y</w:t>
                  </w:r>
                </w:p>
              </w:tc>
            </w:tr>
          </w:tbl>
          <w:p w14:paraId="2CD0469D" w14:textId="77777777" w:rsidR="009779A7" w:rsidRDefault="009779A7" w:rsidP="001A69D6">
            <w:pPr>
              <w:rPr>
                <w:rFonts w:cs="Arial"/>
                <w:szCs w:val="20"/>
                <w:highlight w:val="cyan"/>
              </w:rPr>
            </w:pP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42258C" w14:paraId="24CBE7A8" w14:textId="77777777" w:rsidTr="008C48BA">
              <w:tc>
                <w:tcPr>
                  <w:tcW w:w="4282" w:type="dxa"/>
                </w:tcPr>
                <w:p w14:paraId="4D31AEBB" w14:textId="77777777" w:rsidR="009779A7" w:rsidRPr="0042258C" w:rsidRDefault="009779A7" w:rsidP="001A69D6">
                  <w:pPr>
                    <w:rPr>
                      <w:rFonts w:cs="Arial"/>
                      <w:szCs w:val="20"/>
                    </w:rPr>
                  </w:pPr>
                  <w:r w:rsidRPr="0042258C">
                    <w:rPr>
                      <w:rFonts w:cs="Arial"/>
                      <w:szCs w:val="20"/>
                    </w:rPr>
                    <w:t>Title:</w:t>
                  </w:r>
                </w:p>
              </w:tc>
              <w:tc>
                <w:tcPr>
                  <w:tcW w:w="5555" w:type="dxa"/>
                </w:tcPr>
                <w:p w14:paraId="06091088" w14:textId="77777777" w:rsidR="009779A7" w:rsidRPr="0042258C" w:rsidRDefault="009779A7" w:rsidP="001A69D6">
                  <w:pPr>
                    <w:rPr>
                      <w:rFonts w:cs="Arial"/>
                      <w:szCs w:val="20"/>
                    </w:rPr>
                  </w:pPr>
                  <w:r w:rsidRPr="0042258C">
                    <w:rPr>
                      <w:rFonts w:cs="Arial"/>
                      <w:szCs w:val="20"/>
                    </w:rPr>
                    <w:t xml:space="preserve">Dr </w:t>
                  </w:r>
                </w:p>
              </w:tc>
            </w:tr>
            <w:tr w:rsidR="009779A7" w:rsidRPr="0042258C" w14:paraId="1146DB85" w14:textId="77777777" w:rsidTr="008C48BA">
              <w:tc>
                <w:tcPr>
                  <w:tcW w:w="4282" w:type="dxa"/>
                </w:tcPr>
                <w:p w14:paraId="3D82DEFD" w14:textId="77777777" w:rsidR="009779A7" w:rsidRPr="0042258C" w:rsidRDefault="009779A7" w:rsidP="001A69D6">
                  <w:pPr>
                    <w:rPr>
                      <w:rFonts w:cs="Arial"/>
                      <w:szCs w:val="20"/>
                    </w:rPr>
                  </w:pPr>
                  <w:r w:rsidRPr="0042258C">
                    <w:rPr>
                      <w:rFonts w:cs="Arial"/>
                      <w:szCs w:val="20"/>
                    </w:rPr>
                    <w:t>Full name:</w:t>
                  </w:r>
                </w:p>
              </w:tc>
              <w:tc>
                <w:tcPr>
                  <w:tcW w:w="5555" w:type="dxa"/>
                </w:tcPr>
                <w:p w14:paraId="60B16A46" w14:textId="77777777" w:rsidR="009779A7" w:rsidRPr="0042258C" w:rsidRDefault="009779A7" w:rsidP="001A69D6">
                  <w:pPr>
                    <w:rPr>
                      <w:rFonts w:cs="Arial"/>
                      <w:szCs w:val="20"/>
                    </w:rPr>
                  </w:pPr>
                  <w:r>
                    <w:rPr>
                      <w:rFonts w:cs="Arial"/>
                      <w:szCs w:val="20"/>
                    </w:rPr>
                    <w:t xml:space="preserve">Helena </w:t>
                  </w:r>
                  <w:proofErr w:type="spellStart"/>
                  <w:r>
                    <w:rPr>
                      <w:rFonts w:cs="Arial"/>
                      <w:szCs w:val="20"/>
                    </w:rPr>
                    <w:t>Carreira</w:t>
                  </w:r>
                  <w:proofErr w:type="spellEnd"/>
                </w:p>
              </w:tc>
            </w:tr>
            <w:tr w:rsidR="009779A7" w:rsidRPr="0042258C" w14:paraId="391DC808" w14:textId="77777777" w:rsidTr="008C48BA">
              <w:tc>
                <w:tcPr>
                  <w:tcW w:w="4282" w:type="dxa"/>
                </w:tcPr>
                <w:p w14:paraId="666039DB" w14:textId="77777777" w:rsidR="009779A7" w:rsidRPr="0042258C" w:rsidRDefault="009779A7" w:rsidP="001A69D6">
                  <w:pPr>
                    <w:rPr>
                      <w:rFonts w:cs="Arial"/>
                      <w:szCs w:val="20"/>
                    </w:rPr>
                  </w:pPr>
                  <w:r w:rsidRPr="0042258C">
                    <w:rPr>
                      <w:rFonts w:cs="Arial"/>
                      <w:szCs w:val="20"/>
                    </w:rPr>
                    <w:t>Job title:</w:t>
                  </w:r>
                </w:p>
              </w:tc>
              <w:tc>
                <w:tcPr>
                  <w:tcW w:w="5555" w:type="dxa"/>
                </w:tcPr>
                <w:p w14:paraId="14987DC6" w14:textId="77777777" w:rsidR="009779A7" w:rsidRPr="0042258C" w:rsidRDefault="009779A7" w:rsidP="001A69D6">
                  <w:pPr>
                    <w:rPr>
                      <w:rFonts w:cs="Arial"/>
                      <w:szCs w:val="20"/>
                    </w:rPr>
                  </w:pPr>
                  <w:r>
                    <w:rPr>
                      <w:rFonts w:cs="Arial"/>
                      <w:szCs w:val="20"/>
                    </w:rPr>
                    <w:t>Research Fellow</w:t>
                  </w:r>
                </w:p>
              </w:tc>
            </w:tr>
            <w:tr w:rsidR="009779A7" w:rsidRPr="0042258C" w14:paraId="358DD49E" w14:textId="77777777" w:rsidTr="008C48BA">
              <w:tc>
                <w:tcPr>
                  <w:tcW w:w="4282" w:type="dxa"/>
                </w:tcPr>
                <w:p w14:paraId="468FB01A" w14:textId="77777777" w:rsidR="009779A7" w:rsidRPr="0042258C" w:rsidRDefault="009779A7" w:rsidP="001A69D6">
                  <w:pPr>
                    <w:rPr>
                      <w:rFonts w:cs="Arial"/>
                      <w:szCs w:val="20"/>
                    </w:rPr>
                  </w:pPr>
                  <w:r w:rsidRPr="0042258C">
                    <w:rPr>
                      <w:rFonts w:cs="Arial"/>
                      <w:szCs w:val="20"/>
                    </w:rPr>
                    <w:t>Affiliation/organisation:</w:t>
                  </w:r>
                </w:p>
              </w:tc>
              <w:tc>
                <w:tcPr>
                  <w:tcW w:w="5555" w:type="dxa"/>
                </w:tcPr>
                <w:p w14:paraId="11639D14" w14:textId="77777777" w:rsidR="009779A7" w:rsidRPr="0042258C" w:rsidRDefault="009779A7" w:rsidP="001A69D6">
                  <w:pPr>
                    <w:rPr>
                      <w:rFonts w:cs="Arial"/>
                      <w:szCs w:val="20"/>
                    </w:rPr>
                  </w:pPr>
                  <w:r w:rsidRPr="0042258C">
                    <w:rPr>
                      <w:rFonts w:cs="Arial"/>
                      <w:szCs w:val="20"/>
                    </w:rPr>
                    <w:t>London School of Hygiene and Tropical Medicine</w:t>
                  </w:r>
                </w:p>
              </w:tc>
            </w:tr>
            <w:tr w:rsidR="009779A7" w:rsidRPr="0042258C" w14:paraId="093059A2" w14:textId="77777777" w:rsidTr="008C48BA">
              <w:tc>
                <w:tcPr>
                  <w:tcW w:w="4282" w:type="dxa"/>
                </w:tcPr>
                <w:p w14:paraId="1D228EC3" w14:textId="77777777" w:rsidR="009779A7" w:rsidRPr="0042258C" w:rsidRDefault="009779A7" w:rsidP="001A69D6">
                  <w:pPr>
                    <w:rPr>
                      <w:rFonts w:cs="Arial"/>
                      <w:szCs w:val="20"/>
                    </w:rPr>
                  </w:pPr>
                  <w:r w:rsidRPr="0042258C">
                    <w:rPr>
                      <w:rFonts w:cs="Arial"/>
                      <w:szCs w:val="20"/>
                    </w:rPr>
                    <w:t>Email address:</w:t>
                  </w:r>
                </w:p>
              </w:tc>
              <w:tc>
                <w:tcPr>
                  <w:tcW w:w="5555" w:type="dxa"/>
                </w:tcPr>
                <w:p w14:paraId="51CB8EC1" w14:textId="683F1E1B" w:rsidR="009779A7" w:rsidRPr="0042258C" w:rsidRDefault="009779A7" w:rsidP="001A69D6">
                  <w:pPr>
                    <w:rPr>
                      <w:rFonts w:cs="Arial"/>
                      <w:szCs w:val="20"/>
                    </w:rPr>
                  </w:pPr>
                  <w:r w:rsidRPr="00296883">
                    <w:rPr>
                      <w:rFonts w:cs="Arial"/>
                      <w:szCs w:val="20"/>
                    </w:rPr>
                    <w:t>Helena.carreira@lshtm.ac.uk</w:t>
                  </w:r>
                </w:p>
              </w:tc>
            </w:tr>
            <w:tr w:rsidR="009779A7" w:rsidRPr="0042258C" w14:paraId="1FD3F115" w14:textId="77777777" w:rsidTr="008C48BA">
              <w:tc>
                <w:tcPr>
                  <w:tcW w:w="4282" w:type="dxa"/>
                </w:tcPr>
                <w:p w14:paraId="1EEB5553" w14:textId="77777777" w:rsidR="009779A7" w:rsidRPr="0042258C" w:rsidRDefault="009779A7" w:rsidP="001A69D6">
                  <w:pPr>
                    <w:rPr>
                      <w:rFonts w:cs="Arial"/>
                      <w:szCs w:val="20"/>
                    </w:rPr>
                  </w:pPr>
                  <w:r w:rsidRPr="0042258C">
                    <w:rPr>
                      <w:rFonts w:cs="Arial"/>
                      <w:szCs w:val="20"/>
                    </w:rPr>
                    <w:t>CV Number (if applicable):</w:t>
                  </w:r>
                </w:p>
              </w:tc>
              <w:tc>
                <w:tcPr>
                  <w:tcW w:w="5555" w:type="dxa"/>
                </w:tcPr>
                <w:p w14:paraId="453510D7" w14:textId="77777777" w:rsidR="009779A7" w:rsidRPr="0042258C" w:rsidRDefault="009779A7" w:rsidP="001A69D6">
                  <w:pPr>
                    <w:rPr>
                      <w:rFonts w:cs="Arial"/>
                      <w:szCs w:val="20"/>
                    </w:rPr>
                  </w:pPr>
                  <w:r>
                    <w:rPr>
                      <w:rFonts w:cs="Arial"/>
                      <w:szCs w:val="20"/>
                    </w:rPr>
                    <w:t>540_18</w:t>
                  </w:r>
                </w:p>
              </w:tc>
            </w:tr>
            <w:tr w:rsidR="009779A7" w:rsidRPr="0042258C" w14:paraId="2A82FE4A" w14:textId="77777777" w:rsidTr="008C48BA">
              <w:tc>
                <w:tcPr>
                  <w:tcW w:w="4282" w:type="dxa"/>
                </w:tcPr>
                <w:p w14:paraId="20D47877" w14:textId="77777777" w:rsidR="009779A7" w:rsidRPr="0042258C" w:rsidRDefault="009779A7" w:rsidP="001A69D6">
                  <w:pPr>
                    <w:rPr>
                      <w:rFonts w:cs="Arial"/>
                      <w:szCs w:val="20"/>
                    </w:rPr>
                  </w:pPr>
                  <w:r w:rsidRPr="0042258C">
                    <w:rPr>
                      <w:rFonts w:cs="Arial"/>
                      <w:szCs w:val="20"/>
                    </w:rPr>
                    <w:t>Will this person be analysing the data? (Y/N)</w:t>
                  </w:r>
                </w:p>
              </w:tc>
              <w:tc>
                <w:tcPr>
                  <w:tcW w:w="5555" w:type="dxa"/>
                </w:tcPr>
                <w:p w14:paraId="121E2BCC" w14:textId="77777777" w:rsidR="009779A7" w:rsidRPr="0042258C" w:rsidRDefault="009779A7" w:rsidP="001A69D6">
                  <w:pPr>
                    <w:rPr>
                      <w:rFonts w:cs="Arial"/>
                      <w:szCs w:val="20"/>
                    </w:rPr>
                  </w:pPr>
                  <w:r w:rsidRPr="0042258C">
                    <w:rPr>
                      <w:rFonts w:cs="Arial"/>
                      <w:szCs w:val="20"/>
                    </w:rPr>
                    <w:t>Y</w:t>
                  </w:r>
                </w:p>
              </w:tc>
            </w:tr>
          </w:tbl>
          <w:p w14:paraId="7E6213CD" w14:textId="77777777" w:rsidR="009779A7" w:rsidRDefault="009779A7" w:rsidP="001A69D6">
            <w:pPr>
              <w:rPr>
                <w:rFonts w:cs="Arial"/>
                <w:szCs w:val="20"/>
                <w:highlight w:val="cyan"/>
              </w:rPr>
            </w:pP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42258C" w14:paraId="4E69D6B9" w14:textId="77777777" w:rsidTr="008C48BA">
              <w:tc>
                <w:tcPr>
                  <w:tcW w:w="4282" w:type="dxa"/>
                </w:tcPr>
                <w:p w14:paraId="139EA526" w14:textId="77777777" w:rsidR="009779A7" w:rsidRPr="0042258C" w:rsidRDefault="009779A7" w:rsidP="001A69D6">
                  <w:pPr>
                    <w:rPr>
                      <w:rFonts w:cs="Arial"/>
                      <w:szCs w:val="20"/>
                    </w:rPr>
                  </w:pPr>
                  <w:r w:rsidRPr="0042258C">
                    <w:rPr>
                      <w:rFonts w:cs="Arial"/>
                      <w:szCs w:val="20"/>
                    </w:rPr>
                    <w:t>Title:</w:t>
                  </w:r>
                </w:p>
              </w:tc>
              <w:tc>
                <w:tcPr>
                  <w:tcW w:w="5555" w:type="dxa"/>
                </w:tcPr>
                <w:p w14:paraId="48325814" w14:textId="77777777" w:rsidR="009779A7" w:rsidRPr="0042258C" w:rsidRDefault="009779A7" w:rsidP="001A69D6">
                  <w:pPr>
                    <w:rPr>
                      <w:rFonts w:cs="Arial"/>
                      <w:szCs w:val="20"/>
                    </w:rPr>
                  </w:pPr>
                  <w:r w:rsidRPr="0042258C">
                    <w:rPr>
                      <w:rFonts w:cs="Arial"/>
                      <w:szCs w:val="20"/>
                    </w:rPr>
                    <w:t xml:space="preserve">Dr </w:t>
                  </w:r>
                </w:p>
              </w:tc>
            </w:tr>
            <w:tr w:rsidR="009779A7" w:rsidRPr="0042258C" w14:paraId="1E37E856" w14:textId="77777777" w:rsidTr="008C48BA">
              <w:tc>
                <w:tcPr>
                  <w:tcW w:w="4282" w:type="dxa"/>
                </w:tcPr>
                <w:p w14:paraId="4D5F60C8" w14:textId="77777777" w:rsidR="009779A7" w:rsidRPr="0042258C" w:rsidRDefault="009779A7" w:rsidP="001A69D6">
                  <w:pPr>
                    <w:rPr>
                      <w:rFonts w:cs="Arial"/>
                      <w:szCs w:val="20"/>
                    </w:rPr>
                  </w:pPr>
                  <w:r w:rsidRPr="0042258C">
                    <w:rPr>
                      <w:rFonts w:cs="Arial"/>
                      <w:szCs w:val="20"/>
                    </w:rPr>
                    <w:t>Full name:</w:t>
                  </w:r>
                </w:p>
              </w:tc>
              <w:tc>
                <w:tcPr>
                  <w:tcW w:w="5555" w:type="dxa"/>
                </w:tcPr>
                <w:p w14:paraId="5F10AFDF" w14:textId="77777777" w:rsidR="009779A7" w:rsidRPr="0042258C" w:rsidRDefault="009779A7" w:rsidP="001A69D6">
                  <w:pPr>
                    <w:rPr>
                      <w:rFonts w:cs="Arial"/>
                      <w:szCs w:val="20"/>
                    </w:rPr>
                  </w:pPr>
                  <w:r>
                    <w:rPr>
                      <w:rFonts w:cs="Arial"/>
                      <w:szCs w:val="20"/>
                    </w:rPr>
                    <w:t>Charlotte Warren-Gash</w:t>
                  </w:r>
                </w:p>
              </w:tc>
            </w:tr>
            <w:tr w:rsidR="009779A7" w:rsidRPr="0042258C" w14:paraId="0429AF78" w14:textId="77777777" w:rsidTr="008C48BA">
              <w:tc>
                <w:tcPr>
                  <w:tcW w:w="4282" w:type="dxa"/>
                </w:tcPr>
                <w:p w14:paraId="61D8FB6A" w14:textId="77777777" w:rsidR="009779A7" w:rsidRPr="0042258C" w:rsidRDefault="009779A7" w:rsidP="001A69D6">
                  <w:pPr>
                    <w:rPr>
                      <w:rFonts w:cs="Arial"/>
                      <w:szCs w:val="20"/>
                    </w:rPr>
                  </w:pPr>
                  <w:r w:rsidRPr="0042258C">
                    <w:rPr>
                      <w:rFonts w:cs="Arial"/>
                      <w:szCs w:val="20"/>
                    </w:rPr>
                    <w:t>Job title:</w:t>
                  </w:r>
                </w:p>
              </w:tc>
              <w:tc>
                <w:tcPr>
                  <w:tcW w:w="5555" w:type="dxa"/>
                </w:tcPr>
                <w:p w14:paraId="5C31F8FB" w14:textId="77777777" w:rsidR="009779A7" w:rsidRPr="0042258C" w:rsidRDefault="009779A7" w:rsidP="001A69D6">
                  <w:pPr>
                    <w:rPr>
                      <w:rFonts w:cs="Arial"/>
                      <w:szCs w:val="20"/>
                    </w:rPr>
                  </w:pPr>
                  <w:r>
                    <w:rPr>
                      <w:rFonts w:cs="Arial"/>
                      <w:szCs w:val="20"/>
                    </w:rPr>
                    <w:t>Associate Professor</w:t>
                  </w:r>
                </w:p>
              </w:tc>
            </w:tr>
            <w:tr w:rsidR="009779A7" w:rsidRPr="0042258C" w14:paraId="20BF5E84" w14:textId="77777777" w:rsidTr="008C48BA">
              <w:tc>
                <w:tcPr>
                  <w:tcW w:w="4282" w:type="dxa"/>
                </w:tcPr>
                <w:p w14:paraId="4E3D52DA" w14:textId="77777777" w:rsidR="009779A7" w:rsidRPr="0042258C" w:rsidRDefault="009779A7" w:rsidP="001A69D6">
                  <w:pPr>
                    <w:rPr>
                      <w:rFonts w:cs="Arial"/>
                      <w:szCs w:val="20"/>
                    </w:rPr>
                  </w:pPr>
                  <w:r w:rsidRPr="0042258C">
                    <w:rPr>
                      <w:rFonts w:cs="Arial"/>
                      <w:szCs w:val="20"/>
                    </w:rPr>
                    <w:t>Affiliation/organisation:</w:t>
                  </w:r>
                </w:p>
              </w:tc>
              <w:tc>
                <w:tcPr>
                  <w:tcW w:w="5555" w:type="dxa"/>
                </w:tcPr>
                <w:p w14:paraId="21A0613E" w14:textId="77777777" w:rsidR="009779A7" w:rsidRPr="008B393F" w:rsidRDefault="009779A7" w:rsidP="001A69D6">
                  <w:pPr>
                    <w:rPr>
                      <w:rFonts w:cs="Arial"/>
                      <w:szCs w:val="20"/>
                    </w:rPr>
                  </w:pPr>
                  <w:r w:rsidRPr="008B393F">
                    <w:rPr>
                      <w:rFonts w:cs="Arial"/>
                      <w:szCs w:val="20"/>
                    </w:rPr>
                    <w:t>London School of Hygiene and Tropical Medicine</w:t>
                  </w:r>
                </w:p>
              </w:tc>
            </w:tr>
            <w:tr w:rsidR="009779A7" w:rsidRPr="0042258C" w14:paraId="1C4DE2B7" w14:textId="77777777" w:rsidTr="008C48BA">
              <w:tc>
                <w:tcPr>
                  <w:tcW w:w="4282" w:type="dxa"/>
                </w:tcPr>
                <w:p w14:paraId="6899C35F" w14:textId="77777777" w:rsidR="009779A7" w:rsidRPr="0042258C" w:rsidRDefault="009779A7" w:rsidP="001A69D6">
                  <w:pPr>
                    <w:rPr>
                      <w:rFonts w:cs="Arial"/>
                      <w:szCs w:val="20"/>
                    </w:rPr>
                  </w:pPr>
                  <w:r w:rsidRPr="0042258C">
                    <w:rPr>
                      <w:rFonts w:cs="Arial"/>
                      <w:szCs w:val="20"/>
                    </w:rPr>
                    <w:t>Email address:</w:t>
                  </w:r>
                </w:p>
              </w:tc>
              <w:tc>
                <w:tcPr>
                  <w:tcW w:w="5555" w:type="dxa"/>
                </w:tcPr>
                <w:p w14:paraId="6DE8F00C" w14:textId="77777777" w:rsidR="009779A7" w:rsidRPr="008B393F" w:rsidRDefault="009779A7" w:rsidP="001A69D6">
                  <w:pPr>
                    <w:rPr>
                      <w:rFonts w:cs="Arial"/>
                      <w:szCs w:val="20"/>
                    </w:rPr>
                  </w:pPr>
                  <w:r w:rsidRPr="008B393F">
                    <w:rPr>
                      <w:rFonts w:cs="Arial"/>
                      <w:szCs w:val="20"/>
                    </w:rPr>
                    <w:t>Charlotte.warren-gash1@lshtm.ac.uk</w:t>
                  </w:r>
                </w:p>
              </w:tc>
            </w:tr>
            <w:tr w:rsidR="009779A7" w:rsidRPr="0042258C" w14:paraId="26686864" w14:textId="77777777" w:rsidTr="008C48BA">
              <w:tc>
                <w:tcPr>
                  <w:tcW w:w="4282" w:type="dxa"/>
                </w:tcPr>
                <w:p w14:paraId="72FF3EC0" w14:textId="77777777" w:rsidR="009779A7" w:rsidRPr="0042258C" w:rsidRDefault="009779A7" w:rsidP="001A69D6">
                  <w:pPr>
                    <w:rPr>
                      <w:rFonts w:cs="Arial"/>
                      <w:szCs w:val="20"/>
                    </w:rPr>
                  </w:pPr>
                  <w:r w:rsidRPr="0042258C">
                    <w:rPr>
                      <w:rFonts w:cs="Arial"/>
                      <w:szCs w:val="20"/>
                    </w:rPr>
                    <w:t>CV Number (if applicable):</w:t>
                  </w:r>
                </w:p>
              </w:tc>
              <w:tc>
                <w:tcPr>
                  <w:tcW w:w="5555" w:type="dxa"/>
                </w:tcPr>
                <w:p w14:paraId="45173566" w14:textId="77777777" w:rsidR="009779A7" w:rsidRPr="008B393F" w:rsidRDefault="009779A7" w:rsidP="001A69D6">
                  <w:pPr>
                    <w:rPr>
                      <w:rFonts w:cs="Arial"/>
                      <w:szCs w:val="20"/>
                    </w:rPr>
                  </w:pPr>
                  <w:r w:rsidRPr="008B393F">
                    <w:rPr>
                      <w:rFonts w:cs="Arial"/>
                      <w:szCs w:val="20"/>
                    </w:rPr>
                    <w:t>815_16</w:t>
                  </w:r>
                </w:p>
              </w:tc>
            </w:tr>
            <w:tr w:rsidR="009779A7" w:rsidRPr="0042258C" w14:paraId="7BE3E33C" w14:textId="77777777" w:rsidTr="008C48BA">
              <w:tc>
                <w:tcPr>
                  <w:tcW w:w="4282" w:type="dxa"/>
                </w:tcPr>
                <w:p w14:paraId="0E79921B" w14:textId="77777777" w:rsidR="009779A7" w:rsidRPr="0042258C" w:rsidRDefault="009779A7" w:rsidP="001A69D6">
                  <w:pPr>
                    <w:rPr>
                      <w:rFonts w:cs="Arial"/>
                      <w:szCs w:val="20"/>
                    </w:rPr>
                  </w:pPr>
                  <w:r w:rsidRPr="0042258C">
                    <w:rPr>
                      <w:rFonts w:cs="Arial"/>
                      <w:szCs w:val="20"/>
                    </w:rPr>
                    <w:t>Will this person be analysing the data? (Y/N)</w:t>
                  </w:r>
                </w:p>
              </w:tc>
              <w:tc>
                <w:tcPr>
                  <w:tcW w:w="5555" w:type="dxa"/>
                </w:tcPr>
                <w:p w14:paraId="68E6DE1D" w14:textId="77777777" w:rsidR="009779A7" w:rsidRPr="0042258C" w:rsidRDefault="009779A7" w:rsidP="001A69D6">
                  <w:pPr>
                    <w:rPr>
                      <w:rFonts w:cs="Arial"/>
                      <w:szCs w:val="20"/>
                    </w:rPr>
                  </w:pPr>
                  <w:r>
                    <w:rPr>
                      <w:rFonts w:cs="Arial"/>
                      <w:szCs w:val="20"/>
                    </w:rPr>
                    <w:t>N</w:t>
                  </w:r>
                </w:p>
              </w:tc>
            </w:tr>
          </w:tbl>
          <w:p w14:paraId="709179CB" w14:textId="77777777" w:rsidR="009779A7" w:rsidRDefault="009779A7" w:rsidP="001A69D6">
            <w:pPr>
              <w:rPr>
                <w:rFonts w:cs="Arial"/>
                <w:szCs w:val="20"/>
                <w:highlight w:val="cyan"/>
              </w:rPr>
            </w:pP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2"/>
              <w:gridCol w:w="5555"/>
            </w:tblGrid>
            <w:tr w:rsidR="009779A7" w:rsidRPr="0042258C" w14:paraId="5CC9DB56" w14:textId="77777777" w:rsidTr="008C48BA">
              <w:tc>
                <w:tcPr>
                  <w:tcW w:w="4282" w:type="dxa"/>
                </w:tcPr>
                <w:p w14:paraId="17FA4A79" w14:textId="77777777" w:rsidR="009779A7" w:rsidRPr="0042258C" w:rsidRDefault="009779A7" w:rsidP="001A69D6">
                  <w:pPr>
                    <w:rPr>
                      <w:rFonts w:cs="Arial"/>
                      <w:szCs w:val="20"/>
                    </w:rPr>
                  </w:pPr>
                  <w:r w:rsidRPr="0042258C">
                    <w:rPr>
                      <w:rFonts w:cs="Arial"/>
                      <w:szCs w:val="20"/>
                    </w:rPr>
                    <w:t>Title:</w:t>
                  </w:r>
                </w:p>
              </w:tc>
              <w:tc>
                <w:tcPr>
                  <w:tcW w:w="5555" w:type="dxa"/>
                </w:tcPr>
                <w:p w14:paraId="7807C2D2" w14:textId="77777777" w:rsidR="009779A7" w:rsidRPr="0042258C" w:rsidRDefault="009779A7" w:rsidP="001A69D6">
                  <w:pPr>
                    <w:rPr>
                      <w:rFonts w:cs="Arial"/>
                      <w:szCs w:val="20"/>
                    </w:rPr>
                  </w:pPr>
                  <w:r w:rsidRPr="0042258C">
                    <w:rPr>
                      <w:rFonts w:cs="Arial"/>
                      <w:szCs w:val="20"/>
                    </w:rPr>
                    <w:t xml:space="preserve">Dr </w:t>
                  </w:r>
                </w:p>
              </w:tc>
            </w:tr>
            <w:tr w:rsidR="009779A7" w:rsidRPr="0042258C" w14:paraId="12DB6D31" w14:textId="77777777" w:rsidTr="008C48BA">
              <w:tc>
                <w:tcPr>
                  <w:tcW w:w="4282" w:type="dxa"/>
                </w:tcPr>
                <w:p w14:paraId="46F0658F" w14:textId="77777777" w:rsidR="009779A7" w:rsidRPr="0042258C" w:rsidRDefault="009779A7" w:rsidP="001A69D6">
                  <w:pPr>
                    <w:rPr>
                      <w:rFonts w:cs="Arial"/>
                      <w:szCs w:val="20"/>
                    </w:rPr>
                  </w:pPr>
                  <w:r w:rsidRPr="0042258C">
                    <w:rPr>
                      <w:rFonts w:cs="Arial"/>
                      <w:szCs w:val="20"/>
                    </w:rPr>
                    <w:t>Full name:</w:t>
                  </w:r>
                </w:p>
              </w:tc>
              <w:tc>
                <w:tcPr>
                  <w:tcW w:w="5555" w:type="dxa"/>
                </w:tcPr>
                <w:p w14:paraId="0F74E755" w14:textId="77777777" w:rsidR="009779A7" w:rsidRPr="0042258C" w:rsidRDefault="009779A7" w:rsidP="001A69D6">
                  <w:pPr>
                    <w:rPr>
                      <w:rFonts w:cs="Arial"/>
                      <w:szCs w:val="20"/>
                    </w:rPr>
                  </w:pPr>
                  <w:r>
                    <w:rPr>
                      <w:rFonts w:cs="Arial"/>
                      <w:szCs w:val="20"/>
                    </w:rPr>
                    <w:t>Harriet Forbes</w:t>
                  </w:r>
                </w:p>
              </w:tc>
            </w:tr>
            <w:tr w:rsidR="009779A7" w:rsidRPr="0042258C" w14:paraId="34C8ACA3" w14:textId="77777777" w:rsidTr="008C48BA">
              <w:tc>
                <w:tcPr>
                  <w:tcW w:w="4282" w:type="dxa"/>
                </w:tcPr>
                <w:p w14:paraId="06F8A4F4" w14:textId="77777777" w:rsidR="009779A7" w:rsidRPr="0042258C" w:rsidRDefault="009779A7" w:rsidP="001A69D6">
                  <w:pPr>
                    <w:rPr>
                      <w:rFonts w:cs="Arial"/>
                      <w:szCs w:val="20"/>
                    </w:rPr>
                  </w:pPr>
                  <w:r w:rsidRPr="0042258C">
                    <w:rPr>
                      <w:rFonts w:cs="Arial"/>
                      <w:szCs w:val="20"/>
                    </w:rPr>
                    <w:t>Job title:</w:t>
                  </w:r>
                </w:p>
              </w:tc>
              <w:tc>
                <w:tcPr>
                  <w:tcW w:w="5555" w:type="dxa"/>
                </w:tcPr>
                <w:p w14:paraId="0BDCE84E" w14:textId="77777777" w:rsidR="009779A7" w:rsidRPr="0042258C" w:rsidRDefault="009779A7" w:rsidP="001A69D6">
                  <w:pPr>
                    <w:rPr>
                      <w:rFonts w:cs="Arial"/>
                      <w:szCs w:val="20"/>
                    </w:rPr>
                  </w:pPr>
                  <w:r w:rsidRPr="0042258C">
                    <w:rPr>
                      <w:rFonts w:cs="Arial"/>
                      <w:szCs w:val="20"/>
                    </w:rPr>
                    <w:t xml:space="preserve">Assistant </w:t>
                  </w:r>
                  <w:r>
                    <w:rPr>
                      <w:rFonts w:cs="Arial"/>
                      <w:szCs w:val="20"/>
                    </w:rPr>
                    <w:t>Professor</w:t>
                  </w:r>
                </w:p>
              </w:tc>
            </w:tr>
            <w:tr w:rsidR="009779A7" w:rsidRPr="0042258C" w14:paraId="250A88E5" w14:textId="77777777" w:rsidTr="008C48BA">
              <w:tc>
                <w:tcPr>
                  <w:tcW w:w="4282" w:type="dxa"/>
                </w:tcPr>
                <w:p w14:paraId="1193BAD1" w14:textId="77777777" w:rsidR="009779A7" w:rsidRPr="0042258C" w:rsidRDefault="009779A7" w:rsidP="001A69D6">
                  <w:pPr>
                    <w:rPr>
                      <w:rFonts w:cs="Arial"/>
                      <w:szCs w:val="20"/>
                    </w:rPr>
                  </w:pPr>
                  <w:r w:rsidRPr="0042258C">
                    <w:rPr>
                      <w:rFonts w:cs="Arial"/>
                      <w:szCs w:val="20"/>
                    </w:rPr>
                    <w:t>Affiliation/organisation:</w:t>
                  </w:r>
                </w:p>
              </w:tc>
              <w:tc>
                <w:tcPr>
                  <w:tcW w:w="5555" w:type="dxa"/>
                </w:tcPr>
                <w:p w14:paraId="6B728FFB" w14:textId="77777777" w:rsidR="009779A7" w:rsidRPr="008B393F" w:rsidRDefault="009779A7" w:rsidP="001A69D6">
                  <w:pPr>
                    <w:rPr>
                      <w:rFonts w:cs="Arial"/>
                      <w:szCs w:val="20"/>
                    </w:rPr>
                  </w:pPr>
                  <w:r w:rsidRPr="008B393F">
                    <w:rPr>
                      <w:rFonts w:cs="Arial"/>
                      <w:szCs w:val="20"/>
                    </w:rPr>
                    <w:t>London School of Hygiene and Tropical Medicine</w:t>
                  </w:r>
                </w:p>
              </w:tc>
            </w:tr>
            <w:tr w:rsidR="009779A7" w:rsidRPr="0042258C" w14:paraId="1A3F7B26" w14:textId="77777777" w:rsidTr="008C48BA">
              <w:tc>
                <w:tcPr>
                  <w:tcW w:w="4282" w:type="dxa"/>
                </w:tcPr>
                <w:p w14:paraId="203284A5" w14:textId="77777777" w:rsidR="009779A7" w:rsidRPr="0042258C" w:rsidRDefault="009779A7" w:rsidP="001A69D6">
                  <w:pPr>
                    <w:rPr>
                      <w:rFonts w:cs="Arial"/>
                      <w:szCs w:val="20"/>
                    </w:rPr>
                  </w:pPr>
                  <w:r w:rsidRPr="0042258C">
                    <w:rPr>
                      <w:rFonts w:cs="Arial"/>
                      <w:szCs w:val="20"/>
                    </w:rPr>
                    <w:t>Email address:</w:t>
                  </w:r>
                </w:p>
              </w:tc>
              <w:tc>
                <w:tcPr>
                  <w:tcW w:w="5555" w:type="dxa"/>
                </w:tcPr>
                <w:p w14:paraId="4D178468" w14:textId="77777777" w:rsidR="009779A7" w:rsidRPr="008B393F" w:rsidRDefault="009779A7" w:rsidP="001A69D6">
                  <w:pPr>
                    <w:rPr>
                      <w:rFonts w:cs="Arial"/>
                      <w:szCs w:val="20"/>
                    </w:rPr>
                  </w:pPr>
                  <w:r>
                    <w:rPr>
                      <w:rFonts w:cs="Arial"/>
                      <w:szCs w:val="20"/>
                    </w:rPr>
                    <w:t>Harriet.forbes</w:t>
                  </w:r>
                  <w:r w:rsidRPr="008B393F">
                    <w:rPr>
                      <w:rFonts w:cs="Arial"/>
                      <w:szCs w:val="20"/>
                    </w:rPr>
                    <w:t>@lshtm.ac.uk</w:t>
                  </w:r>
                </w:p>
              </w:tc>
            </w:tr>
            <w:tr w:rsidR="009779A7" w:rsidRPr="0042258C" w14:paraId="7AE5C55F" w14:textId="77777777" w:rsidTr="008C48BA">
              <w:tc>
                <w:tcPr>
                  <w:tcW w:w="4282" w:type="dxa"/>
                </w:tcPr>
                <w:p w14:paraId="106433D4" w14:textId="77777777" w:rsidR="009779A7" w:rsidRPr="0042258C" w:rsidRDefault="009779A7" w:rsidP="001A69D6">
                  <w:pPr>
                    <w:rPr>
                      <w:rFonts w:cs="Arial"/>
                      <w:szCs w:val="20"/>
                    </w:rPr>
                  </w:pPr>
                  <w:r w:rsidRPr="0042258C">
                    <w:rPr>
                      <w:rFonts w:cs="Arial"/>
                      <w:szCs w:val="20"/>
                    </w:rPr>
                    <w:t>CV Number (if applicable):</w:t>
                  </w:r>
                </w:p>
              </w:tc>
              <w:tc>
                <w:tcPr>
                  <w:tcW w:w="5555" w:type="dxa"/>
                </w:tcPr>
                <w:p w14:paraId="6F250961" w14:textId="77777777" w:rsidR="009779A7" w:rsidRPr="008B393F" w:rsidRDefault="009779A7" w:rsidP="001A69D6">
                  <w:pPr>
                    <w:rPr>
                      <w:rFonts w:cs="Arial"/>
                      <w:szCs w:val="20"/>
                    </w:rPr>
                  </w:pPr>
                  <w:r w:rsidRPr="0086171F">
                    <w:rPr>
                      <w:rFonts w:cs="Arial"/>
                      <w:szCs w:val="20"/>
                    </w:rPr>
                    <w:t>465_15</w:t>
                  </w:r>
                </w:p>
              </w:tc>
            </w:tr>
            <w:tr w:rsidR="009779A7" w:rsidRPr="0042258C" w14:paraId="069356EE" w14:textId="77777777" w:rsidTr="008C48BA">
              <w:tc>
                <w:tcPr>
                  <w:tcW w:w="4282" w:type="dxa"/>
                </w:tcPr>
                <w:p w14:paraId="5BD1C685" w14:textId="77777777" w:rsidR="009779A7" w:rsidRPr="0042258C" w:rsidRDefault="009779A7" w:rsidP="001A69D6">
                  <w:pPr>
                    <w:rPr>
                      <w:rFonts w:cs="Arial"/>
                      <w:szCs w:val="20"/>
                    </w:rPr>
                  </w:pPr>
                  <w:r w:rsidRPr="0042258C">
                    <w:rPr>
                      <w:rFonts w:cs="Arial"/>
                      <w:szCs w:val="20"/>
                    </w:rPr>
                    <w:t>Will this person be analysing the data? (Y/N)</w:t>
                  </w:r>
                </w:p>
              </w:tc>
              <w:tc>
                <w:tcPr>
                  <w:tcW w:w="5555" w:type="dxa"/>
                </w:tcPr>
                <w:p w14:paraId="19B9C3A5" w14:textId="77777777" w:rsidR="009779A7" w:rsidRPr="0042258C" w:rsidRDefault="009779A7" w:rsidP="001A69D6">
                  <w:pPr>
                    <w:rPr>
                      <w:rFonts w:cs="Arial"/>
                      <w:szCs w:val="20"/>
                    </w:rPr>
                  </w:pPr>
                  <w:r>
                    <w:rPr>
                      <w:rFonts w:cs="Arial"/>
                      <w:szCs w:val="20"/>
                    </w:rPr>
                    <w:t>N</w:t>
                  </w:r>
                </w:p>
              </w:tc>
            </w:tr>
          </w:tbl>
          <w:p w14:paraId="5D7A8E99" w14:textId="77777777" w:rsidR="009779A7" w:rsidRDefault="009779A7" w:rsidP="001A69D6">
            <w:pPr>
              <w:rPr>
                <w:rFonts w:cs="Arial"/>
                <w:szCs w:val="20"/>
                <w:highlight w:val="cyan"/>
              </w:rPr>
            </w:pPr>
          </w:p>
          <w:tbl>
            <w:tblPr>
              <w:tblStyle w:val="TableGrid"/>
              <w:tblW w:w="0" w:type="auto"/>
              <w:tblLayout w:type="fixed"/>
              <w:tblLook w:val="04A0" w:firstRow="1" w:lastRow="0" w:firstColumn="1" w:lastColumn="0" w:noHBand="0" w:noVBand="1"/>
            </w:tblPr>
            <w:tblGrid>
              <w:gridCol w:w="4282"/>
              <w:gridCol w:w="5555"/>
            </w:tblGrid>
            <w:tr w:rsidR="009779A7" w:rsidRPr="00ED289B" w14:paraId="6F260331" w14:textId="77777777" w:rsidTr="008C48BA">
              <w:tc>
                <w:tcPr>
                  <w:tcW w:w="4282" w:type="dxa"/>
                </w:tcPr>
                <w:p w14:paraId="41BD6EE1" w14:textId="77777777" w:rsidR="009779A7" w:rsidRPr="00F100C2" w:rsidRDefault="009779A7" w:rsidP="001A69D6">
                  <w:pPr>
                    <w:rPr>
                      <w:rFonts w:cs="Arial"/>
                      <w:szCs w:val="20"/>
                    </w:rPr>
                  </w:pPr>
                  <w:r w:rsidRPr="00F100C2">
                    <w:rPr>
                      <w:rFonts w:cs="Arial"/>
                      <w:szCs w:val="20"/>
                    </w:rPr>
                    <w:t>Title:</w:t>
                  </w:r>
                </w:p>
              </w:tc>
              <w:tc>
                <w:tcPr>
                  <w:tcW w:w="5555" w:type="dxa"/>
                </w:tcPr>
                <w:p w14:paraId="1B538BC7" w14:textId="77777777" w:rsidR="009779A7" w:rsidRPr="00F100C2" w:rsidRDefault="009779A7" w:rsidP="001A69D6">
                  <w:pPr>
                    <w:rPr>
                      <w:rFonts w:cs="Arial"/>
                      <w:szCs w:val="20"/>
                    </w:rPr>
                  </w:pPr>
                  <w:r w:rsidRPr="00F100C2">
                    <w:rPr>
                      <w:rFonts w:cs="Arial"/>
                      <w:szCs w:val="20"/>
                    </w:rPr>
                    <w:t xml:space="preserve">Dr </w:t>
                  </w:r>
                </w:p>
              </w:tc>
            </w:tr>
            <w:tr w:rsidR="009779A7" w:rsidRPr="00ED289B" w14:paraId="1AC48710" w14:textId="77777777" w:rsidTr="008C48BA">
              <w:tc>
                <w:tcPr>
                  <w:tcW w:w="4282" w:type="dxa"/>
                </w:tcPr>
                <w:p w14:paraId="20556DF5" w14:textId="77777777" w:rsidR="009779A7" w:rsidRPr="00F100C2" w:rsidRDefault="009779A7" w:rsidP="001A69D6">
                  <w:pPr>
                    <w:rPr>
                      <w:rFonts w:cs="Arial"/>
                      <w:szCs w:val="20"/>
                    </w:rPr>
                  </w:pPr>
                  <w:r w:rsidRPr="00F100C2">
                    <w:rPr>
                      <w:rFonts w:cs="Arial"/>
                      <w:szCs w:val="20"/>
                    </w:rPr>
                    <w:t>Full name:</w:t>
                  </w:r>
                </w:p>
              </w:tc>
              <w:tc>
                <w:tcPr>
                  <w:tcW w:w="5555" w:type="dxa"/>
                </w:tcPr>
                <w:p w14:paraId="08680CED" w14:textId="77777777" w:rsidR="009779A7" w:rsidRPr="00F100C2" w:rsidRDefault="009779A7" w:rsidP="001A69D6">
                  <w:pPr>
                    <w:rPr>
                      <w:rFonts w:cs="Arial"/>
                      <w:szCs w:val="20"/>
                    </w:rPr>
                  </w:pPr>
                  <w:r w:rsidRPr="00F100C2">
                    <w:rPr>
                      <w:rFonts w:cs="Arial"/>
                      <w:szCs w:val="20"/>
                    </w:rPr>
                    <w:t>Sharon Cadogan</w:t>
                  </w:r>
                </w:p>
              </w:tc>
            </w:tr>
            <w:tr w:rsidR="009779A7" w:rsidRPr="00ED289B" w14:paraId="4EAFA39C" w14:textId="77777777" w:rsidTr="008C48BA">
              <w:tc>
                <w:tcPr>
                  <w:tcW w:w="4282" w:type="dxa"/>
                </w:tcPr>
                <w:p w14:paraId="007E35AD" w14:textId="77777777" w:rsidR="009779A7" w:rsidRPr="00F100C2" w:rsidRDefault="009779A7" w:rsidP="001A69D6">
                  <w:pPr>
                    <w:rPr>
                      <w:rFonts w:cs="Arial"/>
                      <w:szCs w:val="20"/>
                    </w:rPr>
                  </w:pPr>
                  <w:r w:rsidRPr="00F100C2">
                    <w:rPr>
                      <w:rFonts w:cs="Arial"/>
                      <w:szCs w:val="20"/>
                    </w:rPr>
                    <w:t>Job title:</w:t>
                  </w:r>
                </w:p>
              </w:tc>
              <w:tc>
                <w:tcPr>
                  <w:tcW w:w="5555" w:type="dxa"/>
                </w:tcPr>
                <w:p w14:paraId="04DDDE8E" w14:textId="77777777" w:rsidR="009779A7" w:rsidRPr="00F100C2" w:rsidRDefault="009779A7" w:rsidP="001A69D6">
                  <w:pPr>
                    <w:rPr>
                      <w:rFonts w:cs="Arial"/>
                      <w:szCs w:val="20"/>
                    </w:rPr>
                  </w:pPr>
                  <w:r w:rsidRPr="00F100C2">
                    <w:rPr>
                      <w:rFonts w:cs="Arial"/>
                      <w:szCs w:val="20"/>
                    </w:rPr>
                    <w:t xml:space="preserve">Research Fellow </w:t>
                  </w:r>
                </w:p>
              </w:tc>
            </w:tr>
            <w:tr w:rsidR="009779A7" w:rsidRPr="00ED289B" w14:paraId="1E17855E" w14:textId="77777777" w:rsidTr="008C48BA">
              <w:tc>
                <w:tcPr>
                  <w:tcW w:w="4282" w:type="dxa"/>
                </w:tcPr>
                <w:p w14:paraId="43247B96" w14:textId="77777777" w:rsidR="009779A7" w:rsidRPr="00F100C2" w:rsidRDefault="009779A7" w:rsidP="001A69D6">
                  <w:pPr>
                    <w:rPr>
                      <w:rFonts w:cs="Arial"/>
                      <w:szCs w:val="20"/>
                    </w:rPr>
                  </w:pPr>
                  <w:r w:rsidRPr="00F100C2">
                    <w:rPr>
                      <w:rFonts w:cs="Arial"/>
                      <w:szCs w:val="20"/>
                    </w:rPr>
                    <w:t>Affiliation/organisation:</w:t>
                  </w:r>
                </w:p>
              </w:tc>
              <w:tc>
                <w:tcPr>
                  <w:tcW w:w="5555" w:type="dxa"/>
                </w:tcPr>
                <w:p w14:paraId="69A5F0E6" w14:textId="77777777" w:rsidR="009779A7" w:rsidRPr="00F100C2" w:rsidRDefault="009779A7" w:rsidP="001A69D6">
                  <w:pPr>
                    <w:rPr>
                      <w:rFonts w:cs="Arial"/>
                      <w:szCs w:val="20"/>
                    </w:rPr>
                  </w:pPr>
                  <w:r w:rsidRPr="00F100C2">
                    <w:rPr>
                      <w:rFonts w:cs="Arial"/>
                      <w:szCs w:val="20"/>
                    </w:rPr>
                    <w:t>London School of Hygiene and Tropical Medicine</w:t>
                  </w:r>
                </w:p>
              </w:tc>
            </w:tr>
            <w:tr w:rsidR="009779A7" w:rsidRPr="00ED289B" w14:paraId="5AC54551" w14:textId="77777777" w:rsidTr="008C48BA">
              <w:tc>
                <w:tcPr>
                  <w:tcW w:w="4282" w:type="dxa"/>
                </w:tcPr>
                <w:p w14:paraId="07642A83" w14:textId="77777777" w:rsidR="009779A7" w:rsidRPr="00F100C2" w:rsidRDefault="009779A7" w:rsidP="001A69D6">
                  <w:pPr>
                    <w:rPr>
                      <w:rFonts w:cs="Arial"/>
                      <w:szCs w:val="20"/>
                    </w:rPr>
                  </w:pPr>
                  <w:r w:rsidRPr="00F100C2">
                    <w:rPr>
                      <w:rFonts w:cs="Arial"/>
                      <w:szCs w:val="20"/>
                    </w:rPr>
                    <w:t>Email address:</w:t>
                  </w:r>
                </w:p>
              </w:tc>
              <w:tc>
                <w:tcPr>
                  <w:tcW w:w="5555" w:type="dxa"/>
                </w:tcPr>
                <w:p w14:paraId="28BFA262" w14:textId="77777777" w:rsidR="009779A7" w:rsidRPr="00F100C2" w:rsidRDefault="009779A7" w:rsidP="001A69D6">
                  <w:pPr>
                    <w:rPr>
                      <w:rFonts w:cs="Arial"/>
                      <w:szCs w:val="20"/>
                    </w:rPr>
                  </w:pPr>
                  <w:r w:rsidRPr="00F100C2">
                    <w:rPr>
                      <w:rFonts w:cs="Arial"/>
                      <w:szCs w:val="20"/>
                    </w:rPr>
                    <w:t>sharon.cadogan@lshtm.ac.uk</w:t>
                  </w:r>
                </w:p>
              </w:tc>
            </w:tr>
            <w:tr w:rsidR="009779A7" w:rsidRPr="00ED289B" w14:paraId="6605834B" w14:textId="77777777" w:rsidTr="008C48BA">
              <w:tc>
                <w:tcPr>
                  <w:tcW w:w="4282" w:type="dxa"/>
                </w:tcPr>
                <w:p w14:paraId="5D012BB6" w14:textId="77777777" w:rsidR="009779A7" w:rsidRPr="00F100C2" w:rsidRDefault="009779A7" w:rsidP="001A69D6">
                  <w:pPr>
                    <w:rPr>
                      <w:rFonts w:cs="Arial"/>
                      <w:szCs w:val="20"/>
                    </w:rPr>
                  </w:pPr>
                  <w:r w:rsidRPr="00F100C2">
                    <w:rPr>
                      <w:rFonts w:cs="Arial"/>
                      <w:szCs w:val="20"/>
                    </w:rPr>
                    <w:t>CV Number (if applicable):</w:t>
                  </w:r>
                </w:p>
              </w:tc>
              <w:tc>
                <w:tcPr>
                  <w:tcW w:w="5555" w:type="dxa"/>
                </w:tcPr>
                <w:p w14:paraId="10F6C58E" w14:textId="77777777" w:rsidR="009779A7" w:rsidRPr="00F100C2" w:rsidRDefault="009779A7" w:rsidP="001A69D6">
                  <w:pPr>
                    <w:rPr>
                      <w:rFonts w:cs="Arial"/>
                      <w:szCs w:val="20"/>
                    </w:rPr>
                  </w:pPr>
                  <w:r>
                    <w:rPr>
                      <w:rFonts w:cs="Arial"/>
                      <w:szCs w:val="20"/>
                    </w:rPr>
                    <w:t>314_19</w:t>
                  </w:r>
                </w:p>
              </w:tc>
            </w:tr>
            <w:tr w:rsidR="009779A7" w:rsidRPr="00ED289B" w14:paraId="5904D030" w14:textId="77777777" w:rsidTr="008C48BA">
              <w:tc>
                <w:tcPr>
                  <w:tcW w:w="4282" w:type="dxa"/>
                </w:tcPr>
                <w:p w14:paraId="7C8AC29D" w14:textId="77777777" w:rsidR="009779A7" w:rsidRPr="00F100C2" w:rsidRDefault="009779A7" w:rsidP="001A69D6">
                  <w:pPr>
                    <w:rPr>
                      <w:rFonts w:cs="Arial"/>
                      <w:szCs w:val="20"/>
                    </w:rPr>
                  </w:pPr>
                  <w:r w:rsidRPr="00F100C2">
                    <w:rPr>
                      <w:rFonts w:cs="Arial"/>
                      <w:szCs w:val="20"/>
                    </w:rPr>
                    <w:t>Will this person be analysing the data? (Y/N)</w:t>
                  </w:r>
                </w:p>
              </w:tc>
              <w:tc>
                <w:tcPr>
                  <w:tcW w:w="5555" w:type="dxa"/>
                </w:tcPr>
                <w:p w14:paraId="7258F03A" w14:textId="77777777" w:rsidR="009779A7" w:rsidRPr="00F100C2" w:rsidRDefault="009779A7" w:rsidP="001A69D6">
                  <w:pPr>
                    <w:rPr>
                      <w:rFonts w:cs="Arial"/>
                      <w:szCs w:val="20"/>
                    </w:rPr>
                  </w:pPr>
                  <w:r w:rsidRPr="00F100C2">
                    <w:rPr>
                      <w:rFonts w:cs="Arial"/>
                      <w:szCs w:val="20"/>
                    </w:rPr>
                    <w:t>Y</w:t>
                  </w:r>
                </w:p>
              </w:tc>
            </w:tr>
          </w:tbl>
          <w:p w14:paraId="28B3A9AA" w14:textId="77777777" w:rsidR="009779A7" w:rsidRDefault="009779A7" w:rsidP="001A69D6">
            <w:pPr>
              <w:rPr>
                <w:rFonts w:cs="Arial"/>
                <w:szCs w:val="20"/>
                <w:highlight w:val="cyan"/>
              </w:rPr>
            </w:pPr>
          </w:p>
          <w:tbl>
            <w:tblPr>
              <w:tblStyle w:val="TableGrid"/>
              <w:tblW w:w="0" w:type="auto"/>
              <w:tblLayout w:type="fixed"/>
              <w:tblLook w:val="04A0" w:firstRow="1" w:lastRow="0" w:firstColumn="1" w:lastColumn="0" w:noHBand="0" w:noVBand="1"/>
            </w:tblPr>
            <w:tblGrid>
              <w:gridCol w:w="4282"/>
              <w:gridCol w:w="5555"/>
            </w:tblGrid>
            <w:tr w:rsidR="005472DA" w:rsidRPr="00ED289B" w14:paraId="58AE835E" w14:textId="77777777" w:rsidTr="008C48BA">
              <w:tc>
                <w:tcPr>
                  <w:tcW w:w="4282" w:type="dxa"/>
                </w:tcPr>
                <w:p w14:paraId="68E285FD" w14:textId="77777777" w:rsidR="005472DA" w:rsidRPr="00F100C2" w:rsidRDefault="005472DA" w:rsidP="001A69D6">
                  <w:pPr>
                    <w:rPr>
                      <w:rFonts w:cs="Arial"/>
                      <w:szCs w:val="20"/>
                    </w:rPr>
                  </w:pPr>
                  <w:r w:rsidRPr="00F100C2">
                    <w:rPr>
                      <w:rFonts w:cs="Arial"/>
                      <w:szCs w:val="20"/>
                    </w:rPr>
                    <w:t>Title:</w:t>
                  </w:r>
                </w:p>
              </w:tc>
              <w:tc>
                <w:tcPr>
                  <w:tcW w:w="5555" w:type="dxa"/>
                </w:tcPr>
                <w:p w14:paraId="553B22AF" w14:textId="77777777" w:rsidR="005472DA" w:rsidRPr="00F100C2" w:rsidRDefault="005472DA" w:rsidP="001A69D6">
                  <w:pPr>
                    <w:rPr>
                      <w:rFonts w:cs="Arial"/>
                      <w:szCs w:val="20"/>
                    </w:rPr>
                  </w:pPr>
                  <w:r w:rsidRPr="00F100C2">
                    <w:rPr>
                      <w:rFonts w:cs="Arial"/>
                      <w:szCs w:val="20"/>
                    </w:rPr>
                    <w:t>Prof</w:t>
                  </w:r>
                </w:p>
              </w:tc>
            </w:tr>
            <w:tr w:rsidR="005472DA" w:rsidRPr="00ED289B" w14:paraId="43C5FA15" w14:textId="77777777" w:rsidTr="008C48BA">
              <w:tc>
                <w:tcPr>
                  <w:tcW w:w="4282" w:type="dxa"/>
                </w:tcPr>
                <w:p w14:paraId="39F2874A" w14:textId="77777777" w:rsidR="005472DA" w:rsidRPr="00F100C2" w:rsidRDefault="005472DA" w:rsidP="001A69D6">
                  <w:pPr>
                    <w:rPr>
                      <w:rFonts w:cs="Arial"/>
                      <w:szCs w:val="20"/>
                    </w:rPr>
                  </w:pPr>
                  <w:r w:rsidRPr="00F100C2">
                    <w:rPr>
                      <w:rFonts w:cs="Arial"/>
                      <w:szCs w:val="20"/>
                    </w:rPr>
                    <w:t>Full name:</w:t>
                  </w:r>
                </w:p>
              </w:tc>
              <w:tc>
                <w:tcPr>
                  <w:tcW w:w="5555" w:type="dxa"/>
                </w:tcPr>
                <w:p w14:paraId="283CE911" w14:textId="77777777" w:rsidR="005472DA" w:rsidRPr="00F100C2" w:rsidRDefault="005472DA" w:rsidP="001A69D6">
                  <w:pPr>
                    <w:rPr>
                      <w:rFonts w:cs="Arial"/>
                      <w:szCs w:val="20"/>
                    </w:rPr>
                  </w:pPr>
                  <w:r w:rsidRPr="00F100C2">
                    <w:rPr>
                      <w:rFonts w:cs="Arial"/>
                      <w:szCs w:val="20"/>
                    </w:rPr>
                    <w:t>Liam Smeeth</w:t>
                  </w:r>
                </w:p>
              </w:tc>
            </w:tr>
            <w:tr w:rsidR="005472DA" w:rsidRPr="00ED289B" w14:paraId="3C93C4DB" w14:textId="77777777" w:rsidTr="008C48BA">
              <w:tc>
                <w:tcPr>
                  <w:tcW w:w="4282" w:type="dxa"/>
                </w:tcPr>
                <w:p w14:paraId="1D17C75B" w14:textId="77777777" w:rsidR="005472DA" w:rsidRPr="00F100C2" w:rsidRDefault="005472DA" w:rsidP="001A69D6">
                  <w:pPr>
                    <w:rPr>
                      <w:rFonts w:cs="Arial"/>
                      <w:szCs w:val="20"/>
                    </w:rPr>
                  </w:pPr>
                  <w:r w:rsidRPr="00F100C2">
                    <w:rPr>
                      <w:rFonts w:cs="Arial"/>
                      <w:szCs w:val="20"/>
                    </w:rPr>
                    <w:t>Job title:</w:t>
                  </w:r>
                </w:p>
              </w:tc>
              <w:tc>
                <w:tcPr>
                  <w:tcW w:w="5555" w:type="dxa"/>
                </w:tcPr>
                <w:p w14:paraId="3447ABBA" w14:textId="77777777" w:rsidR="005472DA" w:rsidRPr="00F100C2" w:rsidRDefault="005472DA" w:rsidP="001A69D6">
                  <w:pPr>
                    <w:rPr>
                      <w:rFonts w:cs="Arial"/>
                      <w:szCs w:val="20"/>
                    </w:rPr>
                  </w:pPr>
                  <w:r w:rsidRPr="00F100C2">
                    <w:rPr>
                      <w:rFonts w:cs="Arial"/>
                      <w:szCs w:val="20"/>
                    </w:rPr>
                    <w:t>Professor of Clinical Epidemiology</w:t>
                  </w:r>
                </w:p>
              </w:tc>
            </w:tr>
            <w:tr w:rsidR="005472DA" w:rsidRPr="00ED289B" w14:paraId="73DFB8BA" w14:textId="77777777" w:rsidTr="008C48BA">
              <w:tc>
                <w:tcPr>
                  <w:tcW w:w="4282" w:type="dxa"/>
                </w:tcPr>
                <w:p w14:paraId="0BF3C793" w14:textId="77777777" w:rsidR="005472DA" w:rsidRPr="00F100C2" w:rsidRDefault="005472DA" w:rsidP="001A69D6">
                  <w:pPr>
                    <w:rPr>
                      <w:rFonts w:cs="Arial"/>
                      <w:szCs w:val="20"/>
                    </w:rPr>
                  </w:pPr>
                  <w:r w:rsidRPr="00F100C2">
                    <w:rPr>
                      <w:rFonts w:cs="Arial"/>
                      <w:szCs w:val="20"/>
                    </w:rPr>
                    <w:t>Affiliation/organisation:</w:t>
                  </w:r>
                </w:p>
              </w:tc>
              <w:tc>
                <w:tcPr>
                  <w:tcW w:w="5555" w:type="dxa"/>
                </w:tcPr>
                <w:p w14:paraId="223C06DB" w14:textId="77777777" w:rsidR="005472DA" w:rsidRPr="00F100C2" w:rsidRDefault="005472DA" w:rsidP="001A69D6">
                  <w:pPr>
                    <w:rPr>
                      <w:rFonts w:cs="Arial"/>
                      <w:szCs w:val="20"/>
                    </w:rPr>
                  </w:pPr>
                  <w:r w:rsidRPr="00F100C2">
                    <w:rPr>
                      <w:rFonts w:cs="Arial"/>
                      <w:szCs w:val="20"/>
                    </w:rPr>
                    <w:t>London School of Hygiene &amp; Tropical Medicine</w:t>
                  </w:r>
                </w:p>
              </w:tc>
            </w:tr>
            <w:tr w:rsidR="005472DA" w:rsidRPr="00ED289B" w14:paraId="548351ED" w14:textId="77777777" w:rsidTr="008C48BA">
              <w:tc>
                <w:tcPr>
                  <w:tcW w:w="4282" w:type="dxa"/>
                </w:tcPr>
                <w:p w14:paraId="68BEA81C" w14:textId="77777777" w:rsidR="005472DA" w:rsidRPr="00F100C2" w:rsidRDefault="005472DA" w:rsidP="001A69D6">
                  <w:pPr>
                    <w:rPr>
                      <w:rFonts w:cs="Arial"/>
                      <w:szCs w:val="20"/>
                    </w:rPr>
                  </w:pPr>
                  <w:r w:rsidRPr="00F100C2">
                    <w:rPr>
                      <w:rFonts w:cs="Arial"/>
                      <w:szCs w:val="20"/>
                    </w:rPr>
                    <w:t>Email address:</w:t>
                  </w:r>
                </w:p>
              </w:tc>
              <w:tc>
                <w:tcPr>
                  <w:tcW w:w="5555" w:type="dxa"/>
                </w:tcPr>
                <w:p w14:paraId="754433C7" w14:textId="77777777" w:rsidR="005472DA" w:rsidRPr="00F100C2" w:rsidRDefault="005472DA" w:rsidP="001A69D6">
                  <w:pPr>
                    <w:rPr>
                      <w:rFonts w:cs="Arial"/>
                      <w:szCs w:val="20"/>
                    </w:rPr>
                  </w:pPr>
                  <w:r w:rsidRPr="00F100C2">
                    <w:rPr>
                      <w:rFonts w:cs="Arial"/>
                      <w:szCs w:val="20"/>
                    </w:rPr>
                    <w:t>Liam.smeeth@lshtm.ac.uk</w:t>
                  </w:r>
                </w:p>
              </w:tc>
            </w:tr>
            <w:tr w:rsidR="005472DA" w:rsidRPr="00ED289B" w14:paraId="61C76261" w14:textId="77777777" w:rsidTr="008C48BA">
              <w:tc>
                <w:tcPr>
                  <w:tcW w:w="4282" w:type="dxa"/>
                </w:tcPr>
                <w:p w14:paraId="4CEADC05" w14:textId="77777777" w:rsidR="005472DA" w:rsidRPr="00F100C2" w:rsidRDefault="005472DA" w:rsidP="001A69D6">
                  <w:pPr>
                    <w:rPr>
                      <w:rFonts w:cs="Arial"/>
                      <w:szCs w:val="20"/>
                    </w:rPr>
                  </w:pPr>
                  <w:r w:rsidRPr="00F100C2">
                    <w:rPr>
                      <w:rFonts w:cs="Arial"/>
                      <w:szCs w:val="20"/>
                    </w:rPr>
                    <w:t>CV Number (if applicable):</w:t>
                  </w:r>
                </w:p>
              </w:tc>
              <w:tc>
                <w:tcPr>
                  <w:tcW w:w="5555" w:type="dxa"/>
                </w:tcPr>
                <w:p w14:paraId="69078D5F" w14:textId="77777777" w:rsidR="005472DA" w:rsidRPr="00F100C2" w:rsidRDefault="005472DA" w:rsidP="001A69D6">
                  <w:pPr>
                    <w:rPr>
                      <w:rFonts w:cs="Arial"/>
                      <w:szCs w:val="20"/>
                    </w:rPr>
                  </w:pPr>
                  <w:r w:rsidRPr="00F100C2">
                    <w:rPr>
                      <w:rFonts w:cs="Arial"/>
                      <w:szCs w:val="20"/>
                    </w:rPr>
                    <w:t>045_15CEPSL</w:t>
                  </w:r>
                </w:p>
              </w:tc>
            </w:tr>
            <w:tr w:rsidR="005472DA" w:rsidRPr="00ED289B" w14:paraId="59F5ABDC" w14:textId="77777777" w:rsidTr="008C48BA">
              <w:tc>
                <w:tcPr>
                  <w:tcW w:w="4282" w:type="dxa"/>
                </w:tcPr>
                <w:p w14:paraId="39162085" w14:textId="77777777" w:rsidR="005472DA" w:rsidRPr="00F100C2" w:rsidRDefault="005472DA" w:rsidP="001A69D6">
                  <w:pPr>
                    <w:rPr>
                      <w:rFonts w:cs="Arial"/>
                      <w:szCs w:val="20"/>
                    </w:rPr>
                  </w:pPr>
                  <w:r w:rsidRPr="00F100C2">
                    <w:rPr>
                      <w:rFonts w:cs="Arial"/>
                      <w:szCs w:val="20"/>
                    </w:rPr>
                    <w:t>Will this person be analysing the data? (Y/N)</w:t>
                  </w:r>
                </w:p>
              </w:tc>
              <w:tc>
                <w:tcPr>
                  <w:tcW w:w="5555" w:type="dxa"/>
                </w:tcPr>
                <w:p w14:paraId="20EA5CC5" w14:textId="77777777" w:rsidR="005472DA" w:rsidRPr="00F100C2" w:rsidRDefault="005472DA" w:rsidP="001A69D6">
                  <w:pPr>
                    <w:rPr>
                      <w:rFonts w:cs="Arial"/>
                      <w:szCs w:val="20"/>
                    </w:rPr>
                  </w:pPr>
                  <w:r w:rsidRPr="00F100C2">
                    <w:rPr>
                      <w:rFonts w:cs="Arial"/>
                      <w:szCs w:val="20"/>
                    </w:rPr>
                    <w:t>N</w:t>
                  </w:r>
                </w:p>
              </w:tc>
            </w:tr>
          </w:tbl>
          <w:p w14:paraId="11C638A9" w14:textId="77777777" w:rsidR="00163D7E" w:rsidRDefault="00163D7E" w:rsidP="001A69D6">
            <w:pPr>
              <w:rPr>
                <w:rFonts w:cs="Arial"/>
                <w:szCs w:val="20"/>
              </w:rPr>
            </w:pPr>
          </w:p>
          <w:tbl>
            <w:tblPr>
              <w:tblStyle w:val="TableGrid"/>
              <w:tblW w:w="0" w:type="auto"/>
              <w:tblLayout w:type="fixed"/>
              <w:tblLook w:val="04A0" w:firstRow="1" w:lastRow="0" w:firstColumn="1" w:lastColumn="0" w:noHBand="0" w:noVBand="1"/>
            </w:tblPr>
            <w:tblGrid>
              <w:gridCol w:w="4282"/>
              <w:gridCol w:w="5555"/>
            </w:tblGrid>
            <w:tr w:rsidR="00163D7E" w:rsidRPr="00CD13D5" w14:paraId="022E3536" w14:textId="77777777" w:rsidTr="00583311">
              <w:tc>
                <w:tcPr>
                  <w:tcW w:w="4282" w:type="dxa"/>
                </w:tcPr>
                <w:p w14:paraId="7C7857E6" w14:textId="77777777" w:rsidR="00163D7E" w:rsidRPr="00CD13D5" w:rsidRDefault="00163D7E" w:rsidP="001A69D6">
                  <w:pPr>
                    <w:rPr>
                      <w:rFonts w:cs="Arial"/>
                      <w:szCs w:val="20"/>
                    </w:rPr>
                  </w:pPr>
                  <w:r w:rsidRPr="00CD13D5">
                    <w:rPr>
                      <w:rFonts w:cs="Arial"/>
                      <w:szCs w:val="20"/>
                    </w:rPr>
                    <w:t>Title:</w:t>
                  </w:r>
                </w:p>
              </w:tc>
              <w:tc>
                <w:tcPr>
                  <w:tcW w:w="5555" w:type="dxa"/>
                </w:tcPr>
                <w:p w14:paraId="2FD10EB6" w14:textId="77777777" w:rsidR="00163D7E" w:rsidRPr="00CD13D5" w:rsidRDefault="00163D7E" w:rsidP="001A69D6">
                  <w:pPr>
                    <w:rPr>
                      <w:rFonts w:cs="Arial"/>
                      <w:szCs w:val="20"/>
                    </w:rPr>
                  </w:pPr>
                  <w:r>
                    <w:rPr>
                      <w:rFonts w:cs="Arial"/>
                      <w:szCs w:val="20"/>
                    </w:rPr>
                    <w:t>Dr</w:t>
                  </w:r>
                </w:p>
              </w:tc>
            </w:tr>
            <w:tr w:rsidR="00163D7E" w:rsidRPr="00CD13D5" w14:paraId="4F2FA65C" w14:textId="77777777" w:rsidTr="00583311">
              <w:tc>
                <w:tcPr>
                  <w:tcW w:w="4282" w:type="dxa"/>
                </w:tcPr>
                <w:p w14:paraId="41BC0AF8" w14:textId="77777777" w:rsidR="00163D7E" w:rsidRPr="00CD13D5" w:rsidRDefault="00163D7E" w:rsidP="001A69D6">
                  <w:pPr>
                    <w:rPr>
                      <w:rFonts w:cs="Arial"/>
                      <w:szCs w:val="20"/>
                    </w:rPr>
                  </w:pPr>
                  <w:r w:rsidRPr="00CD13D5">
                    <w:rPr>
                      <w:rFonts w:cs="Arial"/>
                      <w:szCs w:val="20"/>
                    </w:rPr>
                    <w:t>Full name:</w:t>
                  </w:r>
                </w:p>
              </w:tc>
              <w:tc>
                <w:tcPr>
                  <w:tcW w:w="5555" w:type="dxa"/>
                </w:tcPr>
                <w:p w14:paraId="65FDA855" w14:textId="77777777" w:rsidR="00163D7E" w:rsidRPr="00CD13D5" w:rsidRDefault="00163D7E" w:rsidP="001A69D6">
                  <w:pPr>
                    <w:rPr>
                      <w:rFonts w:cs="Arial"/>
                      <w:szCs w:val="20"/>
                    </w:rPr>
                  </w:pPr>
                  <w:r>
                    <w:rPr>
                      <w:rFonts w:cs="Arial"/>
                      <w:szCs w:val="20"/>
                    </w:rPr>
                    <w:t>Joseph Hayes</w:t>
                  </w:r>
                </w:p>
              </w:tc>
            </w:tr>
            <w:tr w:rsidR="00163D7E" w:rsidRPr="00CD13D5" w14:paraId="582B09F3" w14:textId="77777777" w:rsidTr="00583311">
              <w:tc>
                <w:tcPr>
                  <w:tcW w:w="4282" w:type="dxa"/>
                </w:tcPr>
                <w:p w14:paraId="720DFD52" w14:textId="77777777" w:rsidR="00163D7E" w:rsidRPr="00CD13D5" w:rsidRDefault="00163D7E" w:rsidP="001A69D6">
                  <w:pPr>
                    <w:rPr>
                      <w:rFonts w:cs="Arial"/>
                      <w:szCs w:val="20"/>
                    </w:rPr>
                  </w:pPr>
                  <w:r w:rsidRPr="00CD13D5">
                    <w:rPr>
                      <w:rFonts w:cs="Arial"/>
                      <w:szCs w:val="20"/>
                    </w:rPr>
                    <w:t>Job title:</w:t>
                  </w:r>
                </w:p>
              </w:tc>
              <w:tc>
                <w:tcPr>
                  <w:tcW w:w="5555" w:type="dxa"/>
                </w:tcPr>
                <w:p w14:paraId="1DBC3431" w14:textId="77777777" w:rsidR="00163D7E" w:rsidRPr="00CD13D5" w:rsidRDefault="00163D7E" w:rsidP="001A69D6">
                  <w:pPr>
                    <w:rPr>
                      <w:rFonts w:cs="Arial"/>
                      <w:szCs w:val="20"/>
                    </w:rPr>
                  </w:pPr>
                  <w:r w:rsidRPr="00EC2FB1">
                    <w:rPr>
                      <w:rFonts w:cs="Arial"/>
                      <w:szCs w:val="20"/>
                    </w:rPr>
                    <w:t>Clinical Research Fellow Consultant</w:t>
                  </w:r>
                </w:p>
              </w:tc>
            </w:tr>
            <w:tr w:rsidR="00163D7E" w:rsidRPr="00CD13D5" w14:paraId="3B97E82C" w14:textId="77777777" w:rsidTr="00583311">
              <w:tc>
                <w:tcPr>
                  <w:tcW w:w="4282" w:type="dxa"/>
                </w:tcPr>
                <w:p w14:paraId="06299A6E" w14:textId="77777777" w:rsidR="00163D7E" w:rsidRPr="00CD13D5" w:rsidRDefault="00163D7E" w:rsidP="001A69D6">
                  <w:pPr>
                    <w:rPr>
                      <w:rFonts w:cs="Arial"/>
                      <w:szCs w:val="20"/>
                    </w:rPr>
                  </w:pPr>
                  <w:r w:rsidRPr="00CD13D5">
                    <w:rPr>
                      <w:rFonts w:cs="Arial"/>
                      <w:szCs w:val="20"/>
                    </w:rPr>
                    <w:lastRenderedPageBreak/>
                    <w:t>Affiliation/organisation:</w:t>
                  </w:r>
                </w:p>
              </w:tc>
              <w:tc>
                <w:tcPr>
                  <w:tcW w:w="5555" w:type="dxa"/>
                </w:tcPr>
                <w:p w14:paraId="051617B3" w14:textId="77777777" w:rsidR="00163D7E" w:rsidRPr="00CD13D5" w:rsidRDefault="00163D7E" w:rsidP="001A69D6">
                  <w:pPr>
                    <w:rPr>
                      <w:rFonts w:cs="Arial"/>
                      <w:szCs w:val="20"/>
                    </w:rPr>
                  </w:pPr>
                  <w:r>
                    <w:rPr>
                      <w:rFonts w:cs="Arial"/>
                      <w:szCs w:val="20"/>
                    </w:rPr>
                    <w:t>University College London</w:t>
                  </w:r>
                </w:p>
              </w:tc>
            </w:tr>
            <w:tr w:rsidR="00163D7E" w:rsidRPr="00CD13D5" w14:paraId="372C4D2B" w14:textId="77777777" w:rsidTr="00583311">
              <w:tc>
                <w:tcPr>
                  <w:tcW w:w="4282" w:type="dxa"/>
                </w:tcPr>
                <w:p w14:paraId="4DB2B806" w14:textId="77777777" w:rsidR="00163D7E" w:rsidRPr="00CD13D5" w:rsidRDefault="00163D7E" w:rsidP="001A69D6">
                  <w:pPr>
                    <w:rPr>
                      <w:rFonts w:cs="Arial"/>
                      <w:szCs w:val="20"/>
                    </w:rPr>
                  </w:pPr>
                  <w:r w:rsidRPr="00CD13D5">
                    <w:rPr>
                      <w:rFonts w:cs="Arial"/>
                      <w:szCs w:val="20"/>
                    </w:rPr>
                    <w:t>Email address:</w:t>
                  </w:r>
                </w:p>
              </w:tc>
              <w:tc>
                <w:tcPr>
                  <w:tcW w:w="5555" w:type="dxa"/>
                </w:tcPr>
                <w:p w14:paraId="5C4AA86D" w14:textId="77777777" w:rsidR="00163D7E" w:rsidRPr="00CD13D5" w:rsidRDefault="00163D7E" w:rsidP="001A69D6">
                  <w:pPr>
                    <w:rPr>
                      <w:rFonts w:cs="Arial"/>
                      <w:szCs w:val="20"/>
                    </w:rPr>
                  </w:pPr>
                  <w:r w:rsidRPr="00EC2FB1">
                    <w:rPr>
                      <w:rFonts w:cs="Arial"/>
                      <w:szCs w:val="20"/>
                    </w:rPr>
                    <w:t>joseph.hayes@ucl.ac.uk</w:t>
                  </w:r>
                </w:p>
              </w:tc>
            </w:tr>
            <w:tr w:rsidR="00163D7E" w:rsidRPr="00CD13D5" w14:paraId="231CAB98" w14:textId="77777777" w:rsidTr="00583311">
              <w:tc>
                <w:tcPr>
                  <w:tcW w:w="4282" w:type="dxa"/>
                </w:tcPr>
                <w:p w14:paraId="39992FDB" w14:textId="77777777" w:rsidR="00163D7E" w:rsidRPr="00293C47" w:rsidRDefault="00163D7E" w:rsidP="001A69D6">
                  <w:pPr>
                    <w:rPr>
                      <w:rFonts w:cs="Arial"/>
                      <w:szCs w:val="20"/>
                      <w:highlight w:val="yellow"/>
                    </w:rPr>
                  </w:pPr>
                  <w:r w:rsidRPr="00F23C30">
                    <w:rPr>
                      <w:rFonts w:cs="Arial"/>
                      <w:szCs w:val="20"/>
                    </w:rPr>
                    <w:t>CV Number (if applicable):</w:t>
                  </w:r>
                </w:p>
              </w:tc>
              <w:tc>
                <w:tcPr>
                  <w:tcW w:w="5555" w:type="dxa"/>
                </w:tcPr>
                <w:p w14:paraId="44CDB81B" w14:textId="77777777" w:rsidR="00163D7E" w:rsidRPr="00CD13D5" w:rsidRDefault="00163D7E" w:rsidP="001A69D6">
                  <w:pPr>
                    <w:rPr>
                      <w:rFonts w:cs="Arial"/>
                      <w:szCs w:val="20"/>
                    </w:rPr>
                  </w:pPr>
                  <w:r>
                    <w:rPr>
                      <w:rFonts w:cs="Arial"/>
                      <w:szCs w:val="20"/>
                    </w:rPr>
                    <w:t>617_18</w:t>
                  </w:r>
                </w:p>
              </w:tc>
            </w:tr>
            <w:tr w:rsidR="00163D7E" w:rsidRPr="00CD13D5" w14:paraId="76E11EF9" w14:textId="77777777" w:rsidTr="00583311">
              <w:tc>
                <w:tcPr>
                  <w:tcW w:w="4282" w:type="dxa"/>
                </w:tcPr>
                <w:p w14:paraId="1DEF9A25" w14:textId="77777777" w:rsidR="00163D7E" w:rsidRPr="00113106" w:rsidRDefault="00163D7E" w:rsidP="001A69D6">
                  <w:pPr>
                    <w:rPr>
                      <w:rFonts w:cs="Arial"/>
                    </w:rPr>
                  </w:pPr>
                  <w:r w:rsidRPr="00113106">
                    <w:rPr>
                      <w:rFonts w:cs="Arial"/>
                    </w:rPr>
                    <w:t>Will this person be analysing the data? (Y/N)</w:t>
                  </w:r>
                </w:p>
              </w:tc>
              <w:tc>
                <w:tcPr>
                  <w:tcW w:w="5555" w:type="dxa"/>
                </w:tcPr>
                <w:p w14:paraId="0BF95290" w14:textId="77777777" w:rsidR="00163D7E" w:rsidRPr="00CD13D5" w:rsidRDefault="00163D7E" w:rsidP="001A69D6">
                  <w:pPr>
                    <w:rPr>
                      <w:rFonts w:cs="Arial"/>
                      <w:szCs w:val="20"/>
                    </w:rPr>
                  </w:pPr>
                  <w:r>
                    <w:rPr>
                      <w:rFonts w:cs="Arial"/>
                      <w:szCs w:val="20"/>
                    </w:rPr>
                    <w:t>N</w:t>
                  </w:r>
                </w:p>
              </w:tc>
            </w:tr>
          </w:tbl>
          <w:p w14:paraId="0AF3E120" w14:textId="77777777" w:rsidR="00B559C5" w:rsidRDefault="00B559C5" w:rsidP="001A69D6">
            <w:pPr>
              <w:rPr>
                <w:rFonts w:cs="Arial"/>
                <w:szCs w:val="20"/>
              </w:rPr>
            </w:pPr>
          </w:p>
          <w:tbl>
            <w:tblPr>
              <w:tblStyle w:val="TableGrid"/>
              <w:tblW w:w="0" w:type="auto"/>
              <w:tblLayout w:type="fixed"/>
              <w:tblLook w:val="04A0" w:firstRow="1" w:lastRow="0" w:firstColumn="1" w:lastColumn="0" w:noHBand="0" w:noVBand="1"/>
            </w:tblPr>
            <w:tblGrid>
              <w:gridCol w:w="4282"/>
              <w:gridCol w:w="5555"/>
            </w:tblGrid>
            <w:tr w:rsidR="00B559C5" w:rsidRPr="00CD13D5" w14:paraId="48A3B778" w14:textId="77777777" w:rsidTr="00583311">
              <w:tc>
                <w:tcPr>
                  <w:tcW w:w="4282" w:type="dxa"/>
                </w:tcPr>
                <w:p w14:paraId="49103103" w14:textId="77777777" w:rsidR="00B559C5" w:rsidRPr="00CD13D5" w:rsidRDefault="00B559C5" w:rsidP="001A69D6">
                  <w:pPr>
                    <w:rPr>
                      <w:rFonts w:cs="Arial"/>
                      <w:szCs w:val="20"/>
                    </w:rPr>
                  </w:pPr>
                  <w:r w:rsidRPr="00CD13D5">
                    <w:rPr>
                      <w:rFonts w:cs="Arial"/>
                      <w:szCs w:val="20"/>
                    </w:rPr>
                    <w:t>Title:</w:t>
                  </w:r>
                </w:p>
              </w:tc>
              <w:tc>
                <w:tcPr>
                  <w:tcW w:w="5555" w:type="dxa"/>
                </w:tcPr>
                <w:p w14:paraId="0D351643" w14:textId="77777777" w:rsidR="00B559C5" w:rsidRPr="00CD13D5" w:rsidRDefault="00B559C5" w:rsidP="001A69D6">
                  <w:pPr>
                    <w:rPr>
                      <w:rFonts w:cs="Arial"/>
                      <w:szCs w:val="20"/>
                    </w:rPr>
                  </w:pPr>
                  <w:r>
                    <w:rPr>
                      <w:rFonts w:cs="Arial"/>
                      <w:szCs w:val="20"/>
                    </w:rPr>
                    <w:t>Dr</w:t>
                  </w:r>
                </w:p>
              </w:tc>
            </w:tr>
            <w:tr w:rsidR="00B559C5" w:rsidRPr="00CD13D5" w14:paraId="061402ED" w14:textId="77777777" w:rsidTr="00583311">
              <w:tc>
                <w:tcPr>
                  <w:tcW w:w="4282" w:type="dxa"/>
                </w:tcPr>
                <w:p w14:paraId="4BC25A19" w14:textId="77777777" w:rsidR="00B559C5" w:rsidRPr="00CD13D5" w:rsidRDefault="00B559C5" w:rsidP="001A69D6">
                  <w:pPr>
                    <w:rPr>
                      <w:rFonts w:cs="Arial"/>
                      <w:szCs w:val="20"/>
                    </w:rPr>
                  </w:pPr>
                  <w:r w:rsidRPr="00CD13D5">
                    <w:rPr>
                      <w:rFonts w:cs="Arial"/>
                      <w:szCs w:val="20"/>
                    </w:rPr>
                    <w:t>Full name:</w:t>
                  </w:r>
                </w:p>
              </w:tc>
              <w:tc>
                <w:tcPr>
                  <w:tcW w:w="5555" w:type="dxa"/>
                </w:tcPr>
                <w:p w14:paraId="7A07534F" w14:textId="6D788815" w:rsidR="00B559C5" w:rsidRPr="00CD13D5" w:rsidRDefault="00B559C5" w:rsidP="001A69D6">
                  <w:pPr>
                    <w:rPr>
                      <w:rFonts w:cs="Arial"/>
                      <w:szCs w:val="20"/>
                    </w:rPr>
                  </w:pPr>
                  <w:r>
                    <w:rPr>
                      <w:rFonts w:cs="Arial"/>
                      <w:szCs w:val="20"/>
                    </w:rPr>
                    <w:t>Sarah Cook</w:t>
                  </w:r>
                </w:p>
              </w:tc>
            </w:tr>
            <w:tr w:rsidR="00B559C5" w:rsidRPr="00CD13D5" w14:paraId="65D87A7A" w14:textId="77777777" w:rsidTr="00583311">
              <w:tc>
                <w:tcPr>
                  <w:tcW w:w="4282" w:type="dxa"/>
                </w:tcPr>
                <w:p w14:paraId="48C0F013" w14:textId="77777777" w:rsidR="00B559C5" w:rsidRPr="00CD13D5" w:rsidRDefault="00B559C5" w:rsidP="001A69D6">
                  <w:pPr>
                    <w:rPr>
                      <w:rFonts w:cs="Arial"/>
                      <w:szCs w:val="20"/>
                    </w:rPr>
                  </w:pPr>
                  <w:r w:rsidRPr="00CD13D5">
                    <w:rPr>
                      <w:rFonts w:cs="Arial"/>
                      <w:szCs w:val="20"/>
                    </w:rPr>
                    <w:t>Job title:</w:t>
                  </w:r>
                </w:p>
              </w:tc>
              <w:tc>
                <w:tcPr>
                  <w:tcW w:w="5555" w:type="dxa"/>
                </w:tcPr>
                <w:p w14:paraId="2CC6E8AA" w14:textId="426F6848" w:rsidR="00B559C5" w:rsidRPr="00CD13D5" w:rsidRDefault="00B559C5" w:rsidP="001A69D6">
                  <w:pPr>
                    <w:rPr>
                      <w:rFonts w:cs="Arial"/>
                      <w:szCs w:val="20"/>
                    </w:rPr>
                  </w:pPr>
                  <w:r>
                    <w:rPr>
                      <w:rFonts w:cs="Arial"/>
                      <w:szCs w:val="20"/>
                    </w:rPr>
                    <w:t>Assistant Professor</w:t>
                  </w:r>
                </w:p>
              </w:tc>
            </w:tr>
            <w:tr w:rsidR="00B559C5" w:rsidRPr="00CD13D5" w14:paraId="465053F7" w14:textId="77777777" w:rsidTr="00583311">
              <w:tc>
                <w:tcPr>
                  <w:tcW w:w="4282" w:type="dxa"/>
                </w:tcPr>
                <w:p w14:paraId="3CDF876B" w14:textId="77777777" w:rsidR="00B559C5" w:rsidRPr="00CD13D5" w:rsidRDefault="00B559C5" w:rsidP="001A69D6">
                  <w:pPr>
                    <w:rPr>
                      <w:rFonts w:cs="Arial"/>
                      <w:szCs w:val="20"/>
                    </w:rPr>
                  </w:pPr>
                  <w:r w:rsidRPr="00CD13D5">
                    <w:rPr>
                      <w:rFonts w:cs="Arial"/>
                      <w:szCs w:val="20"/>
                    </w:rPr>
                    <w:t>Affiliation/organisation:</w:t>
                  </w:r>
                </w:p>
              </w:tc>
              <w:tc>
                <w:tcPr>
                  <w:tcW w:w="5555" w:type="dxa"/>
                </w:tcPr>
                <w:p w14:paraId="665AD954" w14:textId="6D2FA259" w:rsidR="00B559C5" w:rsidRPr="00CD13D5" w:rsidRDefault="00B559C5" w:rsidP="001A69D6">
                  <w:pPr>
                    <w:rPr>
                      <w:rFonts w:cs="Arial"/>
                      <w:szCs w:val="20"/>
                    </w:rPr>
                  </w:pPr>
                  <w:r>
                    <w:rPr>
                      <w:rFonts w:cs="Arial"/>
                      <w:szCs w:val="20"/>
                    </w:rPr>
                    <w:t>London School of Hygiene &amp; Tropical Medicine</w:t>
                  </w:r>
                </w:p>
              </w:tc>
            </w:tr>
            <w:tr w:rsidR="00B559C5" w:rsidRPr="00CD13D5" w14:paraId="5D0FC5EA" w14:textId="77777777" w:rsidTr="00583311">
              <w:tc>
                <w:tcPr>
                  <w:tcW w:w="4282" w:type="dxa"/>
                </w:tcPr>
                <w:p w14:paraId="12B20C84" w14:textId="77777777" w:rsidR="00B559C5" w:rsidRPr="00CD13D5" w:rsidRDefault="00B559C5" w:rsidP="001A69D6">
                  <w:pPr>
                    <w:rPr>
                      <w:rFonts w:cs="Arial"/>
                      <w:szCs w:val="20"/>
                    </w:rPr>
                  </w:pPr>
                  <w:r w:rsidRPr="00CD13D5">
                    <w:rPr>
                      <w:rFonts w:cs="Arial"/>
                      <w:szCs w:val="20"/>
                    </w:rPr>
                    <w:t>Email address:</w:t>
                  </w:r>
                </w:p>
              </w:tc>
              <w:tc>
                <w:tcPr>
                  <w:tcW w:w="5555" w:type="dxa"/>
                </w:tcPr>
                <w:p w14:paraId="5396D900" w14:textId="22FC9097" w:rsidR="00B559C5" w:rsidRPr="00CD13D5" w:rsidRDefault="00B559C5" w:rsidP="001A69D6">
                  <w:pPr>
                    <w:rPr>
                      <w:rFonts w:cs="Arial"/>
                      <w:szCs w:val="20"/>
                    </w:rPr>
                  </w:pPr>
                  <w:r w:rsidRPr="00B559C5">
                    <w:rPr>
                      <w:rFonts w:cs="Arial"/>
                      <w:szCs w:val="20"/>
                    </w:rPr>
                    <w:t>sarah.cook@lshtm.ac.uk</w:t>
                  </w:r>
                </w:p>
              </w:tc>
            </w:tr>
            <w:tr w:rsidR="00B559C5" w:rsidRPr="00CD13D5" w14:paraId="0F191C41" w14:textId="77777777" w:rsidTr="00583311">
              <w:tc>
                <w:tcPr>
                  <w:tcW w:w="4282" w:type="dxa"/>
                </w:tcPr>
                <w:p w14:paraId="412897F2" w14:textId="77777777" w:rsidR="00B559C5" w:rsidRPr="00293C47" w:rsidRDefault="00B559C5" w:rsidP="001A69D6">
                  <w:pPr>
                    <w:rPr>
                      <w:rFonts w:cs="Arial"/>
                      <w:szCs w:val="20"/>
                      <w:highlight w:val="yellow"/>
                    </w:rPr>
                  </w:pPr>
                  <w:r w:rsidRPr="00F23C30">
                    <w:rPr>
                      <w:rFonts w:cs="Arial"/>
                      <w:szCs w:val="20"/>
                    </w:rPr>
                    <w:t>CV Number (if applicable):</w:t>
                  </w:r>
                </w:p>
              </w:tc>
              <w:tc>
                <w:tcPr>
                  <w:tcW w:w="5555" w:type="dxa"/>
                </w:tcPr>
                <w:p w14:paraId="4D59F502" w14:textId="668B0DCD" w:rsidR="00B559C5" w:rsidRPr="00CD13D5" w:rsidRDefault="00F34EAF" w:rsidP="001A69D6">
                  <w:pPr>
                    <w:rPr>
                      <w:rFonts w:cs="Arial"/>
                      <w:szCs w:val="20"/>
                    </w:rPr>
                  </w:pPr>
                  <w:r w:rsidRPr="00F34EAF">
                    <w:rPr>
                      <w:rFonts w:cs="Arial"/>
                      <w:szCs w:val="20"/>
                    </w:rPr>
                    <w:t>452-17</w:t>
                  </w:r>
                </w:p>
              </w:tc>
            </w:tr>
            <w:tr w:rsidR="00B559C5" w:rsidRPr="00CD13D5" w14:paraId="3F13FAD1" w14:textId="77777777" w:rsidTr="00583311">
              <w:tc>
                <w:tcPr>
                  <w:tcW w:w="4282" w:type="dxa"/>
                </w:tcPr>
                <w:p w14:paraId="515DAAE0" w14:textId="77777777" w:rsidR="00B559C5" w:rsidRPr="00113106" w:rsidRDefault="00B559C5" w:rsidP="001A69D6">
                  <w:pPr>
                    <w:rPr>
                      <w:rFonts w:cs="Arial"/>
                    </w:rPr>
                  </w:pPr>
                  <w:r w:rsidRPr="00113106">
                    <w:rPr>
                      <w:rFonts w:cs="Arial"/>
                    </w:rPr>
                    <w:t>Will this person be analysing the data? (Y/N)</w:t>
                  </w:r>
                </w:p>
              </w:tc>
              <w:tc>
                <w:tcPr>
                  <w:tcW w:w="5555" w:type="dxa"/>
                </w:tcPr>
                <w:p w14:paraId="1171353C" w14:textId="77777777" w:rsidR="00B559C5" w:rsidRPr="00CD13D5" w:rsidRDefault="00B559C5" w:rsidP="001A69D6">
                  <w:pPr>
                    <w:rPr>
                      <w:rFonts w:cs="Arial"/>
                      <w:szCs w:val="20"/>
                    </w:rPr>
                  </w:pPr>
                  <w:r>
                    <w:rPr>
                      <w:rFonts w:cs="Arial"/>
                      <w:szCs w:val="20"/>
                    </w:rPr>
                    <w:t>N</w:t>
                  </w:r>
                </w:p>
              </w:tc>
            </w:tr>
          </w:tbl>
          <w:p w14:paraId="31D57BDF" w14:textId="4E755C3A" w:rsidR="005939AA" w:rsidRDefault="005939AA" w:rsidP="001A69D6">
            <w:pPr>
              <w:rPr>
                <w:rFonts w:cs="Arial"/>
                <w:szCs w:val="20"/>
              </w:rPr>
            </w:pPr>
          </w:p>
          <w:tbl>
            <w:tblPr>
              <w:tblStyle w:val="TableGrid"/>
              <w:tblW w:w="0" w:type="auto"/>
              <w:tblLayout w:type="fixed"/>
              <w:tblLook w:val="04A0" w:firstRow="1" w:lastRow="0" w:firstColumn="1" w:lastColumn="0" w:noHBand="0" w:noVBand="1"/>
            </w:tblPr>
            <w:tblGrid>
              <w:gridCol w:w="4282"/>
              <w:gridCol w:w="5555"/>
            </w:tblGrid>
            <w:tr w:rsidR="00AF7042" w:rsidRPr="00CD13D5" w14:paraId="7BC05FDD" w14:textId="77777777" w:rsidTr="00147FD1">
              <w:tc>
                <w:tcPr>
                  <w:tcW w:w="4282" w:type="dxa"/>
                </w:tcPr>
                <w:p w14:paraId="0736FE54" w14:textId="77777777" w:rsidR="00AF7042" w:rsidRPr="00CD13D5" w:rsidRDefault="00AF7042" w:rsidP="001A69D6">
                  <w:pPr>
                    <w:rPr>
                      <w:rFonts w:cs="Arial"/>
                      <w:szCs w:val="20"/>
                    </w:rPr>
                  </w:pPr>
                  <w:r w:rsidRPr="00CD13D5">
                    <w:rPr>
                      <w:rFonts w:cs="Arial"/>
                      <w:szCs w:val="20"/>
                    </w:rPr>
                    <w:t>Title:</w:t>
                  </w:r>
                </w:p>
              </w:tc>
              <w:tc>
                <w:tcPr>
                  <w:tcW w:w="5555" w:type="dxa"/>
                </w:tcPr>
                <w:p w14:paraId="63C79C34" w14:textId="77777777" w:rsidR="00AF7042" w:rsidRPr="00CD13D5" w:rsidRDefault="00AF7042" w:rsidP="001A69D6">
                  <w:pPr>
                    <w:rPr>
                      <w:rFonts w:cs="Arial"/>
                      <w:szCs w:val="20"/>
                    </w:rPr>
                  </w:pPr>
                  <w:r>
                    <w:rPr>
                      <w:rFonts w:cs="Arial"/>
                      <w:szCs w:val="20"/>
                    </w:rPr>
                    <w:t>Dr</w:t>
                  </w:r>
                </w:p>
              </w:tc>
            </w:tr>
            <w:tr w:rsidR="00AF7042" w:rsidRPr="00CD13D5" w14:paraId="68593036" w14:textId="77777777" w:rsidTr="00147FD1">
              <w:tc>
                <w:tcPr>
                  <w:tcW w:w="4282" w:type="dxa"/>
                </w:tcPr>
                <w:p w14:paraId="1E2A8D7C" w14:textId="77777777" w:rsidR="00AF7042" w:rsidRPr="00CD13D5" w:rsidRDefault="00AF7042" w:rsidP="001A69D6">
                  <w:pPr>
                    <w:rPr>
                      <w:rFonts w:cs="Arial"/>
                      <w:szCs w:val="20"/>
                    </w:rPr>
                  </w:pPr>
                  <w:r w:rsidRPr="00CD13D5">
                    <w:rPr>
                      <w:rFonts w:cs="Arial"/>
                      <w:szCs w:val="20"/>
                    </w:rPr>
                    <w:t>Full name:</w:t>
                  </w:r>
                </w:p>
              </w:tc>
              <w:tc>
                <w:tcPr>
                  <w:tcW w:w="5555" w:type="dxa"/>
                </w:tcPr>
                <w:p w14:paraId="61828C9C" w14:textId="33D8DF26" w:rsidR="00AF7042" w:rsidRPr="00CD13D5" w:rsidRDefault="00AF7042" w:rsidP="001A69D6">
                  <w:pPr>
                    <w:rPr>
                      <w:rFonts w:cs="Arial"/>
                      <w:szCs w:val="20"/>
                    </w:rPr>
                  </w:pPr>
                  <w:r>
                    <w:rPr>
                      <w:rFonts w:cs="Arial"/>
                      <w:szCs w:val="20"/>
                    </w:rPr>
                    <w:t>Jenni Quint</w:t>
                  </w:r>
                </w:p>
              </w:tc>
            </w:tr>
            <w:tr w:rsidR="00AF7042" w:rsidRPr="00CD13D5" w14:paraId="16B979B6" w14:textId="77777777" w:rsidTr="00147FD1">
              <w:tc>
                <w:tcPr>
                  <w:tcW w:w="4282" w:type="dxa"/>
                </w:tcPr>
                <w:p w14:paraId="409B64E7" w14:textId="77777777" w:rsidR="00AF7042" w:rsidRPr="00CD13D5" w:rsidRDefault="00AF7042" w:rsidP="001A69D6">
                  <w:pPr>
                    <w:rPr>
                      <w:rFonts w:cs="Arial"/>
                      <w:szCs w:val="20"/>
                    </w:rPr>
                  </w:pPr>
                  <w:r w:rsidRPr="00CD13D5">
                    <w:rPr>
                      <w:rFonts w:cs="Arial"/>
                      <w:szCs w:val="20"/>
                    </w:rPr>
                    <w:t>Job title:</w:t>
                  </w:r>
                </w:p>
              </w:tc>
              <w:tc>
                <w:tcPr>
                  <w:tcW w:w="5555" w:type="dxa"/>
                </w:tcPr>
                <w:p w14:paraId="247AD13B" w14:textId="54E89E93" w:rsidR="00AF7042" w:rsidRPr="00CD13D5" w:rsidRDefault="00AF7042" w:rsidP="001A69D6">
                  <w:pPr>
                    <w:rPr>
                      <w:rFonts w:cs="Arial"/>
                      <w:szCs w:val="20"/>
                    </w:rPr>
                  </w:pPr>
                  <w:r>
                    <w:rPr>
                      <w:rFonts w:cs="Arial"/>
                      <w:szCs w:val="20"/>
                    </w:rPr>
                    <w:t>Reader</w:t>
                  </w:r>
                </w:p>
              </w:tc>
            </w:tr>
            <w:tr w:rsidR="00AF7042" w:rsidRPr="00CD13D5" w14:paraId="3DAD2005" w14:textId="77777777" w:rsidTr="00147FD1">
              <w:tc>
                <w:tcPr>
                  <w:tcW w:w="4282" w:type="dxa"/>
                </w:tcPr>
                <w:p w14:paraId="647EF436" w14:textId="77777777" w:rsidR="00AF7042" w:rsidRPr="00CD13D5" w:rsidRDefault="00AF7042" w:rsidP="001A69D6">
                  <w:pPr>
                    <w:rPr>
                      <w:rFonts w:cs="Arial"/>
                      <w:szCs w:val="20"/>
                    </w:rPr>
                  </w:pPr>
                  <w:r w:rsidRPr="00CD13D5">
                    <w:rPr>
                      <w:rFonts w:cs="Arial"/>
                      <w:szCs w:val="20"/>
                    </w:rPr>
                    <w:t>Affiliation/organisation:</w:t>
                  </w:r>
                </w:p>
              </w:tc>
              <w:tc>
                <w:tcPr>
                  <w:tcW w:w="5555" w:type="dxa"/>
                </w:tcPr>
                <w:p w14:paraId="756BA530" w14:textId="1EAB3360" w:rsidR="00AF7042" w:rsidRPr="00CD13D5" w:rsidRDefault="00AF7042" w:rsidP="001A69D6">
                  <w:pPr>
                    <w:rPr>
                      <w:rFonts w:cs="Arial"/>
                      <w:szCs w:val="20"/>
                    </w:rPr>
                  </w:pPr>
                  <w:r>
                    <w:rPr>
                      <w:rFonts w:cs="Arial"/>
                      <w:szCs w:val="20"/>
                    </w:rPr>
                    <w:t>Imperial College London</w:t>
                  </w:r>
                </w:p>
              </w:tc>
            </w:tr>
            <w:tr w:rsidR="00AF7042" w:rsidRPr="00CD13D5" w14:paraId="175C11B6" w14:textId="77777777" w:rsidTr="00147FD1">
              <w:tc>
                <w:tcPr>
                  <w:tcW w:w="4282" w:type="dxa"/>
                </w:tcPr>
                <w:p w14:paraId="35B223C7" w14:textId="77777777" w:rsidR="00AF7042" w:rsidRPr="00CD13D5" w:rsidRDefault="00AF7042" w:rsidP="001A69D6">
                  <w:pPr>
                    <w:rPr>
                      <w:rFonts w:cs="Arial"/>
                      <w:szCs w:val="20"/>
                    </w:rPr>
                  </w:pPr>
                  <w:r w:rsidRPr="00CD13D5">
                    <w:rPr>
                      <w:rFonts w:cs="Arial"/>
                      <w:szCs w:val="20"/>
                    </w:rPr>
                    <w:t>Email address:</w:t>
                  </w:r>
                </w:p>
              </w:tc>
              <w:tc>
                <w:tcPr>
                  <w:tcW w:w="5555" w:type="dxa"/>
                </w:tcPr>
                <w:p w14:paraId="0E135978" w14:textId="22F4696C" w:rsidR="00AF7042" w:rsidRPr="00CD13D5" w:rsidRDefault="00AF7042" w:rsidP="001A69D6">
                  <w:pPr>
                    <w:rPr>
                      <w:rFonts w:cs="Arial"/>
                      <w:szCs w:val="20"/>
                    </w:rPr>
                  </w:pPr>
                  <w:r w:rsidRPr="00AF7042">
                    <w:rPr>
                      <w:rFonts w:cs="Arial"/>
                      <w:szCs w:val="20"/>
                    </w:rPr>
                    <w:t>j.quint@imperial.ac.uk</w:t>
                  </w:r>
                </w:p>
              </w:tc>
            </w:tr>
            <w:tr w:rsidR="00AF7042" w:rsidRPr="00CD13D5" w14:paraId="393E64DB" w14:textId="77777777" w:rsidTr="00147FD1">
              <w:tc>
                <w:tcPr>
                  <w:tcW w:w="4282" w:type="dxa"/>
                </w:tcPr>
                <w:p w14:paraId="422020AC" w14:textId="77777777" w:rsidR="00AF7042" w:rsidRPr="00293C47" w:rsidRDefault="00AF7042" w:rsidP="001A69D6">
                  <w:pPr>
                    <w:rPr>
                      <w:rFonts w:cs="Arial"/>
                      <w:szCs w:val="20"/>
                      <w:highlight w:val="yellow"/>
                    </w:rPr>
                  </w:pPr>
                  <w:r w:rsidRPr="00F23C30">
                    <w:rPr>
                      <w:rFonts w:cs="Arial"/>
                      <w:szCs w:val="20"/>
                    </w:rPr>
                    <w:t>CV Number (if applicable):</w:t>
                  </w:r>
                </w:p>
              </w:tc>
              <w:tc>
                <w:tcPr>
                  <w:tcW w:w="5555" w:type="dxa"/>
                </w:tcPr>
                <w:p w14:paraId="6592511B" w14:textId="69CD810F" w:rsidR="00AF7042" w:rsidRPr="00CD13D5" w:rsidRDefault="001402CD" w:rsidP="001A69D6">
                  <w:pPr>
                    <w:rPr>
                      <w:rFonts w:cs="Arial"/>
                      <w:szCs w:val="20"/>
                    </w:rPr>
                  </w:pPr>
                  <w:r w:rsidRPr="001402CD">
                    <w:rPr>
                      <w:rFonts w:cs="Arial"/>
                      <w:szCs w:val="20"/>
                    </w:rPr>
                    <w:t>042_15CEPSL</w:t>
                  </w:r>
                </w:p>
              </w:tc>
            </w:tr>
            <w:tr w:rsidR="00AF7042" w:rsidRPr="00CD13D5" w14:paraId="2D38AA1E" w14:textId="77777777" w:rsidTr="00147FD1">
              <w:tc>
                <w:tcPr>
                  <w:tcW w:w="4282" w:type="dxa"/>
                </w:tcPr>
                <w:p w14:paraId="29AFFC8D" w14:textId="77777777" w:rsidR="00AF7042" w:rsidRPr="00113106" w:rsidRDefault="00AF7042" w:rsidP="001A69D6">
                  <w:pPr>
                    <w:rPr>
                      <w:rFonts w:cs="Arial"/>
                    </w:rPr>
                  </w:pPr>
                  <w:r w:rsidRPr="00113106">
                    <w:rPr>
                      <w:rFonts w:cs="Arial"/>
                    </w:rPr>
                    <w:t>Will this person be analysing the data? (Y/N)</w:t>
                  </w:r>
                </w:p>
              </w:tc>
              <w:tc>
                <w:tcPr>
                  <w:tcW w:w="5555" w:type="dxa"/>
                </w:tcPr>
                <w:p w14:paraId="5F7882A4" w14:textId="77777777" w:rsidR="00AF7042" w:rsidRPr="00CD13D5" w:rsidRDefault="00AF7042" w:rsidP="001A69D6">
                  <w:pPr>
                    <w:rPr>
                      <w:rFonts w:cs="Arial"/>
                      <w:szCs w:val="20"/>
                    </w:rPr>
                  </w:pPr>
                  <w:r>
                    <w:rPr>
                      <w:rFonts w:cs="Arial"/>
                      <w:szCs w:val="20"/>
                    </w:rPr>
                    <w:t>N</w:t>
                  </w:r>
                </w:p>
              </w:tc>
            </w:tr>
          </w:tbl>
          <w:p w14:paraId="075FF497" w14:textId="33A11412" w:rsidR="00AF7042" w:rsidRDefault="00AF7042" w:rsidP="001A69D6">
            <w:pPr>
              <w:rPr>
                <w:rFonts w:cs="Arial"/>
                <w:szCs w:val="20"/>
              </w:rPr>
            </w:pPr>
          </w:p>
          <w:tbl>
            <w:tblPr>
              <w:tblStyle w:val="TableGrid"/>
              <w:tblW w:w="0" w:type="auto"/>
              <w:tblLayout w:type="fixed"/>
              <w:tblLook w:val="04A0" w:firstRow="1" w:lastRow="0" w:firstColumn="1" w:lastColumn="0" w:noHBand="0" w:noVBand="1"/>
            </w:tblPr>
            <w:tblGrid>
              <w:gridCol w:w="4282"/>
              <w:gridCol w:w="5555"/>
            </w:tblGrid>
            <w:tr w:rsidR="001C2B2E" w:rsidRPr="00CD13D5" w14:paraId="35B1369F" w14:textId="77777777" w:rsidTr="0080347D">
              <w:tc>
                <w:tcPr>
                  <w:tcW w:w="4282" w:type="dxa"/>
                </w:tcPr>
                <w:p w14:paraId="1B67BD38" w14:textId="77777777" w:rsidR="001C2B2E" w:rsidRPr="00CD13D5" w:rsidRDefault="001C2B2E" w:rsidP="001A69D6">
                  <w:pPr>
                    <w:rPr>
                      <w:rFonts w:cs="Arial"/>
                      <w:szCs w:val="20"/>
                    </w:rPr>
                  </w:pPr>
                  <w:r w:rsidRPr="00CD13D5">
                    <w:rPr>
                      <w:rFonts w:cs="Arial"/>
                      <w:szCs w:val="20"/>
                    </w:rPr>
                    <w:t>Title:</w:t>
                  </w:r>
                </w:p>
              </w:tc>
              <w:tc>
                <w:tcPr>
                  <w:tcW w:w="5555" w:type="dxa"/>
                </w:tcPr>
                <w:p w14:paraId="75D2DE90" w14:textId="583D8DAA" w:rsidR="001C2B2E" w:rsidRPr="00CD13D5" w:rsidRDefault="001C2B2E" w:rsidP="001A69D6">
                  <w:pPr>
                    <w:rPr>
                      <w:rFonts w:cs="Arial"/>
                      <w:szCs w:val="20"/>
                    </w:rPr>
                  </w:pPr>
                  <w:r>
                    <w:rPr>
                      <w:rFonts w:cs="Arial"/>
                      <w:szCs w:val="20"/>
                    </w:rPr>
                    <w:t>Mr</w:t>
                  </w:r>
                </w:p>
              </w:tc>
            </w:tr>
            <w:tr w:rsidR="001C2B2E" w:rsidRPr="00CD13D5" w14:paraId="05EC9F87" w14:textId="77777777" w:rsidTr="0080347D">
              <w:tc>
                <w:tcPr>
                  <w:tcW w:w="4282" w:type="dxa"/>
                </w:tcPr>
                <w:p w14:paraId="6A89326C" w14:textId="77777777" w:rsidR="001C2B2E" w:rsidRPr="00CD13D5" w:rsidRDefault="001C2B2E" w:rsidP="001A69D6">
                  <w:pPr>
                    <w:rPr>
                      <w:rFonts w:cs="Arial"/>
                      <w:szCs w:val="20"/>
                    </w:rPr>
                  </w:pPr>
                  <w:r w:rsidRPr="00CD13D5">
                    <w:rPr>
                      <w:rFonts w:cs="Arial"/>
                      <w:szCs w:val="20"/>
                    </w:rPr>
                    <w:t>Full name:</w:t>
                  </w:r>
                </w:p>
              </w:tc>
              <w:tc>
                <w:tcPr>
                  <w:tcW w:w="5555" w:type="dxa"/>
                </w:tcPr>
                <w:p w14:paraId="2C605012" w14:textId="00FD609E" w:rsidR="001C2B2E" w:rsidRPr="00CD13D5" w:rsidRDefault="001C2B2E" w:rsidP="001A69D6">
                  <w:pPr>
                    <w:rPr>
                      <w:rFonts w:cs="Arial"/>
                      <w:szCs w:val="20"/>
                    </w:rPr>
                  </w:pPr>
                  <w:r>
                    <w:rPr>
                      <w:rFonts w:cs="Arial"/>
                      <w:szCs w:val="20"/>
                    </w:rPr>
                    <w:t>Alasdair Henderson</w:t>
                  </w:r>
                </w:p>
              </w:tc>
            </w:tr>
            <w:tr w:rsidR="001C2B2E" w:rsidRPr="00CD13D5" w14:paraId="48703A03" w14:textId="77777777" w:rsidTr="0080347D">
              <w:tc>
                <w:tcPr>
                  <w:tcW w:w="4282" w:type="dxa"/>
                </w:tcPr>
                <w:p w14:paraId="61B0C17A" w14:textId="77777777" w:rsidR="001C2B2E" w:rsidRPr="00CD13D5" w:rsidRDefault="001C2B2E" w:rsidP="001A69D6">
                  <w:pPr>
                    <w:rPr>
                      <w:rFonts w:cs="Arial"/>
                      <w:szCs w:val="20"/>
                    </w:rPr>
                  </w:pPr>
                  <w:r w:rsidRPr="00CD13D5">
                    <w:rPr>
                      <w:rFonts w:cs="Arial"/>
                      <w:szCs w:val="20"/>
                    </w:rPr>
                    <w:t>Job title:</w:t>
                  </w:r>
                </w:p>
              </w:tc>
              <w:tc>
                <w:tcPr>
                  <w:tcW w:w="5555" w:type="dxa"/>
                </w:tcPr>
                <w:p w14:paraId="54FB5171" w14:textId="14ADCC09" w:rsidR="001C2B2E" w:rsidRPr="00CD13D5" w:rsidRDefault="001C2B2E" w:rsidP="001A69D6">
                  <w:pPr>
                    <w:rPr>
                      <w:rFonts w:cs="Arial"/>
                      <w:szCs w:val="20"/>
                    </w:rPr>
                  </w:pPr>
                  <w:r>
                    <w:rPr>
                      <w:rFonts w:cs="Arial"/>
                      <w:szCs w:val="20"/>
                    </w:rPr>
                    <w:t>Research Fellow</w:t>
                  </w:r>
                </w:p>
              </w:tc>
            </w:tr>
            <w:tr w:rsidR="001C2B2E" w:rsidRPr="00CD13D5" w14:paraId="3AC9A435" w14:textId="77777777" w:rsidTr="0080347D">
              <w:tc>
                <w:tcPr>
                  <w:tcW w:w="4282" w:type="dxa"/>
                </w:tcPr>
                <w:p w14:paraId="146E5664" w14:textId="77777777" w:rsidR="001C2B2E" w:rsidRPr="00CD13D5" w:rsidRDefault="001C2B2E" w:rsidP="001A69D6">
                  <w:pPr>
                    <w:rPr>
                      <w:rFonts w:cs="Arial"/>
                      <w:szCs w:val="20"/>
                    </w:rPr>
                  </w:pPr>
                  <w:r w:rsidRPr="00CD13D5">
                    <w:rPr>
                      <w:rFonts w:cs="Arial"/>
                      <w:szCs w:val="20"/>
                    </w:rPr>
                    <w:t>Affiliation/organisation:</w:t>
                  </w:r>
                </w:p>
              </w:tc>
              <w:tc>
                <w:tcPr>
                  <w:tcW w:w="5555" w:type="dxa"/>
                </w:tcPr>
                <w:p w14:paraId="67F4F0E0" w14:textId="50664F39" w:rsidR="001C2B2E" w:rsidRPr="00CD13D5" w:rsidRDefault="001C2B2E" w:rsidP="001A69D6">
                  <w:pPr>
                    <w:rPr>
                      <w:rFonts w:cs="Arial"/>
                      <w:szCs w:val="20"/>
                    </w:rPr>
                  </w:pPr>
                  <w:r>
                    <w:rPr>
                      <w:rFonts w:cs="Arial"/>
                      <w:szCs w:val="20"/>
                    </w:rPr>
                    <w:t>London School of Hygiene and Tropical Medicine</w:t>
                  </w:r>
                </w:p>
              </w:tc>
            </w:tr>
            <w:tr w:rsidR="001C2B2E" w:rsidRPr="00CD13D5" w14:paraId="0B7AD403" w14:textId="77777777" w:rsidTr="0080347D">
              <w:tc>
                <w:tcPr>
                  <w:tcW w:w="4282" w:type="dxa"/>
                </w:tcPr>
                <w:p w14:paraId="64AD4F22" w14:textId="77777777" w:rsidR="001C2B2E" w:rsidRPr="00CD13D5" w:rsidRDefault="001C2B2E" w:rsidP="001A69D6">
                  <w:pPr>
                    <w:rPr>
                      <w:rFonts w:cs="Arial"/>
                      <w:szCs w:val="20"/>
                    </w:rPr>
                  </w:pPr>
                  <w:r w:rsidRPr="00CD13D5">
                    <w:rPr>
                      <w:rFonts w:cs="Arial"/>
                      <w:szCs w:val="20"/>
                    </w:rPr>
                    <w:t>Email address:</w:t>
                  </w:r>
                </w:p>
              </w:tc>
              <w:tc>
                <w:tcPr>
                  <w:tcW w:w="5555" w:type="dxa"/>
                </w:tcPr>
                <w:p w14:paraId="67C1A8EF" w14:textId="68172989" w:rsidR="001C2B2E" w:rsidRPr="00CD13D5" w:rsidRDefault="001C2B2E" w:rsidP="001A69D6">
                  <w:pPr>
                    <w:rPr>
                      <w:rFonts w:cs="Arial"/>
                      <w:szCs w:val="20"/>
                    </w:rPr>
                  </w:pPr>
                  <w:r w:rsidRPr="001C2B2E">
                    <w:rPr>
                      <w:rFonts w:cs="Arial"/>
                      <w:szCs w:val="20"/>
                    </w:rPr>
                    <w:t>Alasdair.Henderson1@lshtm.ac.uk</w:t>
                  </w:r>
                </w:p>
              </w:tc>
            </w:tr>
            <w:tr w:rsidR="001C2B2E" w:rsidRPr="00CD13D5" w14:paraId="60ECF327" w14:textId="77777777" w:rsidTr="0080347D">
              <w:tc>
                <w:tcPr>
                  <w:tcW w:w="4282" w:type="dxa"/>
                </w:tcPr>
                <w:p w14:paraId="02241BE2" w14:textId="77777777" w:rsidR="001C2B2E" w:rsidRPr="00293C47" w:rsidRDefault="001C2B2E" w:rsidP="001A69D6">
                  <w:pPr>
                    <w:rPr>
                      <w:rFonts w:cs="Arial"/>
                      <w:szCs w:val="20"/>
                      <w:highlight w:val="yellow"/>
                    </w:rPr>
                  </w:pPr>
                  <w:r w:rsidRPr="00F23C30">
                    <w:rPr>
                      <w:rFonts w:cs="Arial"/>
                      <w:szCs w:val="20"/>
                    </w:rPr>
                    <w:t>CV Number (if applicable):</w:t>
                  </w:r>
                </w:p>
              </w:tc>
              <w:tc>
                <w:tcPr>
                  <w:tcW w:w="5555" w:type="dxa"/>
                </w:tcPr>
                <w:p w14:paraId="3E4E67B2" w14:textId="53ED802C" w:rsidR="001C2B2E" w:rsidRPr="00CD13D5" w:rsidRDefault="001C2B2E" w:rsidP="001A69D6">
                  <w:pPr>
                    <w:rPr>
                      <w:rFonts w:cs="Arial"/>
                      <w:szCs w:val="20"/>
                    </w:rPr>
                  </w:pPr>
                  <w:r w:rsidRPr="001C2B2E">
                    <w:rPr>
                      <w:rFonts w:cs="Arial"/>
                      <w:szCs w:val="20"/>
                    </w:rPr>
                    <w:t>375_16</w:t>
                  </w:r>
                </w:p>
              </w:tc>
            </w:tr>
            <w:tr w:rsidR="001C2B2E" w:rsidRPr="00CD13D5" w14:paraId="77CD9C29" w14:textId="77777777" w:rsidTr="00511B41">
              <w:trPr>
                <w:trHeight w:val="67"/>
              </w:trPr>
              <w:tc>
                <w:tcPr>
                  <w:tcW w:w="4282" w:type="dxa"/>
                </w:tcPr>
                <w:p w14:paraId="7D3907B1" w14:textId="77777777" w:rsidR="001C2B2E" w:rsidRPr="00113106" w:rsidRDefault="001C2B2E" w:rsidP="001A69D6">
                  <w:pPr>
                    <w:rPr>
                      <w:rFonts w:cs="Arial"/>
                    </w:rPr>
                  </w:pPr>
                  <w:r w:rsidRPr="00113106">
                    <w:rPr>
                      <w:rFonts w:cs="Arial"/>
                    </w:rPr>
                    <w:t>Will this person be analysing the data? (Y/N)</w:t>
                  </w:r>
                </w:p>
              </w:tc>
              <w:tc>
                <w:tcPr>
                  <w:tcW w:w="5555" w:type="dxa"/>
                </w:tcPr>
                <w:p w14:paraId="0FE8FA0E" w14:textId="10FBFD54" w:rsidR="001C2B2E" w:rsidRPr="00CD13D5" w:rsidRDefault="001C2B2E" w:rsidP="001A69D6">
                  <w:pPr>
                    <w:rPr>
                      <w:rFonts w:cs="Arial"/>
                      <w:szCs w:val="20"/>
                    </w:rPr>
                  </w:pPr>
                  <w:r>
                    <w:rPr>
                      <w:rFonts w:cs="Arial"/>
                      <w:szCs w:val="20"/>
                    </w:rPr>
                    <w:t>Y</w:t>
                  </w:r>
                </w:p>
              </w:tc>
            </w:tr>
          </w:tbl>
          <w:p w14:paraId="458BB33B" w14:textId="77777777" w:rsidR="001C2B2E" w:rsidRPr="00CD13D5" w:rsidRDefault="001C2B2E" w:rsidP="001A69D6">
            <w:pPr>
              <w:rPr>
                <w:rFonts w:cs="Arial"/>
                <w:szCs w:val="20"/>
              </w:rPr>
            </w:pPr>
          </w:p>
          <w:p w14:paraId="7DD604D1" w14:textId="63E90524" w:rsidR="00672602" w:rsidRPr="00CD13D5" w:rsidRDefault="00672602" w:rsidP="001A69D6">
            <w:pPr>
              <w:rPr>
                <w:rFonts w:cs="Arial"/>
                <w:szCs w:val="20"/>
              </w:rPr>
            </w:pPr>
            <w:r w:rsidRPr="00CD13D5">
              <w:rPr>
                <w:rFonts w:cs="Arial"/>
                <w:szCs w:val="20"/>
              </w:rPr>
              <w:t>[</w:t>
            </w:r>
            <w:r w:rsidR="00B62A1A" w:rsidRPr="00CD13D5">
              <w:rPr>
                <w:rFonts w:cs="Arial"/>
                <w:szCs w:val="20"/>
              </w:rPr>
              <w:t>A</w:t>
            </w:r>
            <w:r w:rsidRPr="00CD13D5">
              <w:rPr>
                <w:rFonts w:cs="Arial"/>
                <w:szCs w:val="20"/>
              </w:rPr>
              <w:t>dd more investigator</w:t>
            </w:r>
            <w:r w:rsidR="003C74AC" w:rsidRPr="00CD13D5">
              <w:rPr>
                <w:rFonts w:cs="Arial"/>
                <w:szCs w:val="20"/>
              </w:rPr>
              <w:t>s</w:t>
            </w:r>
            <w:r w:rsidR="006570AA" w:rsidRPr="00CD13D5">
              <w:rPr>
                <w:rFonts w:cs="Arial"/>
                <w:szCs w:val="20"/>
              </w:rPr>
              <w:t>/collaborator</w:t>
            </w:r>
            <w:r w:rsidR="003C74AC" w:rsidRPr="00CD13D5">
              <w:rPr>
                <w:rFonts w:cs="Arial"/>
                <w:szCs w:val="20"/>
              </w:rPr>
              <w:t>s</w:t>
            </w:r>
            <w:r w:rsidRPr="00CD13D5">
              <w:rPr>
                <w:rFonts w:cs="Arial"/>
                <w:szCs w:val="20"/>
              </w:rPr>
              <w:t xml:space="preserve"> as necessary</w:t>
            </w:r>
            <w:r w:rsidR="006570AA" w:rsidRPr="00CD13D5">
              <w:rPr>
                <w:rFonts w:cs="Arial"/>
                <w:szCs w:val="20"/>
              </w:rPr>
              <w:t xml:space="preserve"> by </w:t>
            </w:r>
            <w:r w:rsidR="005931B2">
              <w:rPr>
                <w:rFonts w:cs="Arial"/>
                <w:szCs w:val="20"/>
              </w:rPr>
              <w:t>copy and pasting</w:t>
            </w:r>
            <w:r w:rsidR="006570AA" w:rsidRPr="00CD13D5">
              <w:rPr>
                <w:rFonts w:cs="Arial"/>
                <w:szCs w:val="20"/>
              </w:rPr>
              <w:t xml:space="preserve"> a new table for each investigator/collaborator</w:t>
            </w:r>
            <w:r w:rsidRPr="00CD13D5">
              <w:rPr>
                <w:rFonts w:cs="Arial"/>
                <w:szCs w:val="20"/>
              </w:rPr>
              <w:t>]</w:t>
            </w:r>
          </w:p>
          <w:p w14:paraId="1683C588" w14:textId="77777777" w:rsidR="00672602" w:rsidRPr="00CD13D5" w:rsidRDefault="00672602" w:rsidP="001A69D6">
            <w:pPr>
              <w:rPr>
                <w:rFonts w:cs="Arial"/>
                <w:szCs w:val="20"/>
              </w:rPr>
            </w:pPr>
          </w:p>
        </w:tc>
      </w:tr>
      <w:tr w:rsidR="00672602" w:rsidRPr="00CD13D5" w14:paraId="36CFD2C3" w14:textId="77777777" w:rsidTr="00B01179">
        <w:trPr>
          <w:trHeight w:val="274"/>
          <w:jc w:val="center"/>
        </w:trPr>
        <w:tc>
          <w:tcPr>
            <w:tcW w:w="10063" w:type="dxa"/>
            <w:tcBorders>
              <w:bottom w:val="nil"/>
            </w:tcBorders>
          </w:tcPr>
          <w:p w14:paraId="52000A87" w14:textId="77777777" w:rsidR="00672602" w:rsidRPr="00CD13D5" w:rsidRDefault="00672602" w:rsidP="001A69D6">
            <w:pPr>
              <w:pStyle w:val="Heading2"/>
              <w:numPr>
                <w:ilvl w:val="0"/>
                <w:numId w:val="6"/>
              </w:numPr>
            </w:pPr>
            <w:r w:rsidRPr="00CD13D5">
              <w:lastRenderedPageBreak/>
              <w:t>Experience/expertise available</w:t>
            </w:r>
          </w:p>
          <w:p w14:paraId="66A0CA83" w14:textId="77777777" w:rsidR="00672602" w:rsidRPr="00CD13D5" w:rsidRDefault="00672602" w:rsidP="001A69D6">
            <w:pPr>
              <w:rPr>
                <w:rFonts w:cs="Arial"/>
                <w:szCs w:val="20"/>
              </w:rPr>
            </w:pPr>
          </w:p>
          <w:p w14:paraId="49B75DAC" w14:textId="24C73DBD" w:rsidR="00672602" w:rsidRPr="00CD13D5" w:rsidRDefault="00672602" w:rsidP="001A69D6">
            <w:pPr>
              <w:rPr>
                <w:rFonts w:cs="Arial"/>
                <w:szCs w:val="20"/>
              </w:rPr>
            </w:pPr>
            <w:r w:rsidRPr="00CD13D5">
              <w:rPr>
                <w:rFonts w:cs="Arial"/>
                <w:szCs w:val="20"/>
              </w:rPr>
              <w:t>List below the member(s) of the research team who have experience with CPRD data.</w:t>
            </w:r>
          </w:p>
          <w:tbl>
            <w:tblPr>
              <w:tblStyle w:val="TableGrid"/>
              <w:tblW w:w="0" w:type="auto"/>
              <w:tblLayout w:type="fixed"/>
              <w:tblLook w:val="04A0" w:firstRow="1" w:lastRow="0" w:firstColumn="1" w:lastColumn="0" w:noHBand="0" w:noVBand="1"/>
            </w:tblPr>
            <w:tblGrid>
              <w:gridCol w:w="4282"/>
            </w:tblGrid>
            <w:tr w:rsidR="00A901A4" w:rsidRPr="00CD13D5" w14:paraId="364E258D" w14:textId="77777777" w:rsidTr="00EE4AF8">
              <w:tc>
                <w:tcPr>
                  <w:tcW w:w="4282" w:type="dxa"/>
                </w:tcPr>
                <w:p w14:paraId="3B3C548D" w14:textId="66AA7CB6" w:rsidR="00A901A4" w:rsidRPr="00CD13D5" w:rsidRDefault="00A901A4" w:rsidP="001A69D6">
                  <w:pPr>
                    <w:rPr>
                      <w:rFonts w:cs="Arial"/>
                      <w:b/>
                      <w:szCs w:val="20"/>
                    </w:rPr>
                  </w:pPr>
                  <w:r w:rsidRPr="00CD13D5">
                    <w:rPr>
                      <w:rFonts w:cs="Arial"/>
                      <w:b/>
                      <w:szCs w:val="20"/>
                    </w:rPr>
                    <w:t>Name</w:t>
                  </w:r>
                  <w:r>
                    <w:rPr>
                      <w:rFonts w:cs="Arial"/>
                      <w:b/>
                      <w:szCs w:val="20"/>
                    </w:rPr>
                    <w:t>(s)</w:t>
                  </w:r>
                  <w:r w:rsidRPr="00CD13D5">
                    <w:rPr>
                      <w:rFonts w:cs="Arial"/>
                      <w:b/>
                      <w:szCs w:val="20"/>
                    </w:rPr>
                    <w:t>:</w:t>
                  </w:r>
                </w:p>
              </w:tc>
            </w:tr>
            <w:tr w:rsidR="00AC65E6" w:rsidRPr="00CD13D5" w14:paraId="7A6754F5" w14:textId="77777777" w:rsidTr="00EE4AF8">
              <w:tc>
                <w:tcPr>
                  <w:tcW w:w="4282" w:type="dxa"/>
                </w:tcPr>
                <w:p w14:paraId="6F0362D8" w14:textId="773F5DDC" w:rsidR="00AC65E6" w:rsidRPr="00CD13D5" w:rsidRDefault="00AC65E6" w:rsidP="001A69D6">
                  <w:pPr>
                    <w:rPr>
                      <w:rFonts w:cs="Arial"/>
                      <w:szCs w:val="20"/>
                    </w:rPr>
                  </w:pPr>
                  <w:proofErr w:type="spellStart"/>
                  <w:r>
                    <w:rPr>
                      <w:rFonts w:cs="Arial"/>
                      <w:szCs w:val="20"/>
                    </w:rPr>
                    <w:t>Sinéad</w:t>
                  </w:r>
                  <w:proofErr w:type="spellEnd"/>
                  <w:r>
                    <w:rPr>
                      <w:rFonts w:cs="Arial"/>
                      <w:szCs w:val="20"/>
                    </w:rPr>
                    <w:t xml:space="preserve"> </w:t>
                  </w:r>
                  <w:proofErr w:type="spellStart"/>
                  <w:r>
                    <w:rPr>
                      <w:rFonts w:cs="Arial"/>
                      <w:szCs w:val="20"/>
                    </w:rPr>
                    <w:t>Langan</w:t>
                  </w:r>
                  <w:proofErr w:type="spellEnd"/>
                </w:p>
              </w:tc>
            </w:tr>
            <w:tr w:rsidR="00AC65E6" w:rsidRPr="00CD13D5" w14:paraId="5236344A" w14:textId="77777777" w:rsidTr="00EE4AF8">
              <w:tc>
                <w:tcPr>
                  <w:tcW w:w="4282" w:type="dxa"/>
                </w:tcPr>
                <w:p w14:paraId="69332EEA" w14:textId="5500B55C" w:rsidR="00AC65E6" w:rsidRPr="00CD13D5" w:rsidRDefault="00AC65E6" w:rsidP="001A69D6">
                  <w:pPr>
                    <w:rPr>
                      <w:rFonts w:cs="Arial"/>
                      <w:szCs w:val="20"/>
                    </w:rPr>
                  </w:pPr>
                  <w:r>
                    <w:rPr>
                      <w:rFonts w:cs="Arial"/>
                      <w:szCs w:val="20"/>
                    </w:rPr>
                    <w:t>Kathryn Mansfield</w:t>
                  </w:r>
                </w:p>
              </w:tc>
            </w:tr>
            <w:tr w:rsidR="00AC65E6" w:rsidRPr="00CD13D5" w14:paraId="15F57F91" w14:textId="77777777" w:rsidTr="00EE4AF8">
              <w:tc>
                <w:tcPr>
                  <w:tcW w:w="4282" w:type="dxa"/>
                </w:tcPr>
                <w:p w14:paraId="0480D46D" w14:textId="173A6EC1" w:rsidR="00AC65E6" w:rsidRPr="00CD13D5" w:rsidRDefault="00AC65E6" w:rsidP="001A69D6">
                  <w:pPr>
                    <w:rPr>
                      <w:rFonts w:cs="Arial"/>
                      <w:szCs w:val="20"/>
                    </w:rPr>
                  </w:pPr>
                  <w:r>
                    <w:rPr>
                      <w:rFonts w:cs="Arial"/>
                      <w:szCs w:val="20"/>
                    </w:rPr>
                    <w:t xml:space="preserve">All other members listed </w:t>
                  </w:r>
                </w:p>
              </w:tc>
            </w:tr>
          </w:tbl>
          <w:p w14:paraId="1A917324" w14:textId="77777777" w:rsidR="00672602" w:rsidRPr="00CD13D5" w:rsidRDefault="00672602" w:rsidP="001A69D6">
            <w:pPr>
              <w:rPr>
                <w:rFonts w:cs="Arial"/>
                <w:szCs w:val="20"/>
              </w:rPr>
            </w:pPr>
          </w:p>
          <w:p w14:paraId="2EB7B5B8" w14:textId="54A742AF" w:rsidR="00672602" w:rsidRPr="00CD13D5" w:rsidRDefault="00672602" w:rsidP="001A69D6">
            <w:pPr>
              <w:rPr>
                <w:rFonts w:cs="Arial"/>
                <w:szCs w:val="20"/>
              </w:rPr>
            </w:pPr>
            <w:r w:rsidRPr="00CD13D5">
              <w:rPr>
                <w:rFonts w:cs="Arial"/>
                <w:szCs w:val="20"/>
              </w:rPr>
              <w:t>List below the member(s) of the research team who have statistical expertise.</w:t>
            </w:r>
          </w:p>
          <w:tbl>
            <w:tblPr>
              <w:tblStyle w:val="TableGrid"/>
              <w:tblW w:w="4270" w:type="dxa"/>
              <w:tblLayout w:type="fixed"/>
              <w:tblLook w:val="04A0" w:firstRow="1" w:lastRow="0" w:firstColumn="1" w:lastColumn="0" w:noHBand="0" w:noVBand="1"/>
            </w:tblPr>
            <w:tblGrid>
              <w:gridCol w:w="1151"/>
              <w:gridCol w:w="3119"/>
            </w:tblGrid>
            <w:tr w:rsidR="00E15078" w:rsidRPr="00CD13D5" w14:paraId="2C87D959" w14:textId="77777777" w:rsidTr="007B3A6B">
              <w:tc>
                <w:tcPr>
                  <w:tcW w:w="1151" w:type="dxa"/>
                </w:tcPr>
                <w:p w14:paraId="2195208D" w14:textId="77777777" w:rsidR="00E15078" w:rsidRPr="00CD13D5" w:rsidRDefault="00E15078" w:rsidP="001A69D6">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right w:val="nil"/>
                  </w:tcBorders>
                </w:tcPr>
                <w:p w14:paraId="26552C0E" w14:textId="0C6F36C7" w:rsidR="00E15078" w:rsidRPr="00CD13D5" w:rsidRDefault="00E15078" w:rsidP="001A69D6">
                  <w:pPr>
                    <w:rPr>
                      <w:rFonts w:cs="Arial"/>
                      <w:b/>
                      <w:szCs w:val="20"/>
                    </w:rPr>
                  </w:pPr>
                </w:p>
              </w:tc>
            </w:tr>
            <w:tr w:rsidR="00AC65E6" w:rsidRPr="00CD13D5" w14:paraId="3AFAD3E8" w14:textId="77777777" w:rsidTr="007B3A6B">
              <w:tc>
                <w:tcPr>
                  <w:tcW w:w="4270" w:type="dxa"/>
                  <w:gridSpan w:val="2"/>
                </w:tcPr>
                <w:p w14:paraId="7C8FFD71" w14:textId="713069B1" w:rsidR="00AC65E6" w:rsidRPr="00CD13D5" w:rsidRDefault="00AC65E6" w:rsidP="001A69D6">
                  <w:pPr>
                    <w:rPr>
                      <w:rFonts w:cs="Arial"/>
                      <w:szCs w:val="20"/>
                    </w:rPr>
                  </w:pPr>
                  <w:r>
                    <w:rPr>
                      <w:rFonts w:cs="Arial"/>
                      <w:szCs w:val="20"/>
                    </w:rPr>
                    <w:t xml:space="preserve">Amy </w:t>
                  </w:r>
                  <w:proofErr w:type="spellStart"/>
                  <w:r>
                    <w:rPr>
                      <w:rFonts w:cs="Arial"/>
                      <w:szCs w:val="20"/>
                    </w:rPr>
                    <w:t>Mulick</w:t>
                  </w:r>
                  <w:proofErr w:type="spellEnd"/>
                </w:p>
              </w:tc>
            </w:tr>
            <w:tr w:rsidR="00AC65E6" w:rsidRPr="00CD13D5" w14:paraId="6E957AFF" w14:textId="77777777" w:rsidTr="007B3A6B">
              <w:tc>
                <w:tcPr>
                  <w:tcW w:w="4270" w:type="dxa"/>
                  <w:gridSpan w:val="2"/>
                </w:tcPr>
                <w:p w14:paraId="77FE371E" w14:textId="69539985" w:rsidR="00AC65E6" w:rsidRPr="00CD13D5" w:rsidRDefault="00AC65E6" w:rsidP="001A69D6">
                  <w:pPr>
                    <w:rPr>
                      <w:rFonts w:cs="Arial"/>
                      <w:szCs w:val="20"/>
                    </w:rPr>
                  </w:pPr>
                  <w:r>
                    <w:rPr>
                      <w:rFonts w:cs="Arial"/>
                      <w:szCs w:val="20"/>
                    </w:rPr>
                    <w:t xml:space="preserve">John </w:t>
                  </w:r>
                  <w:proofErr w:type="spellStart"/>
                  <w:r>
                    <w:rPr>
                      <w:rFonts w:cs="Arial"/>
                      <w:szCs w:val="20"/>
                    </w:rPr>
                    <w:t>Tazare</w:t>
                  </w:r>
                  <w:proofErr w:type="spellEnd"/>
                </w:p>
              </w:tc>
            </w:tr>
            <w:tr w:rsidR="00AC65E6" w:rsidRPr="00CD13D5" w14:paraId="37C7FA61" w14:textId="77777777" w:rsidTr="001A69D6">
              <w:tc>
                <w:tcPr>
                  <w:tcW w:w="4270" w:type="dxa"/>
                  <w:gridSpan w:val="2"/>
                  <w:shd w:val="clear" w:color="auto" w:fill="auto"/>
                </w:tcPr>
                <w:p w14:paraId="4B0C73EC" w14:textId="255ED49C" w:rsidR="00AC65E6" w:rsidRPr="00CD13D5" w:rsidRDefault="008E2510" w:rsidP="001A69D6">
                  <w:pPr>
                    <w:rPr>
                      <w:rFonts w:cs="Arial"/>
                      <w:szCs w:val="20"/>
                    </w:rPr>
                  </w:pPr>
                  <w:r>
                    <w:rPr>
                      <w:rFonts w:cs="Arial"/>
                      <w:szCs w:val="20"/>
                    </w:rPr>
                    <w:t>Alasdair Henderson</w:t>
                  </w:r>
                </w:p>
              </w:tc>
            </w:tr>
          </w:tbl>
          <w:p w14:paraId="58C32CC8" w14:textId="77777777" w:rsidR="00672602" w:rsidRPr="00CD13D5" w:rsidRDefault="00672602" w:rsidP="001A69D6">
            <w:pPr>
              <w:rPr>
                <w:rFonts w:cs="Arial"/>
                <w:szCs w:val="20"/>
              </w:rPr>
            </w:pPr>
          </w:p>
          <w:p w14:paraId="5299E5CC" w14:textId="56FB6AAA" w:rsidR="00672602" w:rsidRPr="00CD13D5" w:rsidRDefault="00672602" w:rsidP="001A69D6">
            <w:pPr>
              <w:rPr>
                <w:rFonts w:cs="Arial"/>
                <w:szCs w:val="20"/>
              </w:rPr>
            </w:pPr>
            <w:r w:rsidRPr="00CD13D5">
              <w:rPr>
                <w:rFonts w:cs="Arial"/>
                <w:szCs w:val="20"/>
              </w:rPr>
              <w:t>List below the member(s) of the research team who have experience of handling large datasets (</w:t>
            </w:r>
            <w:r w:rsidR="006A304F" w:rsidRPr="00CD13D5">
              <w:rPr>
                <w:rFonts w:cs="Arial"/>
                <w:szCs w:val="20"/>
              </w:rPr>
              <w:t xml:space="preserve">greater than </w:t>
            </w:r>
            <w:r w:rsidRPr="00CD13D5">
              <w:rPr>
                <w:rFonts w:cs="Arial"/>
                <w:szCs w:val="20"/>
              </w:rPr>
              <w:t>1 million records).</w:t>
            </w:r>
          </w:p>
          <w:tbl>
            <w:tblPr>
              <w:tblStyle w:val="TableGrid"/>
              <w:tblW w:w="4270" w:type="dxa"/>
              <w:tblLayout w:type="fixed"/>
              <w:tblLook w:val="04A0" w:firstRow="1" w:lastRow="0" w:firstColumn="1" w:lastColumn="0" w:noHBand="0" w:noVBand="1"/>
            </w:tblPr>
            <w:tblGrid>
              <w:gridCol w:w="1151"/>
              <w:gridCol w:w="3119"/>
            </w:tblGrid>
            <w:tr w:rsidR="00E15078" w:rsidRPr="00CD13D5" w14:paraId="69D80F40" w14:textId="77777777" w:rsidTr="007B3A6B">
              <w:tc>
                <w:tcPr>
                  <w:tcW w:w="1151" w:type="dxa"/>
                </w:tcPr>
                <w:p w14:paraId="42537E04" w14:textId="77777777" w:rsidR="00E15078" w:rsidRPr="00CD13D5" w:rsidRDefault="00E15078" w:rsidP="001A69D6">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right w:val="nil"/>
                  </w:tcBorders>
                </w:tcPr>
                <w:p w14:paraId="625173E5" w14:textId="790B51F1" w:rsidR="00E15078" w:rsidRPr="00CD13D5" w:rsidRDefault="00E15078" w:rsidP="001A69D6">
                  <w:pPr>
                    <w:rPr>
                      <w:rFonts w:cs="Arial"/>
                      <w:b/>
                      <w:szCs w:val="20"/>
                    </w:rPr>
                  </w:pPr>
                </w:p>
              </w:tc>
            </w:tr>
            <w:tr w:rsidR="00AC65E6" w:rsidRPr="00CD13D5" w14:paraId="194ECE84" w14:textId="77777777" w:rsidTr="007B3A6B">
              <w:tc>
                <w:tcPr>
                  <w:tcW w:w="4270" w:type="dxa"/>
                  <w:gridSpan w:val="2"/>
                </w:tcPr>
                <w:p w14:paraId="20CDFC25" w14:textId="5FE71634" w:rsidR="00AC65E6" w:rsidRPr="00CD13D5" w:rsidRDefault="00AC65E6" w:rsidP="001A69D6">
                  <w:pPr>
                    <w:rPr>
                      <w:rFonts w:cs="Arial"/>
                      <w:szCs w:val="20"/>
                    </w:rPr>
                  </w:pPr>
                  <w:r>
                    <w:rPr>
                      <w:rFonts w:cs="Arial"/>
                      <w:szCs w:val="20"/>
                    </w:rPr>
                    <w:t>Kathryn Mansfield</w:t>
                  </w:r>
                </w:p>
              </w:tc>
            </w:tr>
            <w:tr w:rsidR="00AC65E6" w:rsidRPr="00CD13D5" w14:paraId="0A0A3924" w14:textId="77777777" w:rsidTr="007B3A6B">
              <w:tc>
                <w:tcPr>
                  <w:tcW w:w="4270" w:type="dxa"/>
                  <w:gridSpan w:val="2"/>
                </w:tcPr>
                <w:p w14:paraId="7F5564D5" w14:textId="3F4BA3B4" w:rsidR="00AC65E6" w:rsidRPr="00CD13D5" w:rsidRDefault="00AC65E6" w:rsidP="001A69D6">
                  <w:pPr>
                    <w:rPr>
                      <w:rFonts w:cs="Arial"/>
                      <w:szCs w:val="20"/>
                    </w:rPr>
                  </w:pPr>
                  <w:r>
                    <w:rPr>
                      <w:rFonts w:cs="Arial"/>
                      <w:szCs w:val="20"/>
                    </w:rPr>
                    <w:t>Harriet Forbes</w:t>
                  </w:r>
                </w:p>
              </w:tc>
            </w:tr>
            <w:tr w:rsidR="00AC65E6" w:rsidRPr="00CD13D5" w14:paraId="1657C723" w14:textId="77777777" w:rsidTr="007B3A6B">
              <w:tc>
                <w:tcPr>
                  <w:tcW w:w="4270" w:type="dxa"/>
                  <w:gridSpan w:val="2"/>
                </w:tcPr>
                <w:p w14:paraId="453ED3FF" w14:textId="53D40FEC" w:rsidR="00AC65E6" w:rsidRPr="00CD13D5" w:rsidRDefault="00AC65E6" w:rsidP="001A69D6">
                  <w:pPr>
                    <w:rPr>
                      <w:rFonts w:cs="Arial"/>
                      <w:szCs w:val="20"/>
                    </w:rPr>
                  </w:pPr>
                  <w:r>
                    <w:rPr>
                      <w:rFonts w:cs="Arial"/>
                      <w:szCs w:val="20"/>
                    </w:rPr>
                    <w:t>Kevin Wing</w:t>
                  </w:r>
                </w:p>
              </w:tc>
            </w:tr>
            <w:tr w:rsidR="00AC65E6" w:rsidRPr="00CD13D5" w14:paraId="4E98562A" w14:textId="77777777" w:rsidTr="007B3A6B">
              <w:tc>
                <w:tcPr>
                  <w:tcW w:w="4270" w:type="dxa"/>
                  <w:gridSpan w:val="2"/>
                </w:tcPr>
                <w:p w14:paraId="38CA93E4" w14:textId="7C066DF7" w:rsidR="00AC65E6" w:rsidRDefault="00AC65E6" w:rsidP="001A69D6">
                  <w:pPr>
                    <w:rPr>
                      <w:rFonts w:cs="Arial"/>
                      <w:szCs w:val="20"/>
                    </w:rPr>
                  </w:pPr>
                  <w:r>
                    <w:rPr>
                      <w:rFonts w:cs="Arial"/>
                      <w:szCs w:val="20"/>
                    </w:rPr>
                    <w:t>Rohini Mathur</w:t>
                  </w:r>
                </w:p>
              </w:tc>
            </w:tr>
            <w:tr w:rsidR="00AC65E6" w:rsidRPr="00CD13D5" w14:paraId="02A803C0" w14:textId="77777777" w:rsidTr="007B3A6B">
              <w:tc>
                <w:tcPr>
                  <w:tcW w:w="4270" w:type="dxa"/>
                  <w:gridSpan w:val="2"/>
                </w:tcPr>
                <w:p w14:paraId="1DA29E85" w14:textId="2F27D40B" w:rsidR="00AC65E6" w:rsidRDefault="00AC65E6" w:rsidP="001A69D6">
                  <w:pPr>
                    <w:rPr>
                      <w:rFonts w:cs="Arial"/>
                      <w:szCs w:val="20"/>
                    </w:rPr>
                  </w:pPr>
                  <w:r>
                    <w:rPr>
                      <w:rFonts w:cs="Arial"/>
                      <w:szCs w:val="20"/>
                    </w:rPr>
                    <w:t xml:space="preserve">Patrick </w:t>
                  </w:r>
                  <w:proofErr w:type="spellStart"/>
                  <w:r>
                    <w:rPr>
                      <w:rFonts w:cs="Arial"/>
                      <w:szCs w:val="20"/>
                    </w:rPr>
                    <w:t>Bidulka</w:t>
                  </w:r>
                  <w:proofErr w:type="spellEnd"/>
                </w:p>
              </w:tc>
            </w:tr>
            <w:tr w:rsidR="000C7BDF" w:rsidRPr="00CD13D5" w14:paraId="5CC841B4" w14:textId="77777777" w:rsidTr="007B3A6B">
              <w:tc>
                <w:tcPr>
                  <w:tcW w:w="4270" w:type="dxa"/>
                  <w:gridSpan w:val="2"/>
                </w:tcPr>
                <w:p w14:paraId="6BBD6B3F" w14:textId="4AD304A4" w:rsidR="000C7BDF" w:rsidRDefault="000C7BDF" w:rsidP="001A69D6">
                  <w:pPr>
                    <w:rPr>
                      <w:rFonts w:cs="Arial"/>
                      <w:szCs w:val="20"/>
                    </w:rPr>
                  </w:pPr>
                  <w:r>
                    <w:rPr>
                      <w:rFonts w:cs="Arial"/>
                      <w:szCs w:val="20"/>
                    </w:rPr>
                    <w:t>Angel Wong</w:t>
                  </w:r>
                </w:p>
              </w:tc>
            </w:tr>
            <w:tr w:rsidR="000C7BDF" w:rsidRPr="00CD13D5" w14:paraId="5FE7DDCF" w14:textId="77777777" w:rsidTr="007B3A6B">
              <w:tc>
                <w:tcPr>
                  <w:tcW w:w="4270" w:type="dxa"/>
                  <w:gridSpan w:val="2"/>
                </w:tcPr>
                <w:p w14:paraId="0C742CD0" w14:textId="628CB846" w:rsidR="000C7BDF" w:rsidRDefault="000C7BDF" w:rsidP="001A69D6">
                  <w:pPr>
                    <w:rPr>
                      <w:rFonts w:cs="Arial"/>
                      <w:szCs w:val="20"/>
                    </w:rPr>
                  </w:pPr>
                  <w:r>
                    <w:rPr>
                      <w:rFonts w:cs="Arial"/>
                      <w:szCs w:val="20"/>
                    </w:rPr>
                    <w:lastRenderedPageBreak/>
                    <w:t>Helen Strongman</w:t>
                  </w:r>
                </w:p>
              </w:tc>
            </w:tr>
            <w:tr w:rsidR="000C7BDF" w:rsidRPr="00CD13D5" w14:paraId="797A393E" w14:textId="77777777" w:rsidTr="007B3A6B">
              <w:tc>
                <w:tcPr>
                  <w:tcW w:w="4270" w:type="dxa"/>
                  <w:gridSpan w:val="2"/>
                </w:tcPr>
                <w:p w14:paraId="78769D37" w14:textId="0FC39F84" w:rsidR="000C7BDF" w:rsidRDefault="000C7BDF" w:rsidP="001A69D6">
                  <w:pPr>
                    <w:rPr>
                      <w:rFonts w:cs="Arial"/>
                      <w:szCs w:val="20"/>
                    </w:rPr>
                  </w:pPr>
                  <w:r>
                    <w:rPr>
                      <w:rFonts w:cs="Arial"/>
                      <w:szCs w:val="20"/>
                    </w:rPr>
                    <w:t xml:space="preserve">Helena </w:t>
                  </w:r>
                  <w:proofErr w:type="spellStart"/>
                  <w:r>
                    <w:rPr>
                      <w:rFonts w:cs="Arial"/>
                      <w:szCs w:val="20"/>
                    </w:rPr>
                    <w:t>Carreira</w:t>
                  </w:r>
                  <w:proofErr w:type="spellEnd"/>
                </w:p>
              </w:tc>
            </w:tr>
            <w:tr w:rsidR="000C7BDF" w:rsidRPr="00CD13D5" w14:paraId="6AAE28EF" w14:textId="77777777" w:rsidTr="007B3A6B">
              <w:tc>
                <w:tcPr>
                  <w:tcW w:w="4270" w:type="dxa"/>
                  <w:gridSpan w:val="2"/>
                </w:tcPr>
                <w:p w14:paraId="38713940" w14:textId="7447344B" w:rsidR="000C7BDF" w:rsidRDefault="000C7BDF" w:rsidP="001A69D6">
                  <w:pPr>
                    <w:rPr>
                      <w:rFonts w:cs="Arial"/>
                      <w:szCs w:val="20"/>
                    </w:rPr>
                  </w:pPr>
                  <w:r>
                    <w:rPr>
                      <w:rFonts w:cs="Arial"/>
                      <w:szCs w:val="20"/>
                    </w:rPr>
                    <w:t>Sharon Cadogan</w:t>
                  </w:r>
                </w:p>
              </w:tc>
            </w:tr>
          </w:tbl>
          <w:p w14:paraId="41571596" w14:textId="77777777" w:rsidR="00672602" w:rsidRPr="00CD13D5" w:rsidRDefault="00672602" w:rsidP="001A69D6">
            <w:pPr>
              <w:rPr>
                <w:rFonts w:cs="Arial"/>
                <w:szCs w:val="20"/>
              </w:rPr>
            </w:pPr>
          </w:p>
          <w:p w14:paraId="44E3EB24" w14:textId="77777777" w:rsidR="00672602" w:rsidRPr="00CD13D5" w:rsidRDefault="00672602" w:rsidP="001A69D6">
            <w:pPr>
              <w:rPr>
                <w:rFonts w:cs="Arial"/>
                <w:szCs w:val="20"/>
              </w:rPr>
            </w:pPr>
            <w:r w:rsidRPr="00CD13D5">
              <w:rPr>
                <w:rFonts w:cs="Arial"/>
                <w:szCs w:val="20"/>
              </w:rPr>
              <w:t>List below the member(s) of the research team, or supporting the research team, who have experience of practicing in UK primary care.</w:t>
            </w:r>
          </w:p>
          <w:tbl>
            <w:tblPr>
              <w:tblStyle w:val="TableGrid"/>
              <w:tblW w:w="4270" w:type="dxa"/>
              <w:tblLayout w:type="fixed"/>
              <w:tblLook w:val="04A0" w:firstRow="1" w:lastRow="0" w:firstColumn="1" w:lastColumn="0" w:noHBand="0" w:noVBand="1"/>
            </w:tblPr>
            <w:tblGrid>
              <w:gridCol w:w="1151"/>
              <w:gridCol w:w="3119"/>
            </w:tblGrid>
            <w:tr w:rsidR="00AD136B" w:rsidRPr="00CD13D5" w14:paraId="7FB534DF" w14:textId="77777777" w:rsidTr="007B3A6B">
              <w:tc>
                <w:tcPr>
                  <w:tcW w:w="1151" w:type="dxa"/>
                </w:tcPr>
                <w:p w14:paraId="0EAAE549" w14:textId="77777777" w:rsidR="00AD136B" w:rsidRPr="00CD13D5" w:rsidRDefault="00AD136B" w:rsidP="001A69D6">
                  <w:pPr>
                    <w:rPr>
                      <w:rFonts w:cs="Arial"/>
                      <w:b/>
                      <w:szCs w:val="20"/>
                    </w:rPr>
                  </w:pPr>
                  <w:r w:rsidRPr="00CD13D5">
                    <w:rPr>
                      <w:rFonts w:cs="Arial"/>
                      <w:b/>
                      <w:szCs w:val="20"/>
                    </w:rPr>
                    <w:t>Name</w:t>
                  </w:r>
                  <w:r>
                    <w:rPr>
                      <w:rFonts w:cs="Arial"/>
                      <w:b/>
                      <w:szCs w:val="20"/>
                    </w:rPr>
                    <w:t>(s)</w:t>
                  </w:r>
                  <w:r w:rsidRPr="00CD13D5">
                    <w:rPr>
                      <w:rFonts w:cs="Arial"/>
                      <w:b/>
                      <w:szCs w:val="20"/>
                    </w:rPr>
                    <w:t>:</w:t>
                  </w:r>
                </w:p>
              </w:tc>
              <w:tc>
                <w:tcPr>
                  <w:tcW w:w="3119" w:type="dxa"/>
                  <w:tcBorders>
                    <w:top w:val="nil"/>
                    <w:bottom w:val="single" w:sz="4" w:space="0" w:color="auto"/>
                    <w:right w:val="nil"/>
                  </w:tcBorders>
                </w:tcPr>
                <w:p w14:paraId="072DB63F" w14:textId="6360ABC7" w:rsidR="00AD136B" w:rsidRPr="00CD13D5" w:rsidRDefault="00AD136B" w:rsidP="001A69D6">
                  <w:pPr>
                    <w:rPr>
                      <w:rFonts w:cs="Arial"/>
                      <w:b/>
                      <w:szCs w:val="20"/>
                    </w:rPr>
                  </w:pPr>
                </w:p>
              </w:tc>
            </w:tr>
            <w:tr w:rsidR="00CB0E01" w:rsidRPr="00CD13D5" w14:paraId="3804DCBA" w14:textId="77777777" w:rsidTr="007B3A6B">
              <w:tc>
                <w:tcPr>
                  <w:tcW w:w="4270" w:type="dxa"/>
                  <w:gridSpan w:val="2"/>
                </w:tcPr>
                <w:p w14:paraId="65BA52BC" w14:textId="3CE13FBE" w:rsidR="00CB0E01" w:rsidRPr="00CD13D5" w:rsidRDefault="000C7BDF" w:rsidP="001A69D6">
                  <w:pPr>
                    <w:rPr>
                      <w:rFonts w:cs="Arial"/>
                      <w:szCs w:val="20"/>
                    </w:rPr>
                  </w:pPr>
                  <w:r>
                    <w:rPr>
                      <w:rFonts w:cs="Arial"/>
                      <w:szCs w:val="20"/>
                    </w:rPr>
                    <w:t>Liam Smeeth</w:t>
                  </w:r>
                </w:p>
              </w:tc>
            </w:tr>
            <w:tr w:rsidR="00CB0E01" w:rsidRPr="00CD13D5" w14:paraId="36984CFD" w14:textId="77777777" w:rsidTr="007B3A6B">
              <w:tc>
                <w:tcPr>
                  <w:tcW w:w="4270" w:type="dxa"/>
                  <w:gridSpan w:val="2"/>
                </w:tcPr>
                <w:p w14:paraId="2D948AA9" w14:textId="77777777" w:rsidR="00CB0E01" w:rsidRPr="00CD13D5" w:rsidRDefault="00CB0E01" w:rsidP="001A69D6">
                  <w:pPr>
                    <w:rPr>
                      <w:rFonts w:cs="Arial"/>
                      <w:szCs w:val="20"/>
                    </w:rPr>
                  </w:pPr>
                </w:p>
              </w:tc>
            </w:tr>
            <w:tr w:rsidR="00CB0E01" w:rsidRPr="00CD13D5" w14:paraId="036DA644" w14:textId="77777777" w:rsidTr="007B3A6B">
              <w:tc>
                <w:tcPr>
                  <w:tcW w:w="4270" w:type="dxa"/>
                  <w:gridSpan w:val="2"/>
                </w:tcPr>
                <w:p w14:paraId="0BCE465A" w14:textId="77777777" w:rsidR="00CB0E01" w:rsidRPr="00CD13D5" w:rsidRDefault="00CB0E01" w:rsidP="001A69D6">
                  <w:pPr>
                    <w:rPr>
                      <w:rFonts w:cs="Arial"/>
                      <w:szCs w:val="20"/>
                    </w:rPr>
                  </w:pPr>
                </w:p>
              </w:tc>
            </w:tr>
          </w:tbl>
          <w:p w14:paraId="56F2AC7B" w14:textId="4ED663CE" w:rsidR="00672602" w:rsidRPr="00CD13D5" w:rsidRDefault="00DA5909" w:rsidP="001A69D6">
            <w:pPr>
              <w:rPr>
                <w:rFonts w:cs="Arial"/>
                <w:szCs w:val="20"/>
              </w:rPr>
            </w:pPr>
            <w:r>
              <w:rPr>
                <w:rFonts w:cs="Arial"/>
                <w:szCs w:val="20"/>
              </w:rPr>
              <w:t xml:space="preserve">  </w:t>
            </w:r>
          </w:p>
        </w:tc>
      </w:tr>
      <w:tr w:rsidR="00672602" w:rsidRPr="00CD13D5" w14:paraId="6EDA48BE" w14:textId="77777777" w:rsidTr="00B01179">
        <w:trPr>
          <w:trHeight w:hRule="exact" w:val="567"/>
          <w:jc w:val="center"/>
        </w:trPr>
        <w:tc>
          <w:tcPr>
            <w:tcW w:w="10063" w:type="dxa"/>
            <w:shd w:val="clear" w:color="auto" w:fill="B4C6E7" w:themeFill="accent1" w:themeFillTint="66"/>
            <w:vAlign w:val="center"/>
          </w:tcPr>
          <w:p w14:paraId="59495F4F" w14:textId="6660196C" w:rsidR="00672602" w:rsidRPr="00CD13D5" w:rsidRDefault="00672602" w:rsidP="001A69D6">
            <w:pPr>
              <w:pStyle w:val="NoSpacing"/>
            </w:pPr>
            <w:r w:rsidRPr="00CD13D5">
              <w:rPr>
                <w:color w:val="auto"/>
                <w:lang w:val="en"/>
              </w:rPr>
              <w:lastRenderedPageBreak/>
              <w:t xml:space="preserve">ACCESS TO THE DATA </w:t>
            </w:r>
          </w:p>
        </w:tc>
      </w:tr>
      <w:tr w:rsidR="00532805" w:rsidRPr="00CD13D5" w14:paraId="742BD9C8" w14:textId="77777777" w:rsidTr="00B01179">
        <w:trPr>
          <w:trHeight w:val="864"/>
          <w:jc w:val="center"/>
        </w:trPr>
        <w:tc>
          <w:tcPr>
            <w:tcW w:w="10063" w:type="dxa"/>
          </w:tcPr>
          <w:p w14:paraId="2A723196" w14:textId="678AEA2F" w:rsidR="00072853" w:rsidRDefault="00532805" w:rsidP="001A69D6">
            <w:pPr>
              <w:pStyle w:val="Heading2"/>
              <w:numPr>
                <w:ilvl w:val="0"/>
                <w:numId w:val="6"/>
              </w:numPr>
            </w:pPr>
            <w:r>
              <w:t xml:space="preserve">Sponsor of the </w:t>
            </w:r>
            <w:r w:rsidR="00072853">
              <w:t>study</w:t>
            </w:r>
          </w:p>
          <w:p w14:paraId="57470436" w14:textId="77777777" w:rsidR="00072853" w:rsidRPr="00072853" w:rsidRDefault="00072853" w:rsidP="001A69D6"/>
          <w:tbl>
            <w:tblPr>
              <w:tblStyle w:val="TableGrid"/>
              <w:tblW w:w="16526" w:type="dxa"/>
              <w:tblLayout w:type="fixed"/>
              <w:tblLook w:val="04A0" w:firstRow="1" w:lastRow="0" w:firstColumn="1" w:lastColumn="0" w:noHBand="0" w:noVBand="1"/>
            </w:tblPr>
            <w:tblGrid>
              <w:gridCol w:w="3148"/>
              <w:gridCol w:w="6689"/>
              <w:gridCol w:w="6689"/>
            </w:tblGrid>
            <w:tr w:rsidR="000C7BDF" w:rsidRPr="00CD13D5" w14:paraId="37A8A97A" w14:textId="77777777" w:rsidTr="000C7BDF">
              <w:tc>
                <w:tcPr>
                  <w:tcW w:w="3148" w:type="dxa"/>
                </w:tcPr>
                <w:p w14:paraId="6CD3AA67" w14:textId="77777777" w:rsidR="000C7BDF" w:rsidRPr="00CD13D5" w:rsidRDefault="000C7BDF" w:rsidP="001A69D6">
                  <w:pPr>
                    <w:rPr>
                      <w:rFonts w:cs="Arial"/>
                      <w:szCs w:val="20"/>
                    </w:rPr>
                  </w:pPr>
                  <w:r w:rsidRPr="00CD13D5">
                    <w:rPr>
                      <w:rFonts w:cs="Arial"/>
                      <w:szCs w:val="20"/>
                    </w:rPr>
                    <w:t>Institution/Organisation:</w:t>
                  </w:r>
                </w:p>
              </w:tc>
              <w:tc>
                <w:tcPr>
                  <w:tcW w:w="6689" w:type="dxa"/>
                </w:tcPr>
                <w:p w14:paraId="04178983" w14:textId="509FE4D5" w:rsidR="000C7BDF" w:rsidRPr="00CD13D5" w:rsidRDefault="000C7BDF" w:rsidP="001A69D6">
                  <w:pPr>
                    <w:rPr>
                      <w:rFonts w:cs="Arial"/>
                      <w:szCs w:val="20"/>
                    </w:rPr>
                  </w:pPr>
                  <w:r w:rsidRPr="00253652">
                    <w:rPr>
                      <w:rFonts w:cs="Arial"/>
                      <w:szCs w:val="20"/>
                    </w:rPr>
                    <w:t>London School of Hygiene and Tropical Medicine</w:t>
                  </w:r>
                </w:p>
              </w:tc>
              <w:tc>
                <w:tcPr>
                  <w:tcW w:w="6689" w:type="dxa"/>
                </w:tcPr>
                <w:p w14:paraId="0F3D245C" w14:textId="6302F901" w:rsidR="000C7BDF" w:rsidRPr="00CD13D5" w:rsidRDefault="000C7BDF" w:rsidP="001A69D6">
                  <w:pPr>
                    <w:rPr>
                      <w:rFonts w:cs="Arial"/>
                      <w:szCs w:val="20"/>
                    </w:rPr>
                  </w:pPr>
                </w:p>
              </w:tc>
            </w:tr>
            <w:tr w:rsidR="000C7BDF" w:rsidRPr="00CD13D5" w14:paraId="0D04829A" w14:textId="77777777" w:rsidTr="000C7BDF">
              <w:tc>
                <w:tcPr>
                  <w:tcW w:w="3148" w:type="dxa"/>
                </w:tcPr>
                <w:p w14:paraId="5C7A6ECE" w14:textId="77777777" w:rsidR="000C7BDF" w:rsidRPr="00CD13D5" w:rsidRDefault="000C7BDF" w:rsidP="001A69D6">
                  <w:pPr>
                    <w:rPr>
                      <w:rFonts w:cs="Arial"/>
                      <w:szCs w:val="20"/>
                    </w:rPr>
                  </w:pPr>
                  <w:r w:rsidRPr="00CD13D5">
                    <w:rPr>
                      <w:rFonts w:cs="Arial"/>
                      <w:szCs w:val="20"/>
                    </w:rPr>
                    <w:t>Address:</w:t>
                  </w:r>
                </w:p>
              </w:tc>
              <w:tc>
                <w:tcPr>
                  <w:tcW w:w="6689" w:type="dxa"/>
                </w:tcPr>
                <w:p w14:paraId="101D0F13" w14:textId="211A9D57" w:rsidR="000C7BDF" w:rsidRPr="00CD13D5" w:rsidRDefault="000C7BDF" w:rsidP="001A69D6">
                  <w:pPr>
                    <w:rPr>
                      <w:rFonts w:cs="Arial"/>
                      <w:szCs w:val="20"/>
                    </w:rPr>
                  </w:pPr>
                  <w:r w:rsidRPr="00253652">
                    <w:rPr>
                      <w:rFonts w:cs="Arial"/>
                      <w:szCs w:val="20"/>
                    </w:rPr>
                    <w:t>Keppel Street, London WC1E 7HT</w:t>
                  </w:r>
                </w:p>
              </w:tc>
              <w:tc>
                <w:tcPr>
                  <w:tcW w:w="6689" w:type="dxa"/>
                </w:tcPr>
                <w:p w14:paraId="5FF9CB98" w14:textId="16031A85" w:rsidR="000C7BDF" w:rsidRPr="00CD13D5" w:rsidRDefault="000C7BDF" w:rsidP="001A69D6">
                  <w:pPr>
                    <w:rPr>
                      <w:rFonts w:cs="Arial"/>
                      <w:szCs w:val="20"/>
                    </w:rPr>
                  </w:pPr>
                </w:p>
              </w:tc>
            </w:tr>
          </w:tbl>
          <w:p w14:paraId="6BECBD6C" w14:textId="01131582" w:rsidR="00072853" w:rsidRPr="00072853" w:rsidRDefault="00072853" w:rsidP="001A69D6">
            <w:r>
              <w:t xml:space="preserve"> </w:t>
            </w:r>
          </w:p>
        </w:tc>
      </w:tr>
      <w:tr w:rsidR="00672602" w:rsidRPr="00CD13D5" w14:paraId="1E4573CE" w14:textId="77777777" w:rsidTr="00B01179">
        <w:trPr>
          <w:trHeight w:val="864"/>
          <w:jc w:val="center"/>
        </w:trPr>
        <w:tc>
          <w:tcPr>
            <w:tcW w:w="10063" w:type="dxa"/>
          </w:tcPr>
          <w:p w14:paraId="47258235" w14:textId="14E48127" w:rsidR="00672602" w:rsidRPr="00CD13D5" w:rsidRDefault="00672602" w:rsidP="001A69D6">
            <w:pPr>
              <w:pStyle w:val="Heading2"/>
              <w:numPr>
                <w:ilvl w:val="0"/>
                <w:numId w:val="6"/>
              </w:numPr>
            </w:pPr>
            <w:r w:rsidRPr="00CD13D5">
              <w:t>F</w:t>
            </w:r>
            <w:r w:rsidR="00B473D4">
              <w:t>unding source</w:t>
            </w:r>
            <w:r w:rsidRPr="00CD13D5">
              <w:t xml:space="preserve"> </w:t>
            </w:r>
            <w:r w:rsidR="00B473D4">
              <w:t>for the</w:t>
            </w:r>
            <w:r w:rsidRPr="00CD13D5">
              <w:t xml:space="preserve"> study</w:t>
            </w:r>
          </w:p>
          <w:p w14:paraId="273B73D8" w14:textId="77777777" w:rsidR="00EB7B5C" w:rsidRPr="00CD13D5" w:rsidRDefault="00EB7B5C" w:rsidP="001A69D6">
            <w:pPr>
              <w:rPr>
                <w:rFonts w:cs="Arial"/>
                <w:szCs w:val="20"/>
              </w:rPr>
            </w:pPr>
          </w:p>
          <w:tbl>
            <w:tblPr>
              <w:tblStyle w:val="TableGrid"/>
              <w:tblW w:w="0" w:type="auto"/>
              <w:tblLayout w:type="fixed"/>
              <w:tblLook w:val="04A0" w:firstRow="1" w:lastRow="0" w:firstColumn="1" w:lastColumn="0" w:noHBand="0" w:noVBand="1"/>
            </w:tblPr>
            <w:tblGrid>
              <w:gridCol w:w="3148"/>
              <w:gridCol w:w="696"/>
              <w:gridCol w:w="697"/>
              <w:gridCol w:w="697"/>
              <w:gridCol w:w="697"/>
              <w:gridCol w:w="3902"/>
            </w:tblGrid>
            <w:tr w:rsidR="005D6F84" w:rsidRPr="00CD13D5" w14:paraId="7EA18A4B" w14:textId="77777777" w:rsidTr="005D6F84">
              <w:tc>
                <w:tcPr>
                  <w:tcW w:w="3148" w:type="dxa"/>
                </w:tcPr>
                <w:p w14:paraId="0DDE25E6" w14:textId="55B633D0" w:rsidR="005D6F84" w:rsidRPr="00CD13D5" w:rsidRDefault="005D6F84" w:rsidP="001A69D6">
                  <w:pPr>
                    <w:rPr>
                      <w:rFonts w:cs="Arial"/>
                      <w:szCs w:val="20"/>
                    </w:rPr>
                  </w:pPr>
                  <w:r>
                    <w:rPr>
                      <w:rFonts w:cs="Arial"/>
                      <w:szCs w:val="20"/>
                    </w:rPr>
                    <w:t>Same as Sponsor?</w:t>
                  </w:r>
                </w:p>
              </w:tc>
              <w:tc>
                <w:tcPr>
                  <w:tcW w:w="696" w:type="dxa"/>
                </w:tcPr>
                <w:p w14:paraId="38B9ED3A" w14:textId="77777777" w:rsidR="005D6F84" w:rsidRPr="00CD13D5" w:rsidRDefault="005D6F84" w:rsidP="001A69D6">
                  <w:pPr>
                    <w:rPr>
                      <w:rFonts w:cs="Arial"/>
                      <w:szCs w:val="20"/>
                    </w:rPr>
                  </w:pPr>
                  <w:r>
                    <w:rPr>
                      <w:rFonts w:cs="Arial"/>
                      <w:szCs w:val="20"/>
                    </w:rPr>
                    <w:t>Yes</w:t>
                  </w:r>
                </w:p>
              </w:tc>
              <w:tc>
                <w:tcPr>
                  <w:tcW w:w="697" w:type="dxa"/>
                </w:tcPr>
                <w:p w14:paraId="4FCEA302" w14:textId="77777777" w:rsidR="005D6F84" w:rsidRPr="00CD13D5" w:rsidRDefault="005D6F84" w:rsidP="001A69D6">
                  <w:pPr>
                    <w:rPr>
                      <w:rFonts w:cs="Arial"/>
                      <w:szCs w:val="20"/>
                    </w:rPr>
                  </w:pPr>
                </w:p>
              </w:tc>
              <w:tc>
                <w:tcPr>
                  <w:tcW w:w="697" w:type="dxa"/>
                </w:tcPr>
                <w:p w14:paraId="455074DE" w14:textId="2C9BACD6" w:rsidR="005D6F84" w:rsidRPr="00CD13D5" w:rsidRDefault="005D6F84" w:rsidP="001A69D6">
                  <w:pPr>
                    <w:rPr>
                      <w:rFonts w:cs="Arial"/>
                      <w:szCs w:val="20"/>
                    </w:rPr>
                  </w:pPr>
                  <w:r>
                    <w:rPr>
                      <w:rFonts w:cs="Arial"/>
                      <w:szCs w:val="20"/>
                    </w:rPr>
                    <w:t>No</w:t>
                  </w:r>
                </w:p>
              </w:tc>
              <w:tc>
                <w:tcPr>
                  <w:tcW w:w="697" w:type="dxa"/>
                </w:tcPr>
                <w:p w14:paraId="5A7CAF70" w14:textId="61F334D8" w:rsidR="005D6F84" w:rsidRPr="00CD13D5" w:rsidRDefault="000C7BDF" w:rsidP="001A69D6">
                  <w:pPr>
                    <w:rPr>
                      <w:rFonts w:cs="Arial"/>
                      <w:szCs w:val="20"/>
                    </w:rPr>
                  </w:pPr>
                  <w:r>
                    <w:rPr>
                      <w:rFonts w:cs="Arial"/>
                      <w:szCs w:val="20"/>
                    </w:rPr>
                    <w:t>X</w:t>
                  </w:r>
                </w:p>
              </w:tc>
              <w:tc>
                <w:tcPr>
                  <w:tcW w:w="2300" w:type="dxa"/>
                  <w:tcBorders>
                    <w:top w:val="nil"/>
                    <w:right w:val="nil"/>
                  </w:tcBorders>
                </w:tcPr>
                <w:p w14:paraId="1E60B236" w14:textId="1B99130E" w:rsidR="005D6F84" w:rsidRPr="00CD13D5" w:rsidRDefault="005D6F84" w:rsidP="001A69D6">
                  <w:pPr>
                    <w:rPr>
                      <w:rFonts w:cs="Arial"/>
                      <w:szCs w:val="20"/>
                    </w:rPr>
                  </w:pPr>
                </w:p>
              </w:tc>
            </w:tr>
            <w:tr w:rsidR="00CB0E01" w:rsidRPr="00CD13D5" w14:paraId="1FBA5862" w14:textId="77777777" w:rsidTr="00BF1DFC">
              <w:tc>
                <w:tcPr>
                  <w:tcW w:w="3148" w:type="dxa"/>
                </w:tcPr>
                <w:p w14:paraId="45433B0B" w14:textId="2691B02F" w:rsidR="00CB0E01" w:rsidRPr="00CD13D5" w:rsidRDefault="00CB0E01" w:rsidP="001A69D6">
                  <w:pPr>
                    <w:rPr>
                      <w:rFonts w:cs="Arial"/>
                      <w:szCs w:val="20"/>
                    </w:rPr>
                  </w:pPr>
                  <w:r w:rsidRPr="00CD13D5">
                    <w:rPr>
                      <w:rFonts w:cs="Arial"/>
                      <w:szCs w:val="20"/>
                    </w:rPr>
                    <w:t>Institution/Organisation:</w:t>
                  </w:r>
                </w:p>
              </w:tc>
              <w:tc>
                <w:tcPr>
                  <w:tcW w:w="6689" w:type="dxa"/>
                  <w:gridSpan w:val="5"/>
                </w:tcPr>
                <w:p w14:paraId="3F3CEF6F" w14:textId="72DD394F" w:rsidR="00CB0E01" w:rsidRPr="00CD13D5" w:rsidRDefault="000C7BDF" w:rsidP="001A69D6">
                  <w:pPr>
                    <w:rPr>
                      <w:rFonts w:cs="Arial"/>
                      <w:szCs w:val="20"/>
                    </w:rPr>
                  </w:pPr>
                  <w:r>
                    <w:rPr>
                      <w:rFonts w:cs="Arial"/>
                      <w:szCs w:val="20"/>
                    </w:rPr>
                    <w:t>No specific funding for this project</w:t>
                  </w:r>
                </w:p>
              </w:tc>
            </w:tr>
            <w:tr w:rsidR="00CB0E01" w:rsidRPr="00CD13D5" w14:paraId="4FF2205C" w14:textId="77777777" w:rsidTr="00BF1DFC">
              <w:tc>
                <w:tcPr>
                  <w:tcW w:w="3148" w:type="dxa"/>
                </w:tcPr>
                <w:p w14:paraId="4ADD6006" w14:textId="7E323EE3" w:rsidR="00CB0E01" w:rsidRPr="00CD13D5" w:rsidRDefault="00CB0E01" w:rsidP="001A69D6">
                  <w:pPr>
                    <w:rPr>
                      <w:rFonts w:cs="Arial"/>
                      <w:szCs w:val="20"/>
                    </w:rPr>
                  </w:pPr>
                  <w:r w:rsidRPr="00CD13D5">
                    <w:rPr>
                      <w:rFonts w:cs="Arial"/>
                      <w:szCs w:val="20"/>
                    </w:rPr>
                    <w:t>Address:</w:t>
                  </w:r>
                </w:p>
              </w:tc>
              <w:tc>
                <w:tcPr>
                  <w:tcW w:w="6689" w:type="dxa"/>
                  <w:gridSpan w:val="5"/>
                </w:tcPr>
                <w:p w14:paraId="29B99767" w14:textId="77777777" w:rsidR="00CB0E01" w:rsidRPr="00CD13D5" w:rsidRDefault="00CB0E01" w:rsidP="001A69D6">
                  <w:pPr>
                    <w:rPr>
                      <w:rFonts w:cs="Arial"/>
                      <w:szCs w:val="20"/>
                    </w:rPr>
                  </w:pPr>
                </w:p>
              </w:tc>
            </w:tr>
          </w:tbl>
          <w:p w14:paraId="595B4A7D" w14:textId="3624103C" w:rsidR="00FB5794" w:rsidRPr="00CD13D5" w:rsidRDefault="004B2FEB" w:rsidP="001A69D6">
            <w:pPr>
              <w:rPr>
                <w:rFonts w:cs="Arial"/>
                <w:szCs w:val="20"/>
              </w:rPr>
            </w:pPr>
            <w:r>
              <w:rPr>
                <w:rFonts w:cs="Arial"/>
                <w:szCs w:val="20"/>
              </w:rPr>
              <w:t xml:space="preserve"> </w:t>
            </w:r>
          </w:p>
        </w:tc>
      </w:tr>
      <w:tr w:rsidR="00672602" w:rsidRPr="00CD13D5" w14:paraId="68052663" w14:textId="77777777" w:rsidTr="00B01179">
        <w:trPr>
          <w:trHeight w:val="567"/>
          <w:jc w:val="center"/>
        </w:trPr>
        <w:tc>
          <w:tcPr>
            <w:tcW w:w="10063" w:type="dxa"/>
            <w:tcBorders>
              <w:bottom w:val="single" w:sz="4" w:space="0" w:color="auto"/>
            </w:tcBorders>
          </w:tcPr>
          <w:p w14:paraId="697869DE" w14:textId="3D6271EA" w:rsidR="00672602" w:rsidRPr="00CD13D5" w:rsidRDefault="00672602" w:rsidP="001A69D6">
            <w:pPr>
              <w:pStyle w:val="Heading2"/>
              <w:keepNext/>
              <w:keepLines/>
              <w:numPr>
                <w:ilvl w:val="0"/>
                <w:numId w:val="6"/>
              </w:numPr>
              <w:ind w:left="357" w:hanging="357"/>
            </w:pPr>
            <w:r w:rsidRPr="00CD13D5">
              <w:t>Institution conducting the research</w:t>
            </w:r>
            <w:r w:rsidR="005D79F9">
              <w:rPr>
                <w:b w:val="0"/>
              </w:rPr>
              <w:t xml:space="preserve"> </w:t>
            </w:r>
          </w:p>
          <w:p w14:paraId="4B826727" w14:textId="77777777" w:rsidR="00672602" w:rsidRPr="00CD13D5" w:rsidRDefault="00672602" w:rsidP="001A69D6">
            <w:pPr>
              <w:rPr>
                <w:rFonts w:cs="Arial"/>
                <w:szCs w:val="20"/>
              </w:rPr>
            </w:pPr>
          </w:p>
          <w:tbl>
            <w:tblPr>
              <w:tblStyle w:val="TableGrid"/>
              <w:tblW w:w="0" w:type="auto"/>
              <w:tblLayout w:type="fixed"/>
              <w:tblLook w:val="04A0" w:firstRow="1" w:lastRow="0" w:firstColumn="1" w:lastColumn="0" w:noHBand="0" w:noVBand="1"/>
            </w:tblPr>
            <w:tblGrid>
              <w:gridCol w:w="3148"/>
              <w:gridCol w:w="697"/>
              <w:gridCol w:w="697"/>
              <w:gridCol w:w="697"/>
              <w:gridCol w:w="697"/>
              <w:gridCol w:w="3901"/>
            </w:tblGrid>
            <w:tr w:rsidR="005D6F84" w:rsidRPr="00CD13D5" w14:paraId="0A34BF30" w14:textId="77777777" w:rsidTr="000C7BDF">
              <w:tc>
                <w:tcPr>
                  <w:tcW w:w="3148" w:type="dxa"/>
                </w:tcPr>
                <w:p w14:paraId="28CF318C" w14:textId="3CD0E11B" w:rsidR="005D6F84" w:rsidRPr="00CD13D5" w:rsidRDefault="005D6F84" w:rsidP="001A69D6">
                  <w:pPr>
                    <w:rPr>
                      <w:rFonts w:cs="Arial"/>
                      <w:szCs w:val="20"/>
                    </w:rPr>
                  </w:pPr>
                  <w:r>
                    <w:rPr>
                      <w:rFonts w:cs="Arial"/>
                      <w:szCs w:val="20"/>
                    </w:rPr>
                    <w:t>Same as Sponsor?</w:t>
                  </w:r>
                </w:p>
              </w:tc>
              <w:tc>
                <w:tcPr>
                  <w:tcW w:w="697" w:type="dxa"/>
                </w:tcPr>
                <w:p w14:paraId="338F6B5D" w14:textId="67A73A45" w:rsidR="005D6F84" w:rsidRPr="00CD13D5" w:rsidRDefault="005D6F84" w:rsidP="001A69D6">
                  <w:pPr>
                    <w:rPr>
                      <w:rFonts w:cs="Arial"/>
                      <w:szCs w:val="20"/>
                    </w:rPr>
                  </w:pPr>
                  <w:r>
                    <w:rPr>
                      <w:rFonts w:cs="Arial"/>
                      <w:szCs w:val="20"/>
                    </w:rPr>
                    <w:t>Yes</w:t>
                  </w:r>
                </w:p>
              </w:tc>
              <w:tc>
                <w:tcPr>
                  <w:tcW w:w="697" w:type="dxa"/>
                </w:tcPr>
                <w:p w14:paraId="2016A7E1" w14:textId="2BEC7D5E" w:rsidR="005D6F84" w:rsidRPr="00CD13D5" w:rsidRDefault="000C7BDF" w:rsidP="001A69D6">
                  <w:pPr>
                    <w:rPr>
                      <w:rFonts w:cs="Arial"/>
                      <w:szCs w:val="20"/>
                    </w:rPr>
                  </w:pPr>
                  <w:r>
                    <w:rPr>
                      <w:rFonts w:cs="Arial"/>
                      <w:szCs w:val="20"/>
                    </w:rPr>
                    <w:t>X</w:t>
                  </w:r>
                </w:p>
              </w:tc>
              <w:tc>
                <w:tcPr>
                  <w:tcW w:w="697" w:type="dxa"/>
                </w:tcPr>
                <w:p w14:paraId="20331518" w14:textId="044A53E5" w:rsidR="005D6F84" w:rsidRPr="00CD13D5" w:rsidRDefault="005D6F84" w:rsidP="001A69D6">
                  <w:pPr>
                    <w:rPr>
                      <w:rFonts w:cs="Arial"/>
                      <w:szCs w:val="20"/>
                    </w:rPr>
                  </w:pPr>
                  <w:r>
                    <w:rPr>
                      <w:rFonts w:cs="Arial"/>
                      <w:szCs w:val="20"/>
                    </w:rPr>
                    <w:t>No</w:t>
                  </w:r>
                </w:p>
              </w:tc>
              <w:tc>
                <w:tcPr>
                  <w:tcW w:w="697" w:type="dxa"/>
                </w:tcPr>
                <w:p w14:paraId="62BCEF97" w14:textId="77777777" w:rsidR="005D6F84" w:rsidRPr="00CD13D5" w:rsidRDefault="005D6F84" w:rsidP="001A69D6">
                  <w:pPr>
                    <w:rPr>
                      <w:rFonts w:cs="Arial"/>
                      <w:szCs w:val="20"/>
                    </w:rPr>
                  </w:pPr>
                </w:p>
              </w:tc>
              <w:tc>
                <w:tcPr>
                  <w:tcW w:w="3901" w:type="dxa"/>
                  <w:tcBorders>
                    <w:top w:val="nil"/>
                    <w:right w:val="nil"/>
                  </w:tcBorders>
                </w:tcPr>
                <w:p w14:paraId="2FAC909E" w14:textId="1E941FA9" w:rsidR="005D6F84" w:rsidRPr="00CD13D5" w:rsidRDefault="005D6F84" w:rsidP="001A69D6">
                  <w:pPr>
                    <w:rPr>
                      <w:rFonts w:cs="Arial"/>
                      <w:szCs w:val="20"/>
                    </w:rPr>
                  </w:pPr>
                </w:p>
              </w:tc>
            </w:tr>
            <w:tr w:rsidR="000C7BDF" w:rsidRPr="00CD13D5" w14:paraId="7781EDB5" w14:textId="77777777" w:rsidTr="00BF1DFC">
              <w:tc>
                <w:tcPr>
                  <w:tcW w:w="3148" w:type="dxa"/>
                </w:tcPr>
                <w:p w14:paraId="082CFFEA" w14:textId="77777777" w:rsidR="000C7BDF" w:rsidRPr="00CD13D5" w:rsidRDefault="000C7BDF" w:rsidP="001A69D6">
                  <w:pPr>
                    <w:rPr>
                      <w:rFonts w:cs="Arial"/>
                      <w:szCs w:val="20"/>
                    </w:rPr>
                  </w:pPr>
                  <w:r w:rsidRPr="00CD13D5">
                    <w:rPr>
                      <w:rFonts w:cs="Arial"/>
                      <w:szCs w:val="20"/>
                    </w:rPr>
                    <w:t>Institution/Organisation:</w:t>
                  </w:r>
                </w:p>
              </w:tc>
              <w:tc>
                <w:tcPr>
                  <w:tcW w:w="6689" w:type="dxa"/>
                  <w:gridSpan w:val="5"/>
                </w:tcPr>
                <w:p w14:paraId="416269CE" w14:textId="253B4162" w:rsidR="000C7BDF" w:rsidRPr="00CD13D5" w:rsidRDefault="000C7BDF" w:rsidP="001A69D6">
                  <w:pPr>
                    <w:rPr>
                      <w:rFonts w:cs="Arial"/>
                      <w:szCs w:val="20"/>
                    </w:rPr>
                  </w:pPr>
                  <w:r w:rsidRPr="00253652">
                    <w:rPr>
                      <w:rFonts w:cs="Arial"/>
                      <w:szCs w:val="20"/>
                    </w:rPr>
                    <w:t>London School of Hygiene and Tropical Medicine</w:t>
                  </w:r>
                </w:p>
              </w:tc>
            </w:tr>
            <w:tr w:rsidR="000C7BDF" w:rsidRPr="00CD13D5" w14:paraId="3447C35F" w14:textId="77777777" w:rsidTr="00BF1DFC">
              <w:tc>
                <w:tcPr>
                  <w:tcW w:w="3148" w:type="dxa"/>
                </w:tcPr>
                <w:p w14:paraId="4E892BD8" w14:textId="77777777" w:rsidR="000C7BDF" w:rsidRPr="00CD13D5" w:rsidRDefault="000C7BDF" w:rsidP="001A69D6">
                  <w:pPr>
                    <w:rPr>
                      <w:rFonts w:cs="Arial"/>
                      <w:szCs w:val="20"/>
                    </w:rPr>
                  </w:pPr>
                  <w:r w:rsidRPr="00CD13D5">
                    <w:rPr>
                      <w:rFonts w:cs="Arial"/>
                      <w:szCs w:val="20"/>
                    </w:rPr>
                    <w:t>Address:</w:t>
                  </w:r>
                </w:p>
              </w:tc>
              <w:tc>
                <w:tcPr>
                  <w:tcW w:w="6689" w:type="dxa"/>
                  <w:gridSpan w:val="5"/>
                </w:tcPr>
                <w:p w14:paraId="7F63D74E" w14:textId="6D4806BE" w:rsidR="000C7BDF" w:rsidRPr="00CD13D5" w:rsidRDefault="000C7BDF" w:rsidP="001A69D6">
                  <w:pPr>
                    <w:rPr>
                      <w:rFonts w:cs="Arial"/>
                      <w:szCs w:val="20"/>
                    </w:rPr>
                  </w:pPr>
                  <w:r w:rsidRPr="00253652">
                    <w:rPr>
                      <w:rFonts w:cs="Arial"/>
                      <w:szCs w:val="20"/>
                    </w:rPr>
                    <w:t>Keppel Street, London WC1E 7HT</w:t>
                  </w:r>
                </w:p>
              </w:tc>
            </w:tr>
          </w:tbl>
          <w:p w14:paraId="325E558F" w14:textId="1C042EFA" w:rsidR="00672602" w:rsidRPr="00CD13D5" w:rsidRDefault="00072853" w:rsidP="001A69D6">
            <w:pPr>
              <w:rPr>
                <w:rFonts w:cs="Arial"/>
                <w:szCs w:val="20"/>
              </w:rPr>
            </w:pPr>
            <w:r>
              <w:rPr>
                <w:rFonts w:cs="Arial"/>
                <w:szCs w:val="20"/>
              </w:rPr>
              <w:t xml:space="preserve"> </w:t>
            </w:r>
          </w:p>
        </w:tc>
      </w:tr>
      <w:tr w:rsidR="00672602" w:rsidRPr="00CD13D5" w14:paraId="4BD21F07" w14:textId="77777777" w:rsidTr="00B01179">
        <w:trPr>
          <w:trHeight w:val="567"/>
          <w:jc w:val="center"/>
        </w:trPr>
        <w:tc>
          <w:tcPr>
            <w:tcW w:w="10063" w:type="dxa"/>
            <w:tcBorders>
              <w:bottom w:val="single" w:sz="4" w:space="0" w:color="auto"/>
            </w:tcBorders>
          </w:tcPr>
          <w:p w14:paraId="289EA332" w14:textId="796D1B76" w:rsidR="00672602" w:rsidRPr="00CD13D5" w:rsidRDefault="00672602" w:rsidP="001A69D6">
            <w:pPr>
              <w:pStyle w:val="Heading2"/>
              <w:numPr>
                <w:ilvl w:val="0"/>
                <w:numId w:val="6"/>
              </w:numPr>
            </w:pPr>
            <w:r w:rsidRPr="00CD13D5">
              <w:t>Data Access Arrangements</w:t>
            </w:r>
          </w:p>
          <w:p w14:paraId="68E778F9" w14:textId="77777777" w:rsidR="00672602" w:rsidRPr="00CD13D5" w:rsidRDefault="00672602" w:rsidP="001A69D6">
            <w:pPr>
              <w:rPr>
                <w:rFonts w:cs="Arial"/>
                <w:szCs w:val="20"/>
              </w:rPr>
            </w:pPr>
          </w:p>
          <w:p w14:paraId="3A18F5CE" w14:textId="5E7894F1" w:rsidR="00672602" w:rsidRDefault="005E5E63" w:rsidP="001A69D6">
            <w:pPr>
              <w:rPr>
                <w:rFonts w:cs="Arial"/>
                <w:szCs w:val="20"/>
              </w:rPr>
            </w:pPr>
            <w:r>
              <w:rPr>
                <w:rFonts w:cs="Arial"/>
                <w:szCs w:val="20"/>
              </w:rPr>
              <w:t>Indicate</w:t>
            </w:r>
            <w:r w:rsidR="00BE2DDB">
              <w:rPr>
                <w:rFonts w:cs="Arial"/>
                <w:szCs w:val="20"/>
              </w:rPr>
              <w:t xml:space="preserve"> with an ‘</w:t>
            </w:r>
            <w:r w:rsidR="00BE2DDB">
              <w:rPr>
                <w:rFonts w:cs="Arial"/>
                <w:b/>
                <w:szCs w:val="20"/>
              </w:rPr>
              <w:t>X</w:t>
            </w:r>
            <w:r w:rsidR="00BE2DDB">
              <w:rPr>
                <w:rFonts w:cs="Arial"/>
                <w:szCs w:val="20"/>
              </w:rPr>
              <w:t>’</w:t>
            </w:r>
            <w:r w:rsidR="00672602" w:rsidRPr="00CD13D5">
              <w:rPr>
                <w:rFonts w:cs="Arial"/>
                <w:szCs w:val="20"/>
              </w:rPr>
              <w:t xml:space="preserve"> the method that will be used to access the data for this study:</w:t>
            </w:r>
          </w:p>
          <w:tbl>
            <w:tblPr>
              <w:tblStyle w:val="TableGrid"/>
              <w:tblW w:w="0" w:type="auto"/>
              <w:tblLayout w:type="fixed"/>
              <w:tblLook w:val="04A0" w:firstRow="1" w:lastRow="0" w:firstColumn="1" w:lastColumn="0" w:noHBand="0" w:noVBand="1"/>
            </w:tblPr>
            <w:tblGrid>
              <w:gridCol w:w="4916"/>
              <w:gridCol w:w="629"/>
            </w:tblGrid>
            <w:tr w:rsidR="00E352C0" w14:paraId="69B56045" w14:textId="77777777" w:rsidTr="006578AA">
              <w:tc>
                <w:tcPr>
                  <w:tcW w:w="4916" w:type="dxa"/>
                </w:tcPr>
                <w:p w14:paraId="091E5811" w14:textId="42CD2C76" w:rsidR="00E352C0" w:rsidRDefault="00E352C0" w:rsidP="001A69D6">
                  <w:pPr>
                    <w:rPr>
                      <w:rFonts w:cs="Arial"/>
                      <w:szCs w:val="20"/>
                    </w:rPr>
                  </w:pPr>
                  <w:r>
                    <w:rPr>
                      <w:rFonts w:cs="Arial"/>
                      <w:szCs w:val="20"/>
                    </w:rPr>
                    <w:t>Study-specific Dataset Agreement</w:t>
                  </w:r>
                </w:p>
              </w:tc>
              <w:tc>
                <w:tcPr>
                  <w:tcW w:w="629" w:type="dxa"/>
                </w:tcPr>
                <w:p w14:paraId="6C253028" w14:textId="77777777" w:rsidR="00E352C0" w:rsidRDefault="00E352C0" w:rsidP="001A69D6">
                  <w:pPr>
                    <w:rPr>
                      <w:rFonts w:cs="Arial"/>
                      <w:szCs w:val="20"/>
                    </w:rPr>
                  </w:pPr>
                </w:p>
              </w:tc>
            </w:tr>
          </w:tbl>
          <w:p w14:paraId="26B07CDC" w14:textId="13FF32BD" w:rsidR="00022AC8" w:rsidRDefault="00022AC8" w:rsidP="001A69D6">
            <w:pPr>
              <w:rPr>
                <w:rFonts w:cs="Arial"/>
                <w:szCs w:val="20"/>
              </w:rPr>
            </w:pPr>
          </w:p>
          <w:tbl>
            <w:tblPr>
              <w:tblStyle w:val="TableGrid"/>
              <w:tblW w:w="0" w:type="auto"/>
              <w:tblLayout w:type="fixed"/>
              <w:tblLook w:val="04A0" w:firstRow="1" w:lastRow="0" w:firstColumn="1" w:lastColumn="0" w:noHBand="0" w:noVBand="1"/>
            </w:tblPr>
            <w:tblGrid>
              <w:gridCol w:w="4918"/>
              <w:gridCol w:w="627"/>
              <w:gridCol w:w="4292"/>
            </w:tblGrid>
            <w:tr w:rsidR="00F6217C" w14:paraId="5F944440" w14:textId="77777777" w:rsidTr="00F6217C">
              <w:tc>
                <w:tcPr>
                  <w:tcW w:w="4918" w:type="dxa"/>
                </w:tcPr>
                <w:p w14:paraId="2EE898A0" w14:textId="68376C94" w:rsidR="00F6217C" w:rsidRDefault="00597A9B" w:rsidP="001A69D6">
                  <w:pPr>
                    <w:rPr>
                      <w:rFonts w:cs="Arial"/>
                      <w:szCs w:val="20"/>
                    </w:rPr>
                  </w:pPr>
                  <w:r>
                    <w:rPr>
                      <w:rFonts w:cs="Arial"/>
                      <w:szCs w:val="20"/>
                    </w:rPr>
                    <w:t>Institutional Multi-study Licence</w:t>
                  </w:r>
                </w:p>
              </w:tc>
              <w:tc>
                <w:tcPr>
                  <w:tcW w:w="627" w:type="dxa"/>
                </w:tcPr>
                <w:p w14:paraId="62D3B30D" w14:textId="7F37A56D" w:rsidR="00F6217C" w:rsidRDefault="000C7BDF" w:rsidP="001A69D6">
                  <w:pPr>
                    <w:rPr>
                      <w:rFonts w:cs="Arial"/>
                      <w:szCs w:val="20"/>
                    </w:rPr>
                  </w:pPr>
                  <w:r>
                    <w:rPr>
                      <w:rFonts w:cs="Arial"/>
                      <w:szCs w:val="20"/>
                    </w:rPr>
                    <w:t>X</w:t>
                  </w:r>
                </w:p>
              </w:tc>
              <w:tc>
                <w:tcPr>
                  <w:tcW w:w="4292" w:type="dxa"/>
                  <w:tcBorders>
                    <w:top w:val="nil"/>
                    <w:right w:val="nil"/>
                  </w:tcBorders>
                </w:tcPr>
                <w:p w14:paraId="2C33F03E" w14:textId="54768B88" w:rsidR="00F6217C" w:rsidRDefault="00F6217C" w:rsidP="001A69D6">
                  <w:pPr>
                    <w:rPr>
                      <w:rFonts w:cs="Arial"/>
                      <w:szCs w:val="20"/>
                    </w:rPr>
                  </w:pPr>
                </w:p>
              </w:tc>
            </w:tr>
            <w:tr w:rsidR="000C7BDF" w14:paraId="358B2DD3" w14:textId="77777777" w:rsidTr="00F6217C">
              <w:tc>
                <w:tcPr>
                  <w:tcW w:w="4918" w:type="dxa"/>
                </w:tcPr>
                <w:p w14:paraId="560B4143" w14:textId="608B4250" w:rsidR="000C7BDF" w:rsidRDefault="000C7BDF" w:rsidP="001A69D6">
                  <w:pPr>
                    <w:rPr>
                      <w:rFonts w:cs="Arial"/>
                      <w:szCs w:val="20"/>
                    </w:rPr>
                  </w:pPr>
                  <w:r>
                    <w:rPr>
                      <w:rFonts w:cs="Arial"/>
                      <w:szCs w:val="20"/>
                    </w:rPr>
                    <w:t>Institution Name</w:t>
                  </w:r>
                </w:p>
              </w:tc>
              <w:tc>
                <w:tcPr>
                  <w:tcW w:w="4919" w:type="dxa"/>
                  <w:gridSpan w:val="2"/>
                </w:tcPr>
                <w:p w14:paraId="08D38468" w14:textId="26733F98" w:rsidR="000C7BDF" w:rsidRDefault="000C7BDF" w:rsidP="001A69D6">
                  <w:pPr>
                    <w:rPr>
                      <w:rFonts w:cs="Arial"/>
                      <w:szCs w:val="20"/>
                    </w:rPr>
                  </w:pPr>
                  <w:r w:rsidRPr="00253652">
                    <w:rPr>
                      <w:rFonts w:cs="Arial"/>
                      <w:szCs w:val="20"/>
                    </w:rPr>
                    <w:t>London School of Hygiene and Tropical Medicine</w:t>
                  </w:r>
                </w:p>
              </w:tc>
            </w:tr>
            <w:tr w:rsidR="000C7BDF" w14:paraId="17BE741F" w14:textId="77777777" w:rsidTr="00F6217C">
              <w:tc>
                <w:tcPr>
                  <w:tcW w:w="4918" w:type="dxa"/>
                </w:tcPr>
                <w:p w14:paraId="3769B94A" w14:textId="7749B7AE" w:rsidR="000C7BDF" w:rsidRDefault="000C7BDF" w:rsidP="001A69D6">
                  <w:pPr>
                    <w:rPr>
                      <w:rFonts w:cs="Arial"/>
                      <w:szCs w:val="20"/>
                    </w:rPr>
                  </w:pPr>
                  <w:r>
                    <w:rPr>
                      <w:rFonts w:cs="Arial"/>
                      <w:szCs w:val="20"/>
                    </w:rPr>
                    <w:t>Institution Address</w:t>
                  </w:r>
                </w:p>
              </w:tc>
              <w:tc>
                <w:tcPr>
                  <w:tcW w:w="4919" w:type="dxa"/>
                  <w:gridSpan w:val="2"/>
                </w:tcPr>
                <w:p w14:paraId="6DF62A37" w14:textId="2E5B735A" w:rsidR="000C7BDF" w:rsidRDefault="000C7BDF" w:rsidP="001A69D6">
                  <w:pPr>
                    <w:rPr>
                      <w:rFonts w:cs="Arial"/>
                      <w:szCs w:val="20"/>
                    </w:rPr>
                  </w:pPr>
                  <w:r w:rsidRPr="00253652">
                    <w:rPr>
                      <w:rFonts w:cs="Arial"/>
                      <w:szCs w:val="20"/>
                    </w:rPr>
                    <w:t>Keppel Street, London WC1E 7HT</w:t>
                  </w:r>
                </w:p>
              </w:tc>
            </w:tr>
          </w:tbl>
          <w:p w14:paraId="404A3A8D" w14:textId="16886D4E" w:rsidR="00BB6792" w:rsidRDefault="00BB6792" w:rsidP="001A69D6">
            <w:pPr>
              <w:rPr>
                <w:rFonts w:cs="Arial"/>
                <w:szCs w:val="20"/>
              </w:rPr>
            </w:pPr>
          </w:p>
          <w:p w14:paraId="0AD60F66" w14:textId="3E2ED3C8" w:rsidR="00B241C3" w:rsidRDefault="00616109" w:rsidP="001A69D6">
            <w:pPr>
              <w:rPr>
                <w:rFonts w:cs="Arial"/>
                <w:szCs w:val="20"/>
              </w:rPr>
            </w:pPr>
            <w:r>
              <w:rPr>
                <w:rFonts w:cs="Arial"/>
                <w:szCs w:val="20"/>
              </w:rPr>
              <w:t xml:space="preserve">Will the dataset be </w:t>
            </w:r>
            <w:r w:rsidR="00E971CF">
              <w:rPr>
                <w:rFonts w:cs="Arial"/>
                <w:szCs w:val="20"/>
              </w:rPr>
              <w:t>extracted</w:t>
            </w:r>
            <w:r>
              <w:rPr>
                <w:rFonts w:cs="Arial"/>
                <w:szCs w:val="20"/>
              </w:rPr>
              <w:t xml:space="preserve"> by CPRD?</w:t>
            </w:r>
          </w:p>
          <w:tbl>
            <w:tblPr>
              <w:tblStyle w:val="TableGrid"/>
              <w:tblW w:w="0" w:type="auto"/>
              <w:tblLayout w:type="fixed"/>
              <w:tblLook w:val="04A0" w:firstRow="1" w:lastRow="0" w:firstColumn="1" w:lastColumn="0" w:noHBand="0" w:noVBand="1"/>
            </w:tblPr>
            <w:tblGrid>
              <w:gridCol w:w="726"/>
              <w:gridCol w:w="709"/>
              <w:gridCol w:w="726"/>
              <w:gridCol w:w="709"/>
            </w:tblGrid>
            <w:tr w:rsidR="00B540D2" w14:paraId="26239B03" w14:textId="77777777" w:rsidTr="00B540D2">
              <w:tc>
                <w:tcPr>
                  <w:tcW w:w="726" w:type="dxa"/>
                </w:tcPr>
                <w:p w14:paraId="39860ADD" w14:textId="0134ED5B" w:rsidR="00B540D2" w:rsidRDefault="00B540D2" w:rsidP="001A69D6">
                  <w:pPr>
                    <w:rPr>
                      <w:rFonts w:cs="Arial"/>
                      <w:szCs w:val="20"/>
                    </w:rPr>
                  </w:pPr>
                  <w:r>
                    <w:rPr>
                      <w:rFonts w:cs="Arial"/>
                      <w:szCs w:val="20"/>
                    </w:rPr>
                    <w:t>Yes</w:t>
                  </w:r>
                </w:p>
              </w:tc>
              <w:tc>
                <w:tcPr>
                  <w:tcW w:w="709" w:type="dxa"/>
                </w:tcPr>
                <w:p w14:paraId="665B8884" w14:textId="77777777" w:rsidR="00B540D2" w:rsidRDefault="00B540D2" w:rsidP="001A69D6">
                  <w:pPr>
                    <w:rPr>
                      <w:rFonts w:cs="Arial"/>
                      <w:szCs w:val="20"/>
                    </w:rPr>
                  </w:pPr>
                </w:p>
              </w:tc>
              <w:tc>
                <w:tcPr>
                  <w:tcW w:w="726" w:type="dxa"/>
                </w:tcPr>
                <w:p w14:paraId="609124B1" w14:textId="33571F74" w:rsidR="00B540D2" w:rsidRDefault="00B540D2" w:rsidP="001A69D6">
                  <w:pPr>
                    <w:rPr>
                      <w:rFonts w:cs="Arial"/>
                      <w:szCs w:val="20"/>
                    </w:rPr>
                  </w:pPr>
                  <w:r>
                    <w:rPr>
                      <w:rFonts w:cs="Arial"/>
                      <w:szCs w:val="20"/>
                    </w:rPr>
                    <w:t>No</w:t>
                  </w:r>
                </w:p>
              </w:tc>
              <w:tc>
                <w:tcPr>
                  <w:tcW w:w="709" w:type="dxa"/>
                </w:tcPr>
                <w:p w14:paraId="3B3973FE" w14:textId="2E93BB9B" w:rsidR="00B540D2" w:rsidRDefault="00366BC8" w:rsidP="001A69D6">
                  <w:pPr>
                    <w:rPr>
                      <w:rFonts w:cs="Arial"/>
                      <w:szCs w:val="20"/>
                    </w:rPr>
                  </w:pPr>
                  <w:r>
                    <w:rPr>
                      <w:rFonts w:cs="Arial"/>
                      <w:szCs w:val="20"/>
                    </w:rPr>
                    <w:t>X</w:t>
                  </w:r>
                </w:p>
              </w:tc>
            </w:tr>
          </w:tbl>
          <w:p w14:paraId="5F61F530" w14:textId="1523B5F3" w:rsidR="00EF36D0" w:rsidRDefault="00EF36D0" w:rsidP="001A69D6">
            <w:pPr>
              <w:rPr>
                <w:rFonts w:cs="Arial"/>
                <w:szCs w:val="20"/>
              </w:rPr>
            </w:pPr>
          </w:p>
          <w:p w14:paraId="1607EC05" w14:textId="69BBA5F1" w:rsidR="00D15DE7" w:rsidRPr="00CD13D5" w:rsidRDefault="009562CA" w:rsidP="001A69D6">
            <w:pPr>
              <w:rPr>
                <w:rFonts w:cs="Arial"/>
                <w:szCs w:val="20"/>
              </w:rPr>
            </w:pPr>
            <w:r>
              <w:rPr>
                <w:rFonts w:cs="Arial"/>
                <w:szCs w:val="20"/>
              </w:rPr>
              <w:t>If yes, provide the r</w:t>
            </w:r>
            <w:r w:rsidR="00D15DE7" w:rsidRPr="00CD13D5">
              <w:rPr>
                <w:rFonts w:cs="Arial"/>
                <w:szCs w:val="20"/>
              </w:rPr>
              <w:t>eference number:</w:t>
            </w:r>
          </w:p>
          <w:p w14:paraId="6A9AB301" w14:textId="77777777" w:rsidR="00672602" w:rsidRPr="00CD13D5" w:rsidRDefault="00672602" w:rsidP="001A69D6">
            <w:pPr>
              <w:rPr>
                <w:rFonts w:cs="Arial"/>
                <w:szCs w:val="20"/>
              </w:rPr>
            </w:pPr>
          </w:p>
        </w:tc>
      </w:tr>
      <w:tr w:rsidR="000B368D" w:rsidRPr="00CD13D5" w14:paraId="7A536891" w14:textId="77777777" w:rsidTr="00B01179">
        <w:trPr>
          <w:trHeight w:val="567"/>
          <w:jc w:val="center"/>
        </w:trPr>
        <w:tc>
          <w:tcPr>
            <w:tcW w:w="10063" w:type="dxa"/>
            <w:tcBorders>
              <w:bottom w:val="single" w:sz="4" w:space="0" w:color="auto"/>
            </w:tcBorders>
          </w:tcPr>
          <w:p w14:paraId="5851F191" w14:textId="353E3327" w:rsidR="00773732" w:rsidRPr="00CD13D5" w:rsidRDefault="00773732" w:rsidP="001A69D6">
            <w:pPr>
              <w:pStyle w:val="ListParagraph"/>
              <w:numPr>
                <w:ilvl w:val="0"/>
                <w:numId w:val="6"/>
              </w:numPr>
            </w:pPr>
            <w:r w:rsidRPr="00CD13D5">
              <w:rPr>
                <w:b/>
                <w:bCs/>
                <w:szCs w:val="20"/>
              </w:rPr>
              <w:t>Data Processor(s):</w:t>
            </w:r>
          </w:p>
          <w:p w14:paraId="74651FA3" w14:textId="63081F33" w:rsidR="00734F97" w:rsidRPr="004E32BD" w:rsidRDefault="00734F97" w:rsidP="001A69D6">
            <w:pPr>
              <w:rPr>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851"/>
              <w:gridCol w:w="6031"/>
            </w:tblGrid>
            <w:tr w:rsidR="00663F99" w:rsidRPr="00CD13D5" w14:paraId="57BEAD3B" w14:textId="77777777" w:rsidTr="00663F99">
              <w:trPr>
                <w:cantSplit/>
              </w:trPr>
              <w:tc>
                <w:tcPr>
                  <w:tcW w:w="2722" w:type="dxa"/>
                  <w:shd w:val="clear" w:color="auto" w:fill="auto"/>
                </w:tcPr>
                <w:p w14:paraId="5FF5F17E" w14:textId="77777777" w:rsidR="00663F99" w:rsidRPr="00CD13D5" w:rsidRDefault="00663F99" w:rsidP="001A69D6">
                  <w:pPr>
                    <w:pStyle w:val="ListParagraph"/>
                    <w:ind w:left="0"/>
                    <w:rPr>
                      <w:bCs/>
                      <w:szCs w:val="20"/>
                    </w:rPr>
                  </w:pPr>
                  <w:r w:rsidRPr="00CD13D5">
                    <w:rPr>
                      <w:bCs/>
                      <w:szCs w:val="20"/>
                    </w:rPr>
                    <w:t>Processing</w:t>
                  </w:r>
                </w:p>
              </w:tc>
              <w:tc>
                <w:tcPr>
                  <w:tcW w:w="851" w:type="dxa"/>
                  <w:tcBorders>
                    <w:right w:val="single" w:sz="4" w:space="0" w:color="auto"/>
                  </w:tcBorders>
                  <w:shd w:val="clear" w:color="auto" w:fill="auto"/>
                </w:tcPr>
                <w:p w14:paraId="5A399B42" w14:textId="0FCAE1B8" w:rsidR="00663F99" w:rsidRPr="00CD13D5" w:rsidRDefault="00366BC8" w:rsidP="001A69D6">
                  <w:pPr>
                    <w:pStyle w:val="ListParagraph"/>
                    <w:ind w:left="0"/>
                    <w:rPr>
                      <w:bCs/>
                      <w:szCs w:val="20"/>
                    </w:rPr>
                  </w:pPr>
                  <w:r>
                    <w:rPr>
                      <w:bCs/>
                      <w:szCs w:val="20"/>
                    </w:rPr>
                    <w:t>Yes</w:t>
                  </w:r>
                </w:p>
              </w:tc>
              <w:tc>
                <w:tcPr>
                  <w:tcW w:w="6031" w:type="dxa"/>
                  <w:vMerge w:val="restart"/>
                  <w:tcBorders>
                    <w:top w:val="nil"/>
                    <w:left w:val="single" w:sz="4" w:space="0" w:color="auto"/>
                    <w:bottom w:val="nil"/>
                    <w:right w:val="nil"/>
                  </w:tcBorders>
                  <w:shd w:val="clear" w:color="auto" w:fill="auto"/>
                </w:tcPr>
                <w:p w14:paraId="6F061774" w14:textId="58980EAF" w:rsidR="00663F99" w:rsidRPr="00CD13D5" w:rsidRDefault="00663F99" w:rsidP="001A69D6">
                  <w:pPr>
                    <w:rPr>
                      <w:rFonts w:cs="Arial"/>
                      <w:szCs w:val="20"/>
                    </w:rPr>
                  </w:pPr>
                </w:p>
              </w:tc>
            </w:tr>
            <w:tr w:rsidR="00663F99" w:rsidRPr="00CD13D5" w14:paraId="080241F5" w14:textId="77777777" w:rsidTr="00663F99">
              <w:trPr>
                <w:cantSplit/>
              </w:trPr>
              <w:tc>
                <w:tcPr>
                  <w:tcW w:w="2722" w:type="dxa"/>
                  <w:shd w:val="clear" w:color="auto" w:fill="auto"/>
                </w:tcPr>
                <w:p w14:paraId="6D7588E0" w14:textId="77777777" w:rsidR="00663F99" w:rsidRPr="00CD13D5" w:rsidRDefault="00663F99" w:rsidP="001A69D6">
                  <w:pPr>
                    <w:pStyle w:val="ListParagraph"/>
                    <w:ind w:left="0"/>
                    <w:rPr>
                      <w:bCs/>
                      <w:szCs w:val="20"/>
                    </w:rPr>
                  </w:pPr>
                  <w:r w:rsidRPr="00CD13D5">
                    <w:rPr>
                      <w:bCs/>
                      <w:szCs w:val="20"/>
                    </w:rPr>
                    <w:t>Accessing</w:t>
                  </w:r>
                </w:p>
              </w:tc>
              <w:tc>
                <w:tcPr>
                  <w:tcW w:w="851" w:type="dxa"/>
                  <w:tcBorders>
                    <w:right w:val="single" w:sz="4" w:space="0" w:color="auto"/>
                  </w:tcBorders>
                  <w:shd w:val="clear" w:color="auto" w:fill="auto"/>
                </w:tcPr>
                <w:p w14:paraId="079F3576" w14:textId="082FF398" w:rsidR="00663F99" w:rsidRPr="00CD13D5" w:rsidRDefault="00366BC8" w:rsidP="001A69D6">
                  <w:pPr>
                    <w:pStyle w:val="ListParagraph"/>
                    <w:ind w:left="0"/>
                    <w:rPr>
                      <w:bCs/>
                      <w:szCs w:val="20"/>
                    </w:rPr>
                  </w:pPr>
                  <w:r>
                    <w:rPr>
                      <w:bCs/>
                      <w:szCs w:val="20"/>
                    </w:rPr>
                    <w:t>Yes</w:t>
                  </w:r>
                </w:p>
              </w:tc>
              <w:tc>
                <w:tcPr>
                  <w:tcW w:w="6031" w:type="dxa"/>
                  <w:vMerge/>
                  <w:tcBorders>
                    <w:left w:val="single" w:sz="4" w:space="0" w:color="auto"/>
                    <w:bottom w:val="nil"/>
                    <w:right w:val="nil"/>
                  </w:tcBorders>
                  <w:shd w:val="clear" w:color="auto" w:fill="auto"/>
                </w:tcPr>
                <w:p w14:paraId="01D29DF4" w14:textId="1C531DE5" w:rsidR="00663F99" w:rsidRPr="00CD13D5" w:rsidRDefault="00663F99" w:rsidP="001A69D6">
                  <w:pPr>
                    <w:rPr>
                      <w:rFonts w:cs="Arial"/>
                      <w:szCs w:val="20"/>
                    </w:rPr>
                  </w:pPr>
                </w:p>
              </w:tc>
            </w:tr>
            <w:tr w:rsidR="00663F99" w:rsidRPr="00CD13D5" w14:paraId="79C0F89C" w14:textId="77777777" w:rsidTr="00B54289">
              <w:trPr>
                <w:cantSplit/>
              </w:trPr>
              <w:tc>
                <w:tcPr>
                  <w:tcW w:w="2722" w:type="dxa"/>
                  <w:shd w:val="clear" w:color="auto" w:fill="auto"/>
                </w:tcPr>
                <w:p w14:paraId="49514CC7" w14:textId="77777777" w:rsidR="00663F99" w:rsidRPr="00CD13D5" w:rsidRDefault="00663F99" w:rsidP="001A69D6">
                  <w:pPr>
                    <w:pStyle w:val="ListParagraph"/>
                    <w:ind w:left="0"/>
                    <w:rPr>
                      <w:bCs/>
                      <w:szCs w:val="20"/>
                    </w:rPr>
                  </w:pPr>
                  <w:r w:rsidRPr="00CD13D5">
                    <w:rPr>
                      <w:bCs/>
                      <w:szCs w:val="20"/>
                    </w:rPr>
                    <w:t>Storing</w:t>
                  </w:r>
                </w:p>
              </w:tc>
              <w:tc>
                <w:tcPr>
                  <w:tcW w:w="851" w:type="dxa"/>
                  <w:tcBorders>
                    <w:right w:val="single" w:sz="4" w:space="0" w:color="auto"/>
                  </w:tcBorders>
                  <w:shd w:val="clear" w:color="auto" w:fill="auto"/>
                </w:tcPr>
                <w:p w14:paraId="560A6C50" w14:textId="2CF65613" w:rsidR="00663F99" w:rsidRPr="00CD13D5" w:rsidRDefault="00366BC8" w:rsidP="001A69D6">
                  <w:pPr>
                    <w:pStyle w:val="ListParagraph"/>
                    <w:ind w:left="0"/>
                    <w:rPr>
                      <w:bCs/>
                      <w:szCs w:val="20"/>
                    </w:rPr>
                  </w:pPr>
                  <w:r>
                    <w:rPr>
                      <w:bCs/>
                      <w:szCs w:val="20"/>
                    </w:rPr>
                    <w:t>Yes</w:t>
                  </w:r>
                </w:p>
              </w:tc>
              <w:tc>
                <w:tcPr>
                  <w:tcW w:w="6031" w:type="dxa"/>
                  <w:vMerge/>
                  <w:tcBorders>
                    <w:left w:val="single" w:sz="4" w:space="0" w:color="auto"/>
                    <w:bottom w:val="single" w:sz="4" w:space="0" w:color="auto"/>
                    <w:right w:val="nil"/>
                  </w:tcBorders>
                  <w:shd w:val="clear" w:color="auto" w:fill="auto"/>
                </w:tcPr>
                <w:p w14:paraId="68EA2602" w14:textId="5E07D28C" w:rsidR="00663F99" w:rsidRPr="00CD13D5" w:rsidRDefault="00663F99" w:rsidP="001A69D6">
                  <w:pPr>
                    <w:rPr>
                      <w:rFonts w:cs="Arial"/>
                      <w:szCs w:val="20"/>
                    </w:rPr>
                  </w:pPr>
                </w:p>
              </w:tc>
            </w:tr>
            <w:tr w:rsidR="00AD726C" w:rsidRPr="00CD13D5" w14:paraId="482B41D4" w14:textId="77777777" w:rsidTr="00B54289">
              <w:trPr>
                <w:cantSplit/>
              </w:trPr>
              <w:tc>
                <w:tcPr>
                  <w:tcW w:w="3573" w:type="dxa"/>
                  <w:gridSpan w:val="2"/>
                  <w:shd w:val="clear" w:color="auto" w:fill="auto"/>
                </w:tcPr>
                <w:p w14:paraId="5EAFDEFA" w14:textId="3C18C401" w:rsidR="00AD726C" w:rsidRPr="00CD13D5" w:rsidRDefault="00C631C4" w:rsidP="001A69D6">
                  <w:pPr>
                    <w:pStyle w:val="ListParagraph"/>
                    <w:ind w:left="0"/>
                    <w:rPr>
                      <w:bCs/>
                      <w:szCs w:val="20"/>
                    </w:rPr>
                  </w:pPr>
                  <w:r>
                    <w:rPr>
                      <w:bCs/>
                      <w:szCs w:val="20"/>
                    </w:rPr>
                    <w:t>Processing area</w:t>
                  </w:r>
                  <w:r w:rsidR="00AC6A12">
                    <w:rPr>
                      <w:bCs/>
                      <w:szCs w:val="20"/>
                    </w:rPr>
                    <w:t xml:space="preserve"> (UK/EEA/Worldwide)</w:t>
                  </w:r>
                </w:p>
              </w:tc>
              <w:tc>
                <w:tcPr>
                  <w:tcW w:w="6031" w:type="dxa"/>
                  <w:tcBorders>
                    <w:top w:val="single" w:sz="4" w:space="0" w:color="auto"/>
                  </w:tcBorders>
                  <w:shd w:val="clear" w:color="auto" w:fill="auto"/>
                </w:tcPr>
                <w:p w14:paraId="1C0A09EB" w14:textId="374BBDCD" w:rsidR="00AD726C" w:rsidRPr="00CD13D5" w:rsidRDefault="00366BC8" w:rsidP="001A69D6">
                  <w:pPr>
                    <w:rPr>
                      <w:rFonts w:cs="Arial"/>
                      <w:szCs w:val="20"/>
                    </w:rPr>
                  </w:pPr>
                  <w:r>
                    <w:rPr>
                      <w:rFonts w:cs="Arial"/>
                      <w:szCs w:val="20"/>
                    </w:rPr>
                    <w:t>UK</w:t>
                  </w:r>
                </w:p>
              </w:tc>
            </w:tr>
            <w:tr w:rsidR="00366BC8" w:rsidRPr="00CD13D5" w14:paraId="5650B40F" w14:textId="77777777" w:rsidTr="00B54289">
              <w:trPr>
                <w:cantSplit/>
              </w:trPr>
              <w:tc>
                <w:tcPr>
                  <w:tcW w:w="3573" w:type="dxa"/>
                  <w:gridSpan w:val="2"/>
                  <w:shd w:val="clear" w:color="auto" w:fill="auto"/>
                </w:tcPr>
                <w:p w14:paraId="3FAFF2CA" w14:textId="17AE6136" w:rsidR="00366BC8" w:rsidRPr="00CD13D5" w:rsidRDefault="00366BC8" w:rsidP="001A69D6">
                  <w:pPr>
                    <w:pStyle w:val="ListParagraph"/>
                    <w:ind w:left="0"/>
                    <w:rPr>
                      <w:bCs/>
                      <w:szCs w:val="20"/>
                    </w:rPr>
                  </w:pPr>
                  <w:r w:rsidRPr="00CD13D5">
                    <w:rPr>
                      <w:bCs/>
                      <w:szCs w:val="20"/>
                    </w:rPr>
                    <w:t>Organisation name</w:t>
                  </w:r>
                </w:p>
              </w:tc>
              <w:tc>
                <w:tcPr>
                  <w:tcW w:w="6031" w:type="dxa"/>
                  <w:tcBorders>
                    <w:top w:val="single" w:sz="4" w:space="0" w:color="auto"/>
                  </w:tcBorders>
                  <w:shd w:val="clear" w:color="auto" w:fill="auto"/>
                </w:tcPr>
                <w:p w14:paraId="5C0210F0" w14:textId="5536FD9F" w:rsidR="00366BC8" w:rsidRPr="00CD13D5" w:rsidRDefault="00366BC8" w:rsidP="001A69D6">
                  <w:pPr>
                    <w:rPr>
                      <w:rFonts w:cs="Arial"/>
                      <w:szCs w:val="20"/>
                    </w:rPr>
                  </w:pPr>
                  <w:r w:rsidRPr="00253652">
                    <w:rPr>
                      <w:rFonts w:cs="Arial"/>
                      <w:szCs w:val="20"/>
                    </w:rPr>
                    <w:t>London School of Hygiene and Tropical Medicine</w:t>
                  </w:r>
                </w:p>
              </w:tc>
            </w:tr>
            <w:tr w:rsidR="00366BC8" w:rsidRPr="00CD13D5" w14:paraId="62694554" w14:textId="77777777" w:rsidTr="003574D2">
              <w:trPr>
                <w:cantSplit/>
              </w:trPr>
              <w:tc>
                <w:tcPr>
                  <w:tcW w:w="3573" w:type="dxa"/>
                  <w:gridSpan w:val="2"/>
                  <w:shd w:val="clear" w:color="auto" w:fill="auto"/>
                </w:tcPr>
                <w:p w14:paraId="5D3A01A8" w14:textId="7B1276E0" w:rsidR="00366BC8" w:rsidRPr="00CD13D5" w:rsidRDefault="00366BC8" w:rsidP="001A69D6">
                  <w:pPr>
                    <w:pStyle w:val="ListParagraph"/>
                    <w:ind w:left="0"/>
                    <w:rPr>
                      <w:bCs/>
                      <w:szCs w:val="20"/>
                    </w:rPr>
                  </w:pPr>
                  <w:r w:rsidRPr="00CD13D5">
                    <w:rPr>
                      <w:bCs/>
                      <w:szCs w:val="20"/>
                    </w:rPr>
                    <w:t>Organisation address</w:t>
                  </w:r>
                </w:p>
              </w:tc>
              <w:tc>
                <w:tcPr>
                  <w:tcW w:w="6031" w:type="dxa"/>
                  <w:shd w:val="clear" w:color="auto" w:fill="auto"/>
                </w:tcPr>
                <w:p w14:paraId="155E6C31" w14:textId="39AC927B" w:rsidR="00366BC8" w:rsidRPr="00CD13D5" w:rsidRDefault="00366BC8" w:rsidP="001A69D6">
                  <w:pPr>
                    <w:rPr>
                      <w:rFonts w:cs="Arial"/>
                      <w:szCs w:val="20"/>
                    </w:rPr>
                  </w:pPr>
                  <w:r w:rsidRPr="00253652">
                    <w:rPr>
                      <w:rFonts w:cs="Arial"/>
                      <w:szCs w:val="20"/>
                    </w:rPr>
                    <w:t>Keppel Street, London WC1E 7HT</w:t>
                  </w:r>
                </w:p>
              </w:tc>
            </w:tr>
          </w:tbl>
          <w:p w14:paraId="457B2F35" w14:textId="77777777" w:rsidR="00DB14A2" w:rsidRDefault="00DB14A2" w:rsidP="001A69D6"/>
          <w:p w14:paraId="21CEE07E" w14:textId="233D4A70" w:rsidR="00617291" w:rsidRPr="00CD13D5" w:rsidRDefault="00617291" w:rsidP="001A69D6">
            <w:pPr>
              <w:rPr>
                <w:rFonts w:cs="Arial"/>
                <w:szCs w:val="20"/>
              </w:rPr>
            </w:pPr>
            <w:r w:rsidRPr="00CD13D5">
              <w:rPr>
                <w:rFonts w:cs="Arial"/>
                <w:szCs w:val="20"/>
              </w:rPr>
              <w:t xml:space="preserve">[Add more </w:t>
            </w:r>
            <w:r>
              <w:rPr>
                <w:rFonts w:cs="Arial"/>
                <w:szCs w:val="20"/>
              </w:rPr>
              <w:t>processor</w:t>
            </w:r>
            <w:r w:rsidRPr="00CD13D5">
              <w:rPr>
                <w:rFonts w:cs="Arial"/>
                <w:szCs w:val="20"/>
              </w:rPr>
              <w:t xml:space="preserve">s as necessary by </w:t>
            </w:r>
            <w:r>
              <w:rPr>
                <w:rFonts w:cs="Arial"/>
                <w:szCs w:val="20"/>
              </w:rPr>
              <w:t>copy and pasting</w:t>
            </w:r>
            <w:r w:rsidRPr="00CD13D5">
              <w:rPr>
                <w:rFonts w:cs="Arial"/>
                <w:szCs w:val="20"/>
              </w:rPr>
              <w:t xml:space="preserve"> a new table for each </w:t>
            </w:r>
            <w:r w:rsidR="00EB3BC2">
              <w:rPr>
                <w:rFonts w:cs="Arial"/>
                <w:szCs w:val="20"/>
              </w:rPr>
              <w:t>processor</w:t>
            </w:r>
            <w:r w:rsidRPr="00CD13D5">
              <w:rPr>
                <w:rFonts w:cs="Arial"/>
                <w:szCs w:val="20"/>
              </w:rPr>
              <w:t>]</w:t>
            </w:r>
          </w:p>
          <w:p w14:paraId="6C00EB65" w14:textId="18870C41" w:rsidR="00617291" w:rsidRPr="00CD13D5" w:rsidRDefault="00617291" w:rsidP="001A69D6">
            <w:r>
              <w:t xml:space="preserve"> </w:t>
            </w:r>
          </w:p>
        </w:tc>
      </w:tr>
      <w:tr w:rsidR="00672602" w:rsidRPr="00CD13D5" w14:paraId="11A1804D" w14:textId="77777777" w:rsidTr="00B01179">
        <w:trPr>
          <w:trHeight w:hRule="exact" w:val="567"/>
          <w:jc w:val="center"/>
        </w:trPr>
        <w:tc>
          <w:tcPr>
            <w:tcW w:w="10063" w:type="dxa"/>
            <w:shd w:val="clear" w:color="auto" w:fill="B4C6E7" w:themeFill="accent1" w:themeFillTint="66"/>
            <w:vAlign w:val="center"/>
          </w:tcPr>
          <w:p w14:paraId="078B9A0C" w14:textId="51CEEB98" w:rsidR="00672602" w:rsidRPr="00CD13D5" w:rsidRDefault="00672602" w:rsidP="001A69D6">
            <w:pPr>
              <w:pStyle w:val="NoSpacing"/>
            </w:pPr>
            <w:r w:rsidRPr="00CD13D5">
              <w:rPr>
                <w:color w:val="auto"/>
                <w:lang w:val="en"/>
              </w:rPr>
              <w:lastRenderedPageBreak/>
              <w:t>INFORMATION ON DATA</w:t>
            </w:r>
          </w:p>
        </w:tc>
      </w:tr>
      <w:tr w:rsidR="00672602" w:rsidRPr="00CD13D5" w14:paraId="0BD45163" w14:textId="77777777" w:rsidTr="00B01179">
        <w:tblPrEx>
          <w:tblLook w:val="01E0" w:firstRow="1" w:lastRow="1" w:firstColumn="1" w:lastColumn="1" w:noHBand="0" w:noVBand="0"/>
        </w:tblPrEx>
        <w:trPr>
          <w:cantSplit/>
          <w:jc w:val="center"/>
        </w:trPr>
        <w:tc>
          <w:tcPr>
            <w:tcW w:w="10063" w:type="dxa"/>
            <w:tcBorders>
              <w:bottom w:val="single" w:sz="4" w:space="0" w:color="auto"/>
            </w:tcBorders>
            <w:shd w:val="clear" w:color="auto" w:fill="auto"/>
          </w:tcPr>
          <w:p w14:paraId="1E61C0CC" w14:textId="20500D30" w:rsidR="00672602" w:rsidRPr="00CD13D5" w:rsidRDefault="00672602" w:rsidP="001A69D6">
            <w:pPr>
              <w:pStyle w:val="Heading2"/>
              <w:numPr>
                <w:ilvl w:val="0"/>
                <w:numId w:val="6"/>
              </w:numPr>
            </w:pPr>
            <w:r w:rsidRPr="00CD13D5">
              <w:t xml:space="preserve">Primary care data </w:t>
            </w:r>
            <w:r w:rsidR="00301A10" w:rsidRPr="00CD13D5">
              <w:rPr>
                <w:b w:val="0"/>
              </w:rPr>
              <w:t>(place ‘</w:t>
            </w:r>
            <w:r w:rsidR="00301A10" w:rsidRPr="00CD13D5">
              <w:t>X</w:t>
            </w:r>
            <w:r w:rsidR="00301A10" w:rsidRPr="00CD13D5">
              <w:rPr>
                <w:b w:val="0"/>
              </w:rPr>
              <w:t>’ in all boxes that apply)</w:t>
            </w:r>
          </w:p>
          <w:p w14:paraId="272E1C11" w14:textId="77777777" w:rsidR="00672602" w:rsidRPr="00CD13D5" w:rsidRDefault="00672602" w:rsidP="001A69D6">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766"/>
              <w:gridCol w:w="4195"/>
              <w:gridCol w:w="721"/>
            </w:tblGrid>
            <w:tr w:rsidR="00672602" w:rsidRPr="00CD13D5" w14:paraId="28DBB0CE" w14:textId="77777777" w:rsidTr="00D9289D">
              <w:tc>
                <w:tcPr>
                  <w:tcW w:w="4150" w:type="dxa"/>
                  <w:shd w:val="clear" w:color="auto" w:fill="auto"/>
                </w:tcPr>
                <w:p w14:paraId="2EF7765E" w14:textId="77777777" w:rsidR="00672602" w:rsidRPr="00CD13D5" w:rsidRDefault="00672602" w:rsidP="001A69D6">
                  <w:pPr>
                    <w:rPr>
                      <w:rFonts w:cs="Arial"/>
                      <w:szCs w:val="20"/>
                    </w:rPr>
                  </w:pPr>
                  <w:r w:rsidRPr="00CD13D5">
                    <w:rPr>
                      <w:rFonts w:cs="Arial"/>
                      <w:szCs w:val="20"/>
                    </w:rPr>
                    <w:t>CPRD GOLD</w:t>
                  </w:r>
                </w:p>
              </w:tc>
              <w:tc>
                <w:tcPr>
                  <w:tcW w:w="766" w:type="dxa"/>
                  <w:shd w:val="clear" w:color="auto" w:fill="auto"/>
                </w:tcPr>
                <w:p w14:paraId="6684C4D8" w14:textId="77777777" w:rsidR="00672602" w:rsidRPr="00CD13D5" w:rsidRDefault="00672602" w:rsidP="001A69D6">
                  <w:pPr>
                    <w:rPr>
                      <w:rFonts w:cs="Arial"/>
                      <w:szCs w:val="20"/>
                    </w:rPr>
                  </w:pPr>
                </w:p>
              </w:tc>
              <w:tc>
                <w:tcPr>
                  <w:tcW w:w="4195" w:type="dxa"/>
                  <w:shd w:val="clear" w:color="auto" w:fill="auto"/>
                </w:tcPr>
                <w:p w14:paraId="0E80845D" w14:textId="77777777" w:rsidR="00672602" w:rsidRPr="00CD13D5" w:rsidRDefault="00672602" w:rsidP="001A69D6">
                  <w:pPr>
                    <w:rPr>
                      <w:rFonts w:cs="Arial"/>
                      <w:szCs w:val="20"/>
                    </w:rPr>
                  </w:pPr>
                  <w:r w:rsidRPr="00CD13D5">
                    <w:rPr>
                      <w:rFonts w:cs="Arial"/>
                      <w:szCs w:val="20"/>
                    </w:rPr>
                    <w:t xml:space="preserve">CPRD </w:t>
                  </w:r>
                  <w:proofErr w:type="spellStart"/>
                  <w:r w:rsidRPr="00CD13D5">
                    <w:rPr>
                      <w:rFonts w:cs="Arial"/>
                      <w:szCs w:val="20"/>
                    </w:rPr>
                    <w:t>Aurum</w:t>
                  </w:r>
                  <w:proofErr w:type="spellEnd"/>
                </w:p>
              </w:tc>
              <w:tc>
                <w:tcPr>
                  <w:tcW w:w="721" w:type="dxa"/>
                  <w:shd w:val="clear" w:color="auto" w:fill="auto"/>
                </w:tcPr>
                <w:p w14:paraId="73629ADB" w14:textId="5ED84440" w:rsidR="00672602" w:rsidRPr="00CD13D5" w:rsidRDefault="008D7424" w:rsidP="001A69D6">
                  <w:pPr>
                    <w:rPr>
                      <w:rFonts w:cs="Arial"/>
                      <w:szCs w:val="20"/>
                    </w:rPr>
                  </w:pPr>
                  <w:r>
                    <w:rPr>
                      <w:rFonts w:cs="Arial"/>
                      <w:szCs w:val="20"/>
                    </w:rPr>
                    <w:t>X</w:t>
                  </w:r>
                </w:p>
              </w:tc>
            </w:tr>
          </w:tbl>
          <w:p w14:paraId="2E9B2B33" w14:textId="77777777" w:rsidR="00672602" w:rsidRDefault="00672602" w:rsidP="001A69D6">
            <w:pPr>
              <w:rPr>
                <w:rFonts w:cs="Arial"/>
                <w:b/>
                <w:color w:val="FFFFFF"/>
                <w:szCs w:val="20"/>
              </w:rPr>
            </w:pPr>
            <w:r w:rsidRPr="00CD13D5">
              <w:rPr>
                <w:rFonts w:cs="Arial"/>
                <w:b/>
                <w:color w:val="FFFFFF"/>
                <w:szCs w:val="20"/>
              </w:rPr>
              <w:t>X</w:t>
            </w:r>
          </w:p>
          <w:p w14:paraId="33EC1DD4" w14:textId="180784F3" w:rsidR="00E145AF" w:rsidRPr="00E145AF" w:rsidRDefault="00E145AF" w:rsidP="001A69D6">
            <w:pPr>
              <w:rPr>
                <w:rFonts w:cs="Arial"/>
                <w:szCs w:val="20"/>
              </w:rPr>
            </w:pPr>
            <w:r w:rsidRPr="00E145AF">
              <w:rPr>
                <w:rFonts w:cs="Arial"/>
                <w:szCs w:val="20"/>
              </w:rPr>
              <w:t>Reference</w:t>
            </w:r>
            <w:r w:rsidR="006E04F6">
              <w:rPr>
                <w:rFonts w:cs="Arial"/>
                <w:szCs w:val="20"/>
              </w:rPr>
              <w:t xml:space="preserve"> number (if applicable):</w:t>
            </w:r>
          </w:p>
          <w:p w14:paraId="0F1AA262" w14:textId="11D5034B" w:rsidR="00E145AF" w:rsidRPr="00CD13D5" w:rsidRDefault="00E145AF" w:rsidP="001A69D6">
            <w:pPr>
              <w:rPr>
                <w:rFonts w:cs="Arial"/>
                <w:b/>
                <w:color w:val="FFFFFF"/>
                <w:szCs w:val="20"/>
              </w:rPr>
            </w:pPr>
          </w:p>
        </w:tc>
      </w:tr>
      <w:tr w:rsidR="00672602" w:rsidRPr="00CD13D5" w14:paraId="264EF3F1" w14:textId="77777777" w:rsidTr="001A69D6">
        <w:tblPrEx>
          <w:tblLook w:val="01E0" w:firstRow="1" w:lastRow="1" w:firstColumn="1" w:lastColumn="1" w:noHBand="0" w:noVBand="0"/>
        </w:tblPrEx>
        <w:trPr>
          <w:cantSplit/>
          <w:trHeight w:val="360"/>
          <w:jc w:val="center"/>
        </w:trPr>
        <w:tc>
          <w:tcPr>
            <w:tcW w:w="10063" w:type="dxa"/>
            <w:tcBorders>
              <w:bottom w:val="nil"/>
            </w:tcBorders>
            <w:shd w:val="clear" w:color="auto" w:fill="auto"/>
          </w:tcPr>
          <w:p w14:paraId="6B42F6E3" w14:textId="77777777" w:rsidR="00672602" w:rsidRPr="00CD13D5" w:rsidRDefault="00672602" w:rsidP="001A69D6">
            <w:pPr>
              <w:pStyle w:val="Heading2"/>
              <w:numPr>
                <w:ilvl w:val="0"/>
                <w:numId w:val="6"/>
              </w:numPr>
            </w:pPr>
            <w:r w:rsidRPr="00CD13D5">
              <w:t>Please select any linked data or data products being requested</w:t>
            </w:r>
          </w:p>
          <w:p w14:paraId="6920580C" w14:textId="77777777" w:rsidR="00CE5447" w:rsidRPr="00CD13D5" w:rsidRDefault="00CE5447" w:rsidP="001A69D6">
            <w:pPr>
              <w:rPr>
                <w:rFonts w:cs="Arial"/>
                <w:szCs w:val="20"/>
              </w:rPr>
            </w:pPr>
          </w:p>
          <w:p w14:paraId="4FA2AC06" w14:textId="77777777" w:rsidR="00672602" w:rsidRPr="00CD13D5" w:rsidRDefault="00CE5447" w:rsidP="001A69D6">
            <w:pPr>
              <w:rPr>
                <w:rFonts w:cs="Arial"/>
                <w:szCs w:val="20"/>
              </w:rPr>
            </w:pPr>
            <w:r w:rsidRPr="00CD13D5">
              <w:rPr>
                <w:rFonts w:cs="Arial"/>
                <w:b/>
                <w:szCs w:val="20"/>
              </w:rPr>
              <w:t>Patient Level Data</w:t>
            </w:r>
            <w:r w:rsidR="00301A10" w:rsidRPr="00CD13D5">
              <w:rPr>
                <w:rFonts w:cs="Arial"/>
                <w:b/>
                <w:szCs w:val="20"/>
              </w:rPr>
              <w:t xml:space="preserve"> </w:t>
            </w:r>
            <w:r w:rsidR="00301A10" w:rsidRPr="00CD13D5">
              <w:rPr>
                <w:rFonts w:cs="Arial"/>
                <w:szCs w:val="20"/>
              </w:rPr>
              <w:t>(place ‘</w:t>
            </w:r>
            <w:r w:rsidR="00301A10" w:rsidRPr="00CD13D5">
              <w:rPr>
                <w:rFonts w:cs="Arial"/>
                <w:b/>
                <w:szCs w:val="20"/>
              </w:rPr>
              <w:t>X</w:t>
            </w:r>
            <w:r w:rsidR="00301A10" w:rsidRPr="00CD13D5">
              <w:rPr>
                <w:rFonts w:cs="Arial"/>
                <w:szCs w:val="20"/>
              </w:rPr>
              <w:t>’ in all boxes that apply)</w:t>
            </w:r>
          </w:p>
          <w:p w14:paraId="03065DF3" w14:textId="01C72352" w:rsidR="00301A10" w:rsidRPr="00CD13D5" w:rsidRDefault="00301A10" w:rsidP="001A69D6">
            <w:pPr>
              <w:rPr>
                <w:rFonts w:cs="Arial"/>
                <w:b/>
                <w:szCs w:val="20"/>
              </w:rPr>
            </w:pPr>
          </w:p>
        </w:tc>
      </w:tr>
      <w:tr w:rsidR="00672602" w:rsidRPr="00CD13D5" w14:paraId="056230A6" w14:textId="77777777" w:rsidTr="001A69D6">
        <w:tblPrEx>
          <w:tblLook w:val="01E0" w:firstRow="1" w:lastRow="1" w:firstColumn="1" w:lastColumn="1" w:noHBand="0" w:noVBand="0"/>
        </w:tblPrEx>
        <w:trPr>
          <w:jc w:val="center"/>
        </w:trPr>
        <w:tc>
          <w:tcPr>
            <w:tcW w:w="10063" w:type="dxa"/>
            <w:tcBorders>
              <w:top w:val="nil"/>
              <w:bottom w:val="nil"/>
            </w:tcBorders>
            <w:shd w:val="clear" w:color="auto" w:fill="auto"/>
          </w:tcPr>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0"/>
              <w:gridCol w:w="766"/>
              <w:gridCol w:w="4173"/>
              <w:gridCol w:w="709"/>
            </w:tblGrid>
            <w:tr w:rsidR="00FA5569" w:rsidRPr="00CD13D5" w14:paraId="58DD7F76" w14:textId="77777777" w:rsidTr="00470E92">
              <w:trPr>
                <w:cantSplit/>
                <w:trHeight w:hRule="exact" w:val="567"/>
              </w:trPr>
              <w:tc>
                <w:tcPr>
                  <w:tcW w:w="4150" w:type="dxa"/>
                  <w:shd w:val="clear" w:color="auto" w:fill="auto"/>
                </w:tcPr>
                <w:p w14:paraId="6868CDB6" w14:textId="77777777" w:rsidR="00FA5569" w:rsidRPr="00CD13D5" w:rsidRDefault="00FA5569" w:rsidP="001A69D6">
                  <w:pPr>
                    <w:rPr>
                      <w:rFonts w:cs="Arial"/>
                      <w:szCs w:val="20"/>
                    </w:rPr>
                  </w:pPr>
                  <w:r w:rsidRPr="00CD13D5">
                    <w:rPr>
                      <w:rFonts w:cs="Arial"/>
                      <w:szCs w:val="20"/>
                    </w:rPr>
                    <w:t>ONS Death Registration Data</w:t>
                  </w:r>
                </w:p>
                <w:p w14:paraId="3DF13507" w14:textId="493098F5" w:rsidR="00FA5569" w:rsidRPr="00CD13D5" w:rsidRDefault="00FA5569" w:rsidP="001A69D6">
                  <w:pPr>
                    <w:rPr>
                      <w:rFonts w:cs="Arial"/>
                      <w:szCs w:val="20"/>
                    </w:rPr>
                  </w:pPr>
                </w:p>
              </w:tc>
              <w:tc>
                <w:tcPr>
                  <w:tcW w:w="766" w:type="dxa"/>
                  <w:shd w:val="clear" w:color="auto" w:fill="auto"/>
                </w:tcPr>
                <w:p w14:paraId="698C1B2B" w14:textId="29BF37AC" w:rsidR="00FA5569" w:rsidRPr="00CD13D5" w:rsidRDefault="008D7424" w:rsidP="001A69D6">
                  <w:pPr>
                    <w:rPr>
                      <w:rFonts w:cs="Arial"/>
                      <w:szCs w:val="20"/>
                    </w:rPr>
                  </w:pPr>
                  <w:r>
                    <w:rPr>
                      <w:rFonts w:cs="Arial"/>
                      <w:szCs w:val="20"/>
                    </w:rPr>
                    <w:t>X</w:t>
                  </w:r>
                </w:p>
              </w:tc>
              <w:tc>
                <w:tcPr>
                  <w:tcW w:w="4882" w:type="dxa"/>
                  <w:gridSpan w:val="2"/>
                  <w:tcBorders>
                    <w:top w:val="nil"/>
                    <w:bottom w:val="nil"/>
                    <w:right w:val="nil"/>
                  </w:tcBorders>
                  <w:shd w:val="clear" w:color="auto" w:fill="auto"/>
                </w:tcPr>
                <w:p w14:paraId="433B66A4" w14:textId="2FD81762" w:rsidR="00FA5569" w:rsidRPr="00CD13D5" w:rsidRDefault="00FA5569" w:rsidP="001A69D6">
                  <w:pPr>
                    <w:rPr>
                      <w:rFonts w:cs="Arial"/>
                      <w:szCs w:val="20"/>
                    </w:rPr>
                  </w:pPr>
                </w:p>
              </w:tc>
            </w:tr>
            <w:tr w:rsidR="00672602" w:rsidRPr="00CD13D5" w14:paraId="1C55E803" w14:textId="77777777" w:rsidTr="00470E92">
              <w:trPr>
                <w:cantSplit/>
                <w:trHeight w:hRule="exact" w:val="567"/>
              </w:trPr>
              <w:tc>
                <w:tcPr>
                  <w:tcW w:w="4150" w:type="dxa"/>
                  <w:shd w:val="clear" w:color="auto" w:fill="auto"/>
                </w:tcPr>
                <w:p w14:paraId="3D6A995C" w14:textId="77777777" w:rsidR="00672602" w:rsidRPr="00CD13D5" w:rsidRDefault="00672602" w:rsidP="001A69D6">
                  <w:pPr>
                    <w:rPr>
                      <w:rFonts w:cs="Arial"/>
                      <w:szCs w:val="20"/>
                    </w:rPr>
                  </w:pPr>
                  <w:r w:rsidRPr="00CD13D5">
                    <w:rPr>
                      <w:rFonts w:cs="Arial"/>
                      <w:szCs w:val="20"/>
                    </w:rPr>
                    <w:t>HES Admitted Patient Care</w:t>
                  </w:r>
                </w:p>
                <w:p w14:paraId="446FC28F" w14:textId="17A8AFBD" w:rsidR="000578C2" w:rsidRPr="00CD13D5" w:rsidRDefault="000578C2" w:rsidP="001A69D6">
                  <w:pPr>
                    <w:rPr>
                      <w:rFonts w:cs="Arial"/>
                      <w:szCs w:val="20"/>
                    </w:rPr>
                  </w:pPr>
                </w:p>
              </w:tc>
              <w:tc>
                <w:tcPr>
                  <w:tcW w:w="766" w:type="dxa"/>
                  <w:shd w:val="clear" w:color="auto" w:fill="auto"/>
                </w:tcPr>
                <w:p w14:paraId="0E87C8FC" w14:textId="27C794F5" w:rsidR="00672602" w:rsidRPr="00CD13D5" w:rsidRDefault="008D7424" w:rsidP="001A69D6">
                  <w:pPr>
                    <w:rPr>
                      <w:rFonts w:cs="Arial"/>
                      <w:szCs w:val="20"/>
                    </w:rPr>
                  </w:pPr>
                  <w:r>
                    <w:rPr>
                      <w:rFonts w:cs="Arial"/>
                      <w:szCs w:val="20"/>
                    </w:rPr>
                    <w:t>X</w:t>
                  </w:r>
                </w:p>
              </w:tc>
              <w:tc>
                <w:tcPr>
                  <w:tcW w:w="4173" w:type="dxa"/>
                  <w:tcBorders>
                    <w:top w:val="nil"/>
                    <w:bottom w:val="nil"/>
                    <w:right w:val="nil"/>
                  </w:tcBorders>
                  <w:shd w:val="clear" w:color="auto" w:fill="auto"/>
                </w:tcPr>
                <w:p w14:paraId="0A3627A5" w14:textId="1C1D6C7F" w:rsidR="00672602" w:rsidRPr="00CD13D5" w:rsidRDefault="00672602" w:rsidP="001A69D6">
                  <w:pPr>
                    <w:rPr>
                      <w:rFonts w:cs="Arial"/>
                      <w:szCs w:val="20"/>
                    </w:rPr>
                  </w:pPr>
                </w:p>
              </w:tc>
              <w:tc>
                <w:tcPr>
                  <w:tcW w:w="709" w:type="dxa"/>
                  <w:tcBorders>
                    <w:top w:val="nil"/>
                    <w:left w:val="nil"/>
                    <w:bottom w:val="nil"/>
                    <w:right w:val="nil"/>
                  </w:tcBorders>
                  <w:shd w:val="clear" w:color="auto" w:fill="auto"/>
                </w:tcPr>
                <w:p w14:paraId="5A9B8BFA" w14:textId="77777777" w:rsidR="00672602" w:rsidRPr="00CD13D5" w:rsidRDefault="00672602" w:rsidP="001A69D6">
                  <w:pPr>
                    <w:rPr>
                      <w:rFonts w:cs="Arial"/>
                      <w:szCs w:val="20"/>
                    </w:rPr>
                  </w:pPr>
                </w:p>
              </w:tc>
            </w:tr>
            <w:tr w:rsidR="00CE5447" w:rsidRPr="00CD13D5" w14:paraId="14FE410F" w14:textId="77777777" w:rsidTr="00470E92">
              <w:trPr>
                <w:cantSplit/>
                <w:trHeight w:hRule="exact" w:val="567"/>
              </w:trPr>
              <w:tc>
                <w:tcPr>
                  <w:tcW w:w="4150" w:type="dxa"/>
                  <w:shd w:val="clear" w:color="auto" w:fill="auto"/>
                </w:tcPr>
                <w:p w14:paraId="26B28E0A" w14:textId="77777777" w:rsidR="00CE5447" w:rsidRPr="00CD13D5" w:rsidRDefault="00CE5447" w:rsidP="001A69D6">
                  <w:pPr>
                    <w:rPr>
                      <w:rFonts w:cs="Arial"/>
                      <w:szCs w:val="20"/>
                    </w:rPr>
                  </w:pPr>
                  <w:r w:rsidRPr="00CD13D5">
                    <w:rPr>
                      <w:rFonts w:cs="Arial"/>
                      <w:szCs w:val="20"/>
                    </w:rPr>
                    <w:t>HES Outpatient</w:t>
                  </w:r>
                </w:p>
              </w:tc>
              <w:tc>
                <w:tcPr>
                  <w:tcW w:w="766" w:type="dxa"/>
                  <w:shd w:val="clear" w:color="auto" w:fill="auto"/>
                </w:tcPr>
                <w:p w14:paraId="2AFFCC08" w14:textId="77777777" w:rsidR="00CE5447" w:rsidRPr="00CD13D5" w:rsidRDefault="00CE5447" w:rsidP="001A69D6">
                  <w:pPr>
                    <w:rPr>
                      <w:rFonts w:cs="Arial"/>
                      <w:szCs w:val="20"/>
                    </w:rPr>
                  </w:pPr>
                </w:p>
              </w:tc>
              <w:tc>
                <w:tcPr>
                  <w:tcW w:w="4173" w:type="dxa"/>
                  <w:tcBorders>
                    <w:top w:val="nil"/>
                    <w:right w:val="nil"/>
                  </w:tcBorders>
                  <w:shd w:val="clear" w:color="auto" w:fill="auto"/>
                </w:tcPr>
                <w:p w14:paraId="324323CD" w14:textId="13902663" w:rsidR="00CE5447" w:rsidRPr="00CD13D5" w:rsidRDefault="00CE5447" w:rsidP="001A69D6">
                  <w:pPr>
                    <w:rPr>
                      <w:rFonts w:cs="Arial"/>
                      <w:szCs w:val="20"/>
                    </w:rPr>
                  </w:pPr>
                </w:p>
              </w:tc>
              <w:tc>
                <w:tcPr>
                  <w:tcW w:w="709" w:type="dxa"/>
                  <w:tcBorders>
                    <w:top w:val="nil"/>
                    <w:left w:val="nil"/>
                    <w:bottom w:val="single" w:sz="4" w:space="0" w:color="auto"/>
                    <w:right w:val="nil"/>
                  </w:tcBorders>
                  <w:shd w:val="clear" w:color="auto" w:fill="auto"/>
                </w:tcPr>
                <w:p w14:paraId="54C14198" w14:textId="77777777" w:rsidR="00CE5447" w:rsidRPr="00CD13D5" w:rsidRDefault="00CE5447" w:rsidP="001A69D6">
                  <w:pPr>
                    <w:rPr>
                      <w:rFonts w:cs="Arial"/>
                      <w:szCs w:val="20"/>
                    </w:rPr>
                  </w:pPr>
                </w:p>
              </w:tc>
            </w:tr>
            <w:tr w:rsidR="00470E92" w:rsidRPr="00CD13D5" w14:paraId="3DC14B0A" w14:textId="77777777" w:rsidTr="00470E92">
              <w:trPr>
                <w:cantSplit/>
                <w:trHeight w:hRule="exact" w:val="567"/>
              </w:trPr>
              <w:tc>
                <w:tcPr>
                  <w:tcW w:w="4150" w:type="dxa"/>
                  <w:shd w:val="clear" w:color="auto" w:fill="auto"/>
                </w:tcPr>
                <w:p w14:paraId="791291F2" w14:textId="77777777" w:rsidR="00470E92" w:rsidRPr="00CD13D5" w:rsidRDefault="00470E92" w:rsidP="001A69D6">
                  <w:pPr>
                    <w:rPr>
                      <w:rFonts w:cs="Arial"/>
                      <w:szCs w:val="20"/>
                    </w:rPr>
                  </w:pPr>
                  <w:r w:rsidRPr="00CD13D5">
                    <w:rPr>
                      <w:rFonts w:cs="Arial"/>
                      <w:szCs w:val="20"/>
                    </w:rPr>
                    <w:t>HES Accident and Emergency</w:t>
                  </w:r>
                </w:p>
              </w:tc>
              <w:tc>
                <w:tcPr>
                  <w:tcW w:w="766" w:type="dxa"/>
                  <w:shd w:val="clear" w:color="auto" w:fill="auto"/>
                </w:tcPr>
                <w:p w14:paraId="5875E547" w14:textId="1E8743EE" w:rsidR="00470E92" w:rsidRPr="00CD13D5" w:rsidRDefault="00253C18" w:rsidP="001A69D6">
                  <w:pPr>
                    <w:rPr>
                      <w:rFonts w:cs="Arial"/>
                      <w:szCs w:val="20"/>
                    </w:rPr>
                  </w:pPr>
                  <w:r>
                    <w:rPr>
                      <w:rFonts w:cs="Arial"/>
                      <w:szCs w:val="20"/>
                    </w:rPr>
                    <w:t>X</w:t>
                  </w:r>
                </w:p>
              </w:tc>
              <w:tc>
                <w:tcPr>
                  <w:tcW w:w="4173" w:type="dxa"/>
                  <w:shd w:val="clear" w:color="auto" w:fill="auto"/>
                </w:tcPr>
                <w:p w14:paraId="3DE9B214" w14:textId="228A0461" w:rsidR="00470E92" w:rsidRPr="00CD13D5" w:rsidRDefault="00470E92" w:rsidP="001A69D6">
                  <w:pPr>
                    <w:rPr>
                      <w:rFonts w:cs="Arial"/>
                      <w:szCs w:val="20"/>
                    </w:rPr>
                  </w:pPr>
                  <w:r>
                    <w:t>NCRAS Cancer Registration Data</w:t>
                  </w:r>
                </w:p>
              </w:tc>
              <w:tc>
                <w:tcPr>
                  <w:tcW w:w="709" w:type="dxa"/>
                  <w:tcBorders>
                    <w:top w:val="single" w:sz="4" w:space="0" w:color="auto"/>
                  </w:tcBorders>
                  <w:shd w:val="clear" w:color="auto" w:fill="auto"/>
                </w:tcPr>
                <w:p w14:paraId="49618893" w14:textId="77777777" w:rsidR="00470E92" w:rsidRPr="00CD13D5" w:rsidRDefault="00470E92" w:rsidP="001A69D6">
                  <w:pPr>
                    <w:rPr>
                      <w:rFonts w:cs="Arial"/>
                      <w:szCs w:val="20"/>
                    </w:rPr>
                  </w:pPr>
                </w:p>
              </w:tc>
            </w:tr>
            <w:tr w:rsidR="00470E92" w:rsidRPr="00CD13D5" w14:paraId="4AD09128" w14:textId="77777777" w:rsidTr="00470E92">
              <w:trPr>
                <w:cantSplit/>
                <w:trHeight w:hRule="exact" w:val="567"/>
              </w:trPr>
              <w:tc>
                <w:tcPr>
                  <w:tcW w:w="4150" w:type="dxa"/>
                  <w:tcBorders>
                    <w:bottom w:val="single" w:sz="4" w:space="0" w:color="auto"/>
                  </w:tcBorders>
                  <w:shd w:val="clear" w:color="auto" w:fill="auto"/>
                </w:tcPr>
                <w:p w14:paraId="3B689E18" w14:textId="77777777" w:rsidR="00470E92" w:rsidRPr="00CD13D5" w:rsidRDefault="00470E92" w:rsidP="001A69D6">
                  <w:pPr>
                    <w:rPr>
                      <w:rFonts w:cs="Arial"/>
                      <w:szCs w:val="20"/>
                    </w:rPr>
                  </w:pPr>
                  <w:r w:rsidRPr="00CD13D5">
                    <w:rPr>
                      <w:rFonts w:cs="Arial"/>
                      <w:szCs w:val="20"/>
                    </w:rPr>
                    <w:t>HES Diagnostic Imaging Dataset</w:t>
                  </w:r>
                </w:p>
              </w:tc>
              <w:tc>
                <w:tcPr>
                  <w:tcW w:w="766" w:type="dxa"/>
                  <w:tcBorders>
                    <w:bottom w:val="single" w:sz="4" w:space="0" w:color="auto"/>
                  </w:tcBorders>
                  <w:shd w:val="clear" w:color="auto" w:fill="auto"/>
                </w:tcPr>
                <w:p w14:paraId="3785C1EE" w14:textId="77777777" w:rsidR="00470E92" w:rsidRPr="00CD13D5" w:rsidRDefault="00470E92" w:rsidP="001A69D6">
                  <w:pPr>
                    <w:rPr>
                      <w:rFonts w:cs="Arial"/>
                      <w:szCs w:val="20"/>
                    </w:rPr>
                  </w:pPr>
                </w:p>
              </w:tc>
              <w:tc>
                <w:tcPr>
                  <w:tcW w:w="4173" w:type="dxa"/>
                  <w:shd w:val="clear" w:color="auto" w:fill="auto"/>
                </w:tcPr>
                <w:p w14:paraId="216D9EAE" w14:textId="7FE9DB44" w:rsidR="00470E92" w:rsidRPr="00CD13D5" w:rsidRDefault="00470E92" w:rsidP="001A69D6">
                  <w:pPr>
                    <w:rPr>
                      <w:rFonts w:cs="Arial"/>
                      <w:szCs w:val="20"/>
                    </w:rPr>
                  </w:pPr>
                  <w:r>
                    <w:t>NCRAS Cancer Patient Experience Survey (CPES) data</w:t>
                  </w:r>
                </w:p>
              </w:tc>
              <w:tc>
                <w:tcPr>
                  <w:tcW w:w="709" w:type="dxa"/>
                  <w:shd w:val="clear" w:color="auto" w:fill="auto"/>
                </w:tcPr>
                <w:p w14:paraId="056D3D2D" w14:textId="77777777" w:rsidR="00470E92" w:rsidRPr="00CD13D5" w:rsidRDefault="00470E92" w:rsidP="001A69D6">
                  <w:pPr>
                    <w:rPr>
                      <w:rFonts w:cs="Arial"/>
                      <w:szCs w:val="20"/>
                    </w:rPr>
                  </w:pPr>
                </w:p>
              </w:tc>
            </w:tr>
            <w:tr w:rsidR="00470E92" w:rsidRPr="00CD13D5" w14:paraId="2510876A" w14:textId="77777777" w:rsidTr="00470E92">
              <w:trPr>
                <w:cantSplit/>
                <w:trHeight w:hRule="exact" w:val="567"/>
              </w:trPr>
              <w:tc>
                <w:tcPr>
                  <w:tcW w:w="4150" w:type="dxa"/>
                  <w:tcBorders>
                    <w:bottom w:val="single" w:sz="4" w:space="0" w:color="auto"/>
                  </w:tcBorders>
                  <w:shd w:val="clear" w:color="auto" w:fill="auto"/>
                </w:tcPr>
                <w:p w14:paraId="3E5D9302" w14:textId="77777777" w:rsidR="00470E92" w:rsidRPr="00CD13D5" w:rsidRDefault="00470E92" w:rsidP="001A69D6">
                  <w:pPr>
                    <w:rPr>
                      <w:rFonts w:cs="Arial"/>
                      <w:szCs w:val="20"/>
                    </w:rPr>
                  </w:pPr>
                  <w:r w:rsidRPr="00CD13D5">
                    <w:rPr>
                      <w:rFonts w:cs="Arial"/>
                      <w:szCs w:val="20"/>
                    </w:rPr>
                    <w:t>HES PROMS (Patient Reported Outcomes Measure)</w:t>
                  </w:r>
                </w:p>
              </w:tc>
              <w:tc>
                <w:tcPr>
                  <w:tcW w:w="766" w:type="dxa"/>
                  <w:tcBorders>
                    <w:bottom w:val="single" w:sz="4" w:space="0" w:color="auto"/>
                  </w:tcBorders>
                  <w:shd w:val="clear" w:color="auto" w:fill="auto"/>
                </w:tcPr>
                <w:p w14:paraId="26DD87A6" w14:textId="77777777" w:rsidR="00470E92" w:rsidRPr="00CD13D5" w:rsidRDefault="00470E92" w:rsidP="001A69D6">
                  <w:pPr>
                    <w:rPr>
                      <w:rFonts w:cs="Arial"/>
                      <w:szCs w:val="20"/>
                    </w:rPr>
                  </w:pPr>
                </w:p>
              </w:tc>
              <w:tc>
                <w:tcPr>
                  <w:tcW w:w="4173" w:type="dxa"/>
                  <w:tcBorders>
                    <w:bottom w:val="single" w:sz="4" w:space="0" w:color="auto"/>
                  </w:tcBorders>
                  <w:shd w:val="clear" w:color="auto" w:fill="auto"/>
                </w:tcPr>
                <w:p w14:paraId="1BA9AF91" w14:textId="5FC864DA" w:rsidR="00470E92" w:rsidRPr="00CD13D5" w:rsidRDefault="00470E92" w:rsidP="001A69D6">
                  <w:pPr>
                    <w:rPr>
                      <w:rFonts w:cs="Arial"/>
                      <w:szCs w:val="20"/>
                    </w:rPr>
                  </w:pPr>
                  <w:r>
                    <w:t>NCRAS Systemic Anti-Cancer Treatment (SACT) data</w:t>
                  </w:r>
                </w:p>
              </w:tc>
              <w:tc>
                <w:tcPr>
                  <w:tcW w:w="709" w:type="dxa"/>
                  <w:shd w:val="clear" w:color="auto" w:fill="auto"/>
                </w:tcPr>
                <w:p w14:paraId="57C1135C" w14:textId="77777777" w:rsidR="00470E92" w:rsidRPr="00CD13D5" w:rsidRDefault="00470E92" w:rsidP="001A69D6">
                  <w:pPr>
                    <w:rPr>
                      <w:rFonts w:cs="Arial"/>
                      <w:szCs w:val="20"/>
                    </w:rPr>
                  </w:pPr>
                </w:p>
              </w:tc>
            </w:tr>
            <w:tr w:rsidR="00470E92" w:rsidRPr="00CD13D5" w14:paraId="10913A97"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0627C2EE" w14:textId="2C05BFED" w:rsidR="00470E92" w:rsidRPr="00CD13D5" w:rsidRDefault="00470E92" w:rsidP="001A69D6">
                  <w:pPr>
                    <w:rPr>
                      <w:rFonts w:cs="Arial"/>
                      <w:szCs w:val="20"/>
                    </w:rPr>
                  </w:pPr>
                  <w:r w:rsidRPr="00CD13D5">
                    <w:rPr>
                      <w:rFonts w:cs="Arial"/>
                      <w:szCs w:val="20"/>
                    </w:rPr>
                    <w:t>CPRD Mother Baby Link</w:t>
                  </w: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3E6DDAA2" w14:textId="77777777" w:rsidR="00470E92" w:rsidRPr="00CD13D5" w:rsidRDefault="00470E92" w:rsidP="001A69D6">
                  <w:pPr>
                    <w:rPr>
                      <w:rFonts w:cs="Arial"/>
                      <w:szCs w:val="20"/>
                    </w:rPr>
                  </w:pPr>
                </w:p>
              </w:tc>
              <w:tc>
                <w:tcPr>
                  <w:tcW w:w="4173" w:type="dxa"/>
                  <w:tcBorders>
                    <w:left w:val="single" w:sz="4" w:space="0" w:color="auto"/>
                    <w:bottom w:val="single" w:sz="4" w:space="0" w:color="auto"/>
                  </w:tcBorders>
                  <w:shd w:val="clear" w:color="auto" w:fill="auto"/>
                </w:tcPr>
                <w:p w14:paraId="17695F35" w14:textId="00DE84A8" w:rsidR="00470E92" w:rsidRPr="00CD13D5" w:rsidRDefault="00470E92" w:rsidP="001A69D6">
                  <w:pPr>
                    <w:rPr>
                      <w:rFonts w:cs="Arial"/>
                      <w:szCs w:val="20"/>
                    </w:rPr>
                  </w:pPr>
                  <w:r>
                    <w:t>NCRAS National Radiotherapy Dataset (RTDS) data</w:t>
                  </w:r>
                </w:p>
              </w:tc>
              <w:tc>
                <w:tcPr>
                  <w:tcW w:w="709" w:type="dxa"/>
                  <w:tcBorders>
                    <w:bottom w:val="single" w:sz="4" w:space="0" w:color="auto"/>
                  </w:tcBorders>
                  <w:shd w:val="clear" w:color="auto" w:fill="auto"/>
                </w:tcPr>
                <w:p w14:paraId="40762C60" w14:textId="77777777" w:rsidR="00470E92" w:rsidRPr="00CD13D5" w:rsidRDefault="00470E92" w:rsidP="001A69D6">
                  <w:pPr>
                    <w:rPr>
                      <w:rFonts w:cs="Arial"/>
                      <w:szCs w:val="20"/>
                    </w:rPr>
                  </w:pPr>
                </w:p>
              </w:tc>
            </w:tr>
            <w:tr w:rsidR="00470E92" w:rsidRPr="00CD13D5" w14:paraId="5B056A80"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7FDCAF72" w14:textId="4F00F128" w:rsidR="00470E92" w:rsidRPr="00CD13D5" w:rsidRDefault="00470E92" w:rsidP="001A69D6">
                  <w:pPr>
                    <w:rPr>
                      <w:rFonts w:cs="Arial"/>
                      <w:szCs w:val="20"/>
                    </w:rPr>
                  </w:pPr>
                  <w:r w:rsidRPr="00CD13D5">
                    <w:rPr>
                      <w:rFonts w:cs="Arial"/>
                      <w:szCs w:val="20"/>
                    </w:rPr>
                    <w:t>Pregnancy Register</w:t>
                  </w: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50439E33" w14:textId="77777777" w:rsidR="00470E92" w:rsidRPr="00CD13D5" w:rsidRDefault="00470E92" w:rsidP="001A69D6">
                  <w:pPr>
                    <w:rPr>
                      <w:rFonts w:cs="Arial"/>
                      <w:szCs w:val="20"/>
                    </w:rPr>
                  </w:pPr>
                </w:p>
              </w:tc>
              <w:tc>
                <w:tcPr>
                  <w:tcW w:w="4173" w:type="dxa"/>
                  <w:tcBorders>
                    <w:left w:val="single" w:sz="4" w:space="0" w:color="auto"/>
                    <w:bottom w:val="single" w:sz="4" w:space="0" w:color="auto"/>
                    <w:right w:val="single" w:sz="4" w:space="0" w:color="auto"/>
                  </w:tcBorders>
                  <w:shd w:val="clear" w:color="auto" w:fill="auto"/>
                </w:tcPr>
                <w:p w14:paraId="1054F2DC" w14:textId="28299442" w:rsidR="00470E92" w:rsidRPr="00CD13D5" w:rsidRDefault="00470E92" w:rsidP="001A69D6">
                  <w:pPr>
                    <w:rPr>
                      <w:rFonts w:cs="Arial"/>
                      <w:szCs w:val="20"/>
                    </w:rPr>
                  </w:pPr>
                  <w:r>
                    <w:t xml:space="preserve">NCRAS Quality of Life Cancer </w:t>
                  </w:r>
                  <w:r w:rsidR="00BF0BC8">
                    <w:t xml:space="preserve">Survivors </w:t>
                  </w:r>
                  <w:r>
                    <w:t>Pilot</w:t>
                  </w:r>
                  <w:r w:rsidR="005F32B1">
                    <w:t xml:space="preserve"> (QOLP)</w:t>
                  </w:r>
                </w:p>
              </w:tc>
              <w:tc>
                <w:tcPr>
                  <w:tcW w:w="709" w:type="dxa"/>
                  <w:tcBorders>
                    <w:left w:val="single" w:sz="4" w:space="0" w:color="auto"/>
                    <w:bottom w:val="single" w:sz="4" w:space="0" w:color="auto"/>
                    <w:right w:val="single" w:sz="4" w:space="0" w:color="auto"/>
                  </w:tcBorders>
                  <w:shd w:val="clear" w:color="auto" w:fill="auto"/>
                </w:tcPr>
                <w:p w14:paraId="52171820" w14:textId="107DB56D" w:rsidR="00470E92" w:rsidRPr="00CD13D5" w:rsidRDefault="00470E92" w:rsidP="001A69D6">
                  <w:pPr>
                    <w:rPr>
                      <w:rFonts w:cs="Arial"/>
                      <w:szCs w:val="20"/>
                    </w:rPr>
                  </w:pPr>
                </w:p>
              </w:tc>
            </w:tr>
            <w:tr w:rsidR="00470E92" w:rsidRPr="00CD13D5" w14:paraId="3D6DF457" w14:textId="77777777" w:rsidTr="00470E92">
              <w:trPr>
                <w:cantSplit/>
                <w:trHeight w:hRule="exact" w:val="567"/>
              </w:trPr>
              <w:tc>
                <w:tcPr>
                  <w:tcW w:w="4150" w:type="dxa"/>
                  <w:tcBorders>
                    <w:top w:val="single" w:sz="4" w:space="0" w:color="auto"/>
                    <w:left w:val="single" w:sz="4" w:space="0" w:color="auto"/>
                    <w:bottom w:val="single" w:sz="4" w:space="0" w:color="auto"/>
                    <w:right w:val="single" w:sz="4" w:space="0" w:color="auto"/>
                  </w:tcBorders>
                  <w:shd w:val="clear" w:color="auto" w:fill="auto"/>
                </w:tcPr>
                <w:p w14:paraId="17832C8C" w14:textId="3D35F6F9" w:rsidR="00470E92" w:rsidRPr="00CD13D5" w:rsidRDefault="00470E92" w:rsidP="001A69D6">
                  <w:pPr>
                    <w:rPr>
                      <w:rFonts w:cs="Arial"/>
                      <w:szCs w:val="20"/>
                    </w:rPr>
                  </w:pPr>
                  <w:r w:rsidRPr="00CD13D5">
                    <w:rPr>
                      <w:rFonts w:cs="Arial"/>
                      <w:szCs w:val="20"/>
                    </w:rPr>
                    <w:t>Mental Health Data Set (MHDS)</w:t>
                  </w:r>
                </w:p>
                <w:p w14:paraId="620AF288" w14:textId="77777777" w:rsidR="00470E92" w:rsidRPr="00CD13D5" w:rsidRDefault="00470E92" w:rsidP="001A69D6">
                  <w:pPr>
                    <w:rPr>
                      <w:rFonts w:cs="Arial"/>
                      <w:szCs w:val="20"/>
                    </w:rPr>
                  </w:pPr>
                </w:p>
              </w:tc>
              <w:tc>
                <w:tcPr>
                  <w:tcW w:w="766" w:type="dxa"/>
                  <w:tcBorders>
                    <w:top w:val="single" w:sz="4" w:space="0" w:color="auto"/>
                    <w:left w:val="single" w:sz="4" w:space="0" w:color="auto"/>
                    <w:bottom w:val="single" w:sz="4" w:space="0" w:color="auto"/>
                    <w:right w:val="single" w:sz="4" w:space="0" w:color="auto"/>
                  </w:tcBorders>
                  <w:shd w:val="clear" w:color="auto" w:fill="auto"/>
                </w:tcPr>
                <w:p w14:paraId="59072D90" w14:textId="77777777" w:rsidR="00470E92" w:rsidRPr="00CD13D5" w:rsidRDefault="00470E92" w:rsidP="001A69D6">
                  <w:pPr>
                    <w:rPr>
                      <w:rFonts w:cs="Arial"/>
                      <w:szCs w:val="20"/>
                    </w:rPr>
                  </w:pPr>
                </w:p>
              </w:tc>
              <w:tc>
                <w:tcPr>
                  <w:tcW w:w="4173" w:type="dxa"/>
                  <w:tcBorders>
                    <w:left w:val="single" w:sz="4" w:space="0" w:color="auto"/>
                    <w:bottom w:val="single" w:sz="4" w:space="0" w:color="auto"/>
                    <w:right w:val="single" w:sz="4" w:space="0" w:color="auto"/>
                  </w:tcBorders>
                  <w:shd w:val="clear" w:color="auto" w:fill="auto"/>
                </w:tcPr>
                <w:p w14:paraId="46F20985" w14:textId="0446C4D4" w:rsidR="00470E92" w:rsidRPr="00CD13D5" w:rsidRDefault="00470E92" w:rsidP="001A69D6">
                  <w:pPr>
                    <w:rPr>
                      <w:rFonts w:cs="Arial"/>
                      <w:szCs w:val="20"/>
                    </w:rPr>
                  </w:pPr>
                  <w:r>
                    <w:t xml:space="preserve">NCRAS Quality of Life </w:t>
                  </w:r>
                  <w:r w:rsidR="005B17C5">
                    <w:t xml:space="preserve">Colorectal </w:t>
                  </w:r>
                  <w:r>
                    <w:t xml:space="preserve">Cancer Survivors </w:t>
                  </w:r>
                  <w:r w:rsidR="000408E6">
                    <w:t>(QOLC)</w:t>
                  </w:r>
                </w:p>
              </w:tc>
              <w:tc>
                <w:tcPr>
                  <w:tcW w:w="709" w:type="dxa"/>
                  <w:tcBorders>
                    <w:left w:val="single" w:sz="4" w:space="0" w:color="auto"/>
                    <w:bottom w:val="single" w:sz="4" w:space="0" w:color="auto"/>
                    <w:right w:val="single" w:sz="4" w:space="0" w:color="auto"/>
                  </w:tcBorders>
                  <w:shd w:val="clear" w:color="auto" w:fill="auto"/>
                </w:tcPr>
                <w:p w14:paraId="58793833" w14:textId="6267E611" w:rsidR="00470E92" w:rsidRPr="00CD13D5" w:rsidRDefault="00470E92" w:rsidP="001A69D6">
                  <w:pPr>
                    <w:rPr>
                      <w:rFonts w:cs="Arial"/>
                      <w:szCs w:val="20"/>
                    </w:rPr>
                  </w:pPr>
                </w:p>
              </w:tc>
            </w:tr>
          </w:tbl>
          <w:p w14:paraId="183005FB" w14:textId="5DE3E2EB" w:rsidR="00672602" w:rsidRPr="00CD13D5" w:rsidRDefault="00301A10" w:rsidP="001A69D6">
            <w:pPr>
              <w:rPr>
                <w:rFonts w:cs="Arial"/>
                <w:szCs w:val="20"/>
              </w:rPr>
            </w:pPr>
            <w:r w:rsidRPr="00CD13D5">
              <w:rPr>
                <w:rFonts w:cs="Arial"/>
                <w:szCs w:val="20"/>
              </w:rPr>
              <w:t xml:space="preserve">  </w:t>
            </w:r>
          </w:p>
        </w:tc>
      </w:tr>
      <w:tr w:rsidR="00672602" w:rsidRPr="00CD13D5" w14:paraId="10450A79" w14:textId="77777777" w:rsidTr="001A69D6">
        <w:tblPrEx>
          <w:tblLook w:val="01E0" w:firstRow="1" w:lastRow="1" w:firstColumn="1" w:lastColumn="1" w:noHBand="0" w:noVBand="0"/>
        </w:tblPrEx>
        <w:trPr>
          <w:trHeight w:val="2106"/>
          <w:jc w:val="center"/>
        </w:trPr>
        <w:tc>
          <w:tcPr>
            <w:tcW w:w="10063" w:type="dxa"/>
            <w:tcBorders>
              <w:top w:val="nil"/>
            </w:tcBorders>
            <w:shd w:val="clear" w:color="auto" w:fill="auto"/>
          </w:tcPr>
          <w:p w14:paraId="15D05543" w14:textId="6603556B" w:rsidR="00CE5447" w:rsidRPr="00CD13D5" w:rsidRDefault="00CE5447" w:rsidP="001A69D6">
            <w:pPr>
              <w:rPr>
                <w:rFonts w:cs="Arial"/>
                <w:szCs w:val="20"/>
              </w:rPr>
            </w:pPr>
            <w:r w:rsidRPr="00CD13D5">
              <w:rPr>
                <w:rFonts w:cs="Arial"/>
                <w:b/>
                <w:szCs w:val="20"/>
              </w:rPr>
              <w:t>Area Level Data</w:t>
            </w:r>
            <w:r w:rsidR="00301A10" w:rsidRPr="00CD13D5">
              <w:rPr>
                <w:rFonts w:cs="Arial"/>
                <w:b/>
                <w:szCs w:val="20"/>
              </w:rPr>
              <w:t xml:space="preserve"> </w:t>
            </w:r>
            <w:r w:rsidR="00301A10" w:rsidRPr="00CD13D5">
              <w:rPr>
                <w:rFonts w:cs="Arial"/>
                <w:szCs w:val="20"/>
              </w:rPr>
              <w:t>(place ‘</w:t>
            </w:r>
            <w:r w:rsidR="00301A10" w:rsidRPr="00CD13D5">
              <w:rPr>
                <w:rFonts w:cs="Arial"/>
                <w:b/>
                <w:szCs w:val="20"/>
              </w:rPr>
              <w:t>X</w:t>
            </w:r>
            <w:r w:rsidR="00301A10" w:rsidRPr="00CD13D5">
              <w:rPr>
                <w:rFonts w:cs="Arial"/>
                <w:szCs w:val="20"/>
              </w:rPr>
              <w:t xml:space="preserve">’ in </w:t>
            </w:r>
            <w:r w:rsidR="00642D3E" w:rsidRPr="00CC6440">
              <w:rPr>
                <w:rFonts w:cs="Arial"/>
                <w:szCs w:val="20"/>
                <w:u w:val="single"/>
              </w:rPr>
              <w:t>one</w:t>
            </w:r>
            <w:r w:rsidR="00642D3E">
              <w:rPr>
                <w:rFonts w:cs="Arial"/>
                <w:szCs w:val="20"/>
              </w:rPr>
              <w:t xml:space="preserve"> </w:t>
            </w:r>
            <w:r w:rsidR="008C6023">
              <w:rPr>
                <w:rFonts w:cs="Arial"/>
                <w:szCs w:val="20"/>
              </w:rPr>
              <w:t>Practice / Patient</w:t>
            </w:r>
            <w:r w:rsidR="00301A10" w:rsidRPr="00CD13D5">
              <w:rPr>
                <w:rFonts w:cs="Arial"/>
                <w:szCs w:val="20"/>
              </w:rPr>
              <w:t xml:space="preserve"> </w:t>
            </w:r>
            <w:r w:rsidR="00CC6440">
              <w:rPr>
                <w:rFonts w:cs="Arial"/>
                <w:szCs w:val="20"/>
              </w:rPr>
              <w:t xml:space="preserve">level </w:t>
            </w:r>
            <w:r w:rsidR="00301A10" w:rsidRPr="00CD13D5">
              <w:rPr>
                <w:rFonts w:cs="Arial"/>
                <w:szCs w:val="20"/>
              </w:rPr>
              <w:t xml:space="preserve">box that </w:t>
            </w:r>
            <w:r w:rsidR="008C6023">
              <w:rPr>
                <w:rFonts w:cs="Arial"/>
                <w:szCs w:val="20"/>
              </w:rPr>
              <w:t xml:space="preserve">may </w:t>
            </w:r>
            <w:r w:rsidR="00301A10" w:rsidRPr="00CD13D5">
              <w:rPr>
                <w:rFonts w:cs="Arial"/>
                <w:szCs w:val="20"/>
              </w:rPr>
              <w:t>apply)</w:t>
            </w:r>
          </w:p>
          <w:p w14:paraId="1B60CCF2" w14:textId="77777777" w:rsidR="00301A10" w:rsidRPr="00CD13D5" w:rsidRDefault="00301A10" w:rsidP="001A69D6">
            <w:pPr>
              <w:rPr>
                <w:rFonts w:cs="Arial"/>
                <w:b/>
                <w:szCs w:val="20"/>
              </w:rPr>
            </w:pPr>
          </w:p>
          <w:tbl>
            <w:tblPr>
              <w:tblStyle w:val="TableGrid"/>
              <w:tblW w:w="9810" w:type="dxa"/>
              <w:tblLayout w:type="fixed"/>
              <w:tblLook w:val="04A0" w:firstRow="1" w:lastRow="0" w:firstColumn="1" w:lastColumn="0" w:noHBand="0" w:noVBand="1"/>
            </w:tblPr>
            <w:tblGrid>
              <w:gridCol w:w="4140"/>
              <w:gridCol w:w="709"/>
              <w:gridCol w:w="4252"/>
              <w:gridCol w:w="709"/>
            </w:tblGrid>
            <w:tr w:rsidR="00CE5447" w:rsidRPr="00CD13D5" w14:paraId="3E51F7D3" w14:textId="26FC1560" w:rsidTr="00CE5447">
              <w:tc>
                <w:tcPr>
                  <w:tcW w:w="4140" w:type="dxa"/>
                </w:tcPr>
                <w:p w14:paraId="1370E0BB" w14:textId="77777777" w:rsidR="00CE5447" w:rsidRPr="00CD13D5" w:rsidRDefault="00CE5447" w:rsidP="001A69D6">
                  <w:pPr>
                    <w:tabs>
                      <w:tab w:val="left" w:pos="4307"/>
                    </w:tabs>
                    <w:rPr>
                      <w:rFonts w:cs="Arial"/>
                      <w:b/>
                      <w:szCs w:val="20"/>
                    </w:rPr>
                  </w:pPr>
                  <w:r w:rsidRPr="00CD13D5">
                    <w:rPr>
                      <w:rFonts w:cs="Arial"/>
                      <w:b/>
                      <w:szCs w:val="20"/>
                    </w:rPr>
                    <w:t>Practice level (UK)</w:t>
                  </w:r>
                </w:p>
              </w:tc>
              <w:tc>
                <w:tcPr>
                  <w:tcW w:w="709" w:type="dxa"/>
                </w:tcPr>
                <w:p w14:paraId="4721C44C" w14:textId="77777777" w:rsidR="00CE5447" w:rsidRPr="00CD13D5" w:rsidRDefault="00CE5447" w:rsidP="001A69D6">
                  <w:pPr>
                    <w:tabs>
                      <w:tab w:val="left" w:pos="4307"/>
                    </w:tabs>
                    <w:rPr>
                      <w:rFonts w:cs="Arial"/>
                      <w:b/>
                      <w:szCs w:val="20"/>
                    </w:rPr>
                  </w:pPr>
                </w:p>
              </w:tc>
              <w:tc>
                <w:tcPr>
                  <w:tcW w:w="4252" w:type="dxa"/>
                </w:tcPr>
                <w:p w14:paraId="6C6A1FC7" w14:textId="2082707A" w:rsidR="00CE5447" w:rsidRPr="00CD13D5" w:rsidRDefault="00CE5447" w:rsidP="001A69D6">
                  <w:pPr>
                    <w:tabs>
                      <w:tab w:val="left" w:pos="4307"/>
                    </w:tabs>
                    <w:rPr>
                      <w:rFonts w:cs="Arial"/>
                      <w:b/>
                      <w:szCs w:val="20"/>
                    </w:rPr>
                  </w:pPr>
                  <w:r w:rsidRPr="00CD13D5">
                    <w:rPr>
                      <w:rFonts w:cs="Arial"/>
                      <w:b/>
                      <w:szCs w:val="20"/>
                    </w:rPr>
                    <w:t>Patient level (England only)</w:t>
                  </w:r>
                </w:p>
              </w:tc>
              <w:tc>
                <w:tcPr>
                  <w:tcW w:w="709" w:type="dxa"/>
                </w:tcPr>
                <w:p w14:paraId="2FCCCA29" w14:textId="77777777" w:rsidR="00CE5447" w:rsidRPr="00CD13D5" w:rsidRDefault="00CE5447" w:rsidP="001A69D6">
                  <w:pPr>
                    <w:tabs>
                      <w:tab w:val="left" w:pos="4307"/>
                    </w:tabs>
                    <w:rPr>
                      <w:rFonts w:cs="Arial"/>
                      <w:b/>
                      <w:szCs w:val="20"/>
                    </w:rPr>
                  </w:pPr>
                </w:p>
              </w:tc>
            </w:tr>
            <w:tr w:rsidR="00CE5447" w:rsidRPr="00CD13D5" w14:paraId="2E7A38AD" w14:textId="476BC341" w:rsidTr="00470E92">
              <w:trPr>
                <w:trHeight w:hRule="exact" w:val="567"/>
              </w:trPr>
              <w:tc>
                <w:tcPr>
                  <w:tcW w:w="4140" w:type="dxa"/>
                </w:tcPr>
                <w:p w14:paraId="699D2E18" w14:textId="3D4CF768" w:rsidR="00CE5447" w:rsidRPr="00CD13D5" w:rsidRDefault="00CE5447" w:rsidP="001A69D6">
                  <w:pPr>
                    <w:tabs>
                      <w:tab w:val="left" w:pos="4307"/>
                    </w:tabs>
                    <w:rPr>
                      <w:rFonts w:cs="Arial"/>
                    </w:rPr>
                  </w:pPr>
                  <w:r w:rsidRPr="0EC19110">
                    <w:rPr>
                      <w:rFonts w:cs="Arial"/>
                    </w:rPr>
                    <w:t xml:space="preserve">Practice Level Index of Multiple Deprivation </w:t>
                  </w:r>
                </w:p>
              </w:tc>
              <w:tc>
                <w:tcPr>
                  <w:tcW w:w="709" w:type="dxa"/>
                </w:tcPr>
                <w:p w14:paraId="35E3BDE8" w14:textId="77777777" w:rsidR="00CE5447" w:rsidRPr="00CD13D5" w:rsidRDefault="00CE5447" w:rsidP="001A69D6">
                  <w:pPr>
                    <w:tabs>
                      <w:tab w:val="left" w:pos="4307"/>
                    </w:tabs>
                    <w:rPr>
                      <w:rFonts w:cs="Arial"/>
                      <w:szCs w:val="20"/>
                    </w:rPr>
                  </w:pPr>
                </w:p>
              </w:tc>
              <w:tc>
                <w:tcPr>
                  <w:tcW w:w="4252" w:type="dxa"/>
                  <w:tcBorders>
                    <w:bottom w:val="single" w:sz="4" w:space="0" w:color="auto"/>
                  </w:tcBorders>
                </w:tcPr>
                <w:p w14:paraId="4DFE43C2" w14:textId="1B5CA045" w:rsidR="00CE5447" w:rsidRPr="00CD13D5" w:rsidRDefault="00CE5447" w:rsidP="001A69D6">
                  <w:pPr>
                    <w:tabs>
                      <w:tab w:val="left" w:pos="4307"/>
                    </w:tabs>
                    <w:rPr>
                      <w:rFonts w:cs="Arial"/>
                      <w:szCs w:val="20"/>
                    </w:rPr>
                  </w:pPr>
                  <w:r w:rsidRPr="00CD13D5">
                    <w:rPr>
                      <w:rFonts w:cs="Arial"/>
                      <w:szCs w:val="20"/>
                    </w:rPr>
                    <w:t>Patient Level Index of Multiple Deprivation</w:t>
                  </w:r>
                </w:p>
              </w:tc>
              <w:tc>
                <w:tcPr>
                  <w:tcW w:w="709" w:type="dxa"/>
                  <w:tcBorders>
                    <w:bottom w:val="single" w:sz="4" w:space="0" w:color="auto"/>
                  </w:tcBorders>
                </w:tcPr>
                <w:p w14:paraId="0C2E5ECC" w14:textId="77777777" w:rsidR="00CE5447" w:rsidRPr="00CD13D5" w:rsidRDefault="00CE5447" w:rsidP="001A69D6">
                  <w:pPr>
                    <w:tabs>
                      <w:tab w:val="left" w:pos="4307"/>
                    </w:tabs>
                    <w:rPr>
                      <w:rFonts w:cs="Arial"/>
                      <w:szCs w:val="20"/>
                    </w:rPr>
                  </w:pPr>
                </w:p>
              </w:tc>
            </w:tr>
            <w:tr w:rsidR="61465B01" w14:paraId="3136B8E2" w14:textId="77777777" w:rsidTr="61465B01">
              <w:trPr>
                <w:trHeight w:val="567"/>
              </w:trPr>
              <w:tc>
                <w:tcPr>
                  <w:tcW w:w="4140" w:type="dxa"/>
                </w:tcPr>
                <w:p w14:paraId="1C594317" w14:textId="711CF122" w:rsidR="61465B01" w:rsidRDefault="61465B01" w:rsidP="001A69D6">
                  <w:pPr>
                    <w:rPr>
                      <w:rFonts w:cs="Arial"/>
                    </w:rPr>
                  </w:pPr>
                  <w:r w:rsidRPr="61465B01">
                    <w:rPr>
                      <w:rFonts w:cs="Arial"/>
                    </w:rPr>
                    <w:t>Practice Level Index of Multiple Deprivation</w:t>
                  </w:r>
                </w:p>
                <w:p w14:paraId="20BCD580" w14:textId="564EEDF3" w:rsidR="61465B01" w:rsidRDefault="61465B01" w:rsidP="001A69D6">
                  <w:pPr>
                    <w:rPr>
                      <w:rFonts w:cs="Arial"/>
                    </w:rPr>
                  </w:pPr>
                  <w:r w:rsidRPr="61465B01">
                    <w:rPr>
                      <w:rFonts w:cs="Arial"/>
                    </w:rPr>
                    <w:t>(index other than the most recent)</w:t>
                  </w:r>
                </w:p>
              </w:tc>
              <w:tc>
                <w:tcPr>
                  <w:tcW w:w="709" w:type="dxa"/>
                  <w:tcBorders>
                    <w:bottom w:val="single" w:sz="4" w:space="0" w:color="auto"/>
                  </w:tcBorders>
                </w:tcPr>
                <w:p w14:paraId="11C02B39" w14:textId="5B6582C6" w:rsidR="61465B01" w:rsidRDefault="61465B01" w:rsidP="001A69D6">
                  <w:pPr>
                    <w:rPr>
                      <w:rFonts w:cs="Arial"/>
                    </w:rPr>
                  </w:pPr>
                </w:p>
              </w:tc>
              <w:tc>
                <w:tcPr>
                  <w:tcW w:w="4252" w:type="dxa"/>
                  <w:tcBorders>
                    <w:bottom w:val="single" w:sz="4" w:space="0" w:color="auto"/>
                  </w:tcBorders>
                </w:tcPr>
                <w:p w14:paraId="596F5FD5" w14:textId="2E0AE348" w:rsidR="61465B01" w:rsidRDefault="61465B01" w:rsidP="001A69D6">
                  <w:pPr>
                    <w:rPr>
                      <w:rFonts w:cs="Arial"/>
                    </w:rPr>
                  </w:pPr>
                  <w:r w:rsidRPr="61465B01">
                    <w:rPr>
                      <w:rFonts w:cs="Arial"/>
                    </w:rPr>
                    <w:t>Patient Level Index of Multiple Deprivation Domains</w:t>
                  </w:r>
                </w:p>
              </w:tc>
              <w:tc>
                <w:tcPr>
                  <w:tcW w:w="709" w:type="dxa"/>
                  <w:tcBorders>
                    <w:bottom w:val="single" w:sz="4" w:space="0" w:color="auto"/>
                  </w:tcBorders>
                </w:tcPr>
                <w:p w14:paraId="09C74A4F" w14:textId="666A03BE" w:rsidR="61465B01" w:rsidRDefault="61465B01" w:rsidP="001A69D6">
                  <w:pPr>
                    <w:rPr>
                      <w:rFonts w:cs="Arial"/>
                    </w:rPr>
                  </w:pPr>
                </w:p>
              </w:tc>
            </w:tr>
            <w:tr w:rsidR="00CE5447" w:rsidRPr="00CD13D5" w14:paraId="36965764" w14:textId="21AE897D" w:rsidTr="61465B01">
              <w:trPr>
                <w:trHeight w:hRule="exact" w:val="567"/>
              </w:trPr>
              <w:tc>
                <w:tcPr>
                  <w:tcW w:w="4140" w:type="dxa"/>
                </w:tcPr>
                <w:p w14:paraId="2E8C40FB" w14:textId="4188235A" w:rsidR="61465B01" w:rsidRPr="61465B01" w:rsidRDefault="61465B01" w:rsidP="001A69D6">
                  <w:pPr>
                    <w:rPr>
                      <w:rFonts w:cs="Arial"/>
                    </w:rPr>
                  </w:pPr>
                  <w:r w:rsidRPr="61465B01">
                    <w:rPr>
                      <w:rFonts w:cs="Arial"/>
                    </w:rPr>
                    <w:t>Practice Level Index of Multiple Deprivation Domains</w:t>
                  </w:r>
                </w:p>
              </w:tc>
              <w:tc>
                <w:tcPr>
                  <w:tcW w:w="709" w:type="dxa"/>
                  <w:tcBorders>
                    <w:bottom w:val="single" w:sz="4" w:space="0" w:color="auto"/>
                  </w:tcBorders>
                </w:tcPr>
                <w:p w14:paraId="1FC1779E" w14:textId="77777777" w:rsidR="00CE5447" w:rsidRPr="00CD13D5" w:rsidRDefault="00CE5447" w:rsidP="001A69D6">
                  <w:pPr>
                    <w:tabs>
                      <w:tab w:val="left" w:pos="4307"/>
                    </w:tabs>
                    <w:rPr>
                      <w:rFonts w:cs="Arial"/>
                      <w:szCs w:val="20"/>
                    </w:rPr>
                  </w:pPr>
                </w:p>
              </w:tc>
              <w:tc>
                <w:tcPr>
                  <w:tcW w:w="4252" w:type="dxa"/>
                  <w:tcBorders>
                    <w:bottom w:val="single" w:sz="4" w:space="0" w:color="auto"/>
                  </w:tcBorders>
                </w:tcPr>
                <w:p w14:paraId="0C1B081E" w14:textId="6B918069" w:rsidR="61465B01" w:rsidRPr="61465B01" w:rsidRDefault="61465B01" w:rsidP="001A69D6">
                  <w:pPr>
                    <w:rPr>
                      <w:rFonts w:cs="Arial"/>
                    </w:rPr>
                  </w:pPr>
                  <w:r w:rsidRPr="61465B01">
                    <w:rPr>
                      <w:rFonts w:cs="Arial"/>
                    </w:rPr>
                    <w:t xml:space="preserve">Patient Level </w:t>
                  </w:r>
                  <w:r w:rsidRPr="61465B01">
                    <w:rPr>
                      <w:rFonts w:cs="Arial"/>
                      <w:color w:val="000000" w:themeColor="text1"/>
                    </w:rPr>
                    <w:t xml:space="preserve">Carstairs Index for 2011 Census </w:t>
                  </w:r>
                </w:p>
              </w:tc>
              <w:tc>
                <w:tcPr>
                  <w:tcW w:w="709" w:type="dxa"/>
                  <w:tcBorders>
                    <w:bottom w:val="single" w:sz="4" w:space="0" w:color="auto"/>
                  </w:tcBorders>
                </w:tcPr>
                <w:p w14:paraId="3FDD5348" w14:textId="77777777" w:rsidR="00CE5447" w:rsidRPr="00CD13D5" w:rsidRDefault="00CE5447" w:rsidP="001A69D6">
                  <w:pPr>
                    <w:tabs>
                      <w:tab w:val="left" w:pos="4307"/>
                    </w:tabs>
                    <w:rPr>
                      <w:rFonts w:cs="Arial"/>
                      <w:szCs w:val="20"/>
                    </w:rPr>
                  </w:pPr>
                </w:p>
              </w:tc>
            </w:tr>
            <w:tr w:rsidR="002461B7" w:rsidRPr="00CD13D5" w14:paraId="4C07D539" w14:textId="3408DBFE" w:rsidTr="61465B01">
              <w:trPr>
                <w:trHeight w:hRule="exact" w:val="567"/>
              </w:trPr>
              <w:tc>
                <w:tcPr>
                  <w:tcW w:w="4140" w:type="dxa"/>
                </w:tcPr>
                <w:p w14:paraId="1490E8E6" w14:textId="6EDDB630" w:rsidR="61465B01" w:rsidRPr="61465B01" w:rsidRDefault="61465B01" w:rsidP="001A69D6">
                  <w:pPr>
                    <w:rPr>
                      <w:rFonts w:cs="Arial"/>
                    </w:rPr>
                  </w:pPr>
                  <w:r w:rsidRPr="61465B01">
                    <w:rPr>
                      <w:rFonts w:cs="Arial"/>
                    </w:rPr>
                    <w:t xml:space="preserve">Practice Level </w:t>
                  </w:r>
                  <w:r w:rsidRPr="61465B01">
                    <w:rPr>
                      <w:rFonts w:cs="Arial"/>
                      <w:color w:val="000000" w:themeColor="text1"/>
                    </w:rPr>
                    <w:t>Carstairs Index for 2011 Census (Excluding Northern Ireland)</w:t>
                  </w:r>
                </w:p>
              </w:tc>
              <w:tc>
                <w:tcPr>
                  <w:tcW w:w="709" w:type="dxa"/>
                  <w:tcBorders>
                    <w:right w:val="single" w:sz="4" w:space="0" w:color="auto"/>
                  </w:tcBorders>
                </w:tcPr>
                <w:p w14:paraId="55D6EF52" w14:textId="056EF6C1" w:rsidR="002461B7" w:rsidRPr="00CD13D5" w:rsidRDefault="008D7424" w:rsidP="001A69D6">
                  <w:pPr>
                    <w:tabs>
                      <w:tab w:val="left" w:pos="4307"/>
                    </w:tabs>
                    <w:rPr>
                      <w:rFonts w:cs="Arial"/>
                      <w:szCs w:val="20"/>
                    </w:rPr>
                  </w:pPr>
                  <w:r>
                    <w:rPr>
                      <w:rFonts w:cs="Arial"/>
                      <w:szCs w:val="20"/>
                    </w:rPr>
                    <w:t>X</w:t>
                  </w:r>
                </w:p>
              </w:tc>
              <w:tc>
                <w:tcPr>
                  <w:tcW w:w="4252" w:type="dxa"/>
                </w:tcPr>
                <w:p w14:paraId="5CF85264" w14:textId="2E8C1043" w:rsidR="61465B01" w:rsidRDefault="61465B01" w:rsidP="001A69D6">
                  <w:pPr>
                    <w:rPr>
                      <w:rFonts w:cs="Arial"/>
                    </w:rPr>
                  </w:pPr>
                  <w:r w:rsidRPr="61465B01">
                    <w:rPr>
                      <w:rFonts w:cs="Arial"/>
                    </w:rPr>
                    <w:t>Patient Level Townsend Score</w:t>
                  </w:r>
                </w:p>
                <w:p w14:paraId="126E2501" w14:textId="6133D725" w:rsidR="61465B01" w:rsidRPr="61465B01" w:rsidRDefault="61465B01" w:rsidP="001A69D6">
                  <w:pPr>
                    <w:rPr>
                      <w:rFonts w:cs="Arial"/>
                    </w:rPr>
                  </w:pPr>
                </w:p>
              </w:tc>
              <w:tc>
                <w:tcPr>
                  <w:tcW w:w="709" w:type="dxa"/>
                  <w:tcBorders>
                    <w:right w:val="single" w:sz="4" w:space="0" w:color="auto"/>
                  </w:tcBorders>
                </w:tcPr>
                <w:p w14:paraId="52EC7FB5" w14:textId="77777777" w:rsidR="002461B7" w:rsidRPr="00CD13D5" w:rsidRDefault="002461B7" w:rsidP="001A69D6">
                  <w:pPr>
                    <w:tabs>
                      <w:tab w:val="left" w:pos="4307"/>
                    </w:tabs>
                    <w:rPr>
                      <w:rFonts w:cs="Arial"/>
                      <w:szCs w:val="20"/>
                    </w:rPr>
                  </w:pPr>
                </w:p>
              </w:tc>
            </w:tr>
            <w:tr w:rsidR="002461B7" w:rsidRPr="00CD13D5" w14:paraId="7E18DFB7" w14:textId="048CD304" w:rsidTr="61465B01">
              <w:trPr>
                <w:trHeight w:hRule="exact" w:val="567"/>
              </w:trPr>
              <w:tc>
                <w:tcPr>
                  <w:tcW w:w="4140" w:type="dxa"/>
                </w:tcPr>
                <w:p w14:paraId="638BC6F8" w14:textId="76B79FDE" w:rsidR="002461B7" w:rsidRPr="00CD13D5" w:rsidRDefault="61465B01" w:rsidP="001A69D6">
                  <w:pPr>
                    <w:tabs>
                      <w:tab w:val="left" w:pos="4307"/>
                    </w:tabs>
                    <w:rPr>
                      <w:rFonts w:cs="Arial"/>
                    </w:rPr>
                  </w:pPr>
                  <w:r w:rsidRPr="61465B01">
                    <w:rPr>
                      <w:rFonts w:cs="Arial"/>
                    </w:rPr>
                    <w:t>2011 Rural-Urban Classification at LSOA level</w:t>
                  </w:r>
                </w:p>
              </w:tc>
              <w:tc>
                <w:tcPr>
                  <w:tcW w:w="709" w:type="dxa"/>
                  <w:tcBorders>
                    <w:right w:val="single" w:sz="4" w:space="0" w:color="auto"/>
                  </w:tcBorders>
                </w:tcPr>
                <w:p w14:paraId="383A7ACF" w14:textId="0CFCF068" w:rsidR="002461B7" w:rsidRPr="00CD13D5" w:rsidRDefault="008D7424" w:rsidP="001A69D6">
                  <w:pPr>
                    <w:tabs>
                      <w:tab w:val="left" w:pos="4307"/>
                    </w:tabs>
                    <w:rPr>
                      <w:rFonts w:cs="Arial"/>
                      <w:szCs w:val="20"/>
                    </w:rPr>
                  </w:pPr>
                  <w:r>
                    <w:rPr>
                      <w:rFonts w:cs="Arial"/>
                      <w:szCs w:val="20"/>
                    </w:rPr>
                    <w:t>X</w:t>
                  </w:r>
                </w:p>
              </w:tc>
              <w:tc>
                <w:tcPr>
                  <w:tcW w:w="4252" w:type="dxa"/>
                </w:tcPr>
                <w:p w14:paraId="6061CA16" w14:textId="3EADCCFB" w:rsidR="61465B01" w:rsidRPr="61465B01" w:rsidRDefault="61465B01" w:rsidP="001A69D6">
                  <w:pPr>
                    <w:rPr>
                      <w:rFonts w:cs="Arial"/>
                    </w:rPr>
                  </w:pPr>
                  <w:r w:rsidRPr="61465B01">
                    <w:rPr>
                      <w:rFonts w:cs="Arial"/>
                    </w:rPr>
                    <w:t>2011 Rural-Urban Classification at LSOA level</w:t>
                  </w:r>
                </w:p>
              </w:tc>
              <w:tc>
                <w:tcPr>
                  <w:tcW w:w="709" w:type="dxa"/>
                  <w:tcBorders>
                    <w:right w:val="single" w:sz="4" w:space="0" w:color="auto"/>
                  </w:tcBorders>
                </w:tcPr>
                <w:p w14:paraId="2987E2D9" w14:textId="77777777" w:rsidR="002461B7" w:rsidRPr="00CD13D5" w:rsidRDefault="002461B7" w:rsidP="001A69D6">
                  <w:pPr>
                    <w:tabs>
                      <w:tab w:val="left" w:pos="4307"/>
                    </w:tabs>
                    <w:rPr>
                      <w:rFonts w:cs="Arial"/>
                      <w:szCs w:val="20"/>
                    </w:rPr>
                  </w:pPr>
                </w:p>
              </w:tc>
            </w:tr>
          </w:tbl>
          <w:p w14:paraId="5DF82358" w14:textId="77777777" w:rsidR="00CE5447" w:rsidRPr="00CD13D5" w:rsidRDefault="00CE5447" w:rsidP="001A69D6">
            <w:pPr>
              <w:rPr>
                <w:rFonts w:cs="Arial"/>
                <w:szCs w:val="20"/>
              </w:rPr>
            </w:pPr>
          </w:p>
          <w:p w14:paraId="13D479B3" w14:textId="3BF07EAA" w:rsidR="00672602" w:rsidRDefault="00672602" w:rsidP="001A69D6">
            <w:pPr>
              <w:rPr>
                <w:rFonts w:cs="Arial"/>
                <w:szCs w:val="20"/>
              </w:rPr>
            </w:pPr>
            <w:r w:rsidRPr="00CD13D5">
              <w:rPr>
                <w:rFonts w:cs="Arial"/>
                <w:szCs w:val="20"/>
              </w:rPr>
              <w:t>Reference</w:t>
            </w:r>
            <w:r w:rsidR="00470E92">
              <w:rPr>
                <w:rFonts w:cs="Arial"/>
                <w:szCs w:val="20"/>
              </w:rPr>
              <w:t xml:space="preserve"> / Protocol</w:t>
            </w:r>
            <w:r w:rsidRPr="00CD13D5">
              <w:rPr>
                <w:rFonts w:cs="Arial"/>
                <w:szCs w:val="20"/>
              </w:rPr>
              <w:t xml:space="preserve"> number (where applicable):</w:t>
            </w:r>
            <w:r w:rsidR="00064263">
              <w:rPr>
                <w:rFonts w:cs="Arial"/>
                <w:szCs w:val="20"/>
              </w:rPr>
              <w:t xml:space="preserve"> </w:t>
            </w:r>
            <w:r w:rsidR="007B4771" w:rsidRPr="007B4771">
              <w:rPr>
                <w:rFonts w:cs="Arial"/>
                <w:szCs w:val="20"/>
              </w:rPr>
              <w:t>00051276</w:t>
            </w:r>
          </w:p>
          <w:p w14:paraId="14380452" w14:textId="3C84E508" w:rsidR="00885AFC" w:rsidRPr="00CD13D5" w:rsidRDefault="00885AFC" w:rsidP="00336BF4">
            <w:pPr>
              <w:shd w:val="clear" w:color="auto" w:fill="FFF2CC" w:themeFill="accent4" w:themeFillTint="33"/>
              <w:ind w:left="720"/>
              <w:rPr>
                <w:rFonts w:cs="Arial"/>
                <w:szCs w:val="20"/>
              </w:rPr>
            </w:pPr>
            <w:r>
              <w:rPr>
                <w:rFonts w:cs="Arial"/>
                <w:szCs w:val="20"/>
              </w:rPr>
              <w:t xml:space="preserve">Follow up reference: </w:t>
            </w:r>
            <w:r w:rsidRPr="00885AFC">
              <w:rPr>
                <w:rFonts w:cs="Arial"/>
                <w:szCs w:val="20"/>
              </w:rPr>
              <w:t>00053863</w:t>
            </w:r>
          </w:p>
          <w:p w14:paraId="594D9474" w14:textId="77777777" w:rsidR="00672602" w:rsidRPr="00CD13D5" w:rsidRDefault="00672602" w:rsidP="001A69D6">
            <w:pPr>
              <w:rPr>
                <w:rFonts w:cs="Arial"/>
                <w:szCs w:val="20"/>
              </w:rPr>
            </w:pPr>
          </w:p>
        </w:tc>
      </w:tr>
      <w:tr w:rsidR="00672602" w:rsidRPr="00CD13D5" w14:paraId="37AA333B" w14:textId="77777777" w:rsidTr="00B01179">
        <w:tblPrEx>
          <w:tblLook w:val="01E0" w:firstRow="1" w:lastRow="1" w:firstColumn="1" w:lastColumn="1" w:noHBand="0" w:noVBand="0"/>
        </w:tblPrEx>
        <w:trPr>
          <w:jc w:val="center"/>
        </w:trPr>
        <w:tc>
          <w:tcPr>
            <w:tcW w:w="10063" w:type="dxa"/>
            <w:shd w:val="clear" w:color="auto" w:fill="auto"/>
          </w:tcPr>
          <w:p w14:paraId="43AF7FC0" w14:textId="77777777" w:rsidR="00672602" w:rsidRPr="00CD13D5" w:rsidRDefault="00672602" w:rsidP="001A69D6">
            <w:pPr>
              <w:pStyle w:val="Heading2"/>
              <w:numPr>
                <w:ilvl w:val="0"/>
                <w:numId w:val="6"/>
              </w:numPr>
            </w:pPr>
            <w:r w:rsidRPr="00CD13D5">
              <w:t>Are you requesting linkage to a dataset not listed above?</w:t>
            </w:r>
          </w:p>
          <w:p w14:paraId="3EC4C0A4" w14:textId="79AAD005" w:rsidR="00672602" w:rsidRPr="00CD13D5" w:rsidRDefault="00672602" w:rsidP="001A69D6">
            <w:pPr>
              <w:rPr>
                <w:rFonts w:cs="Arial"/>
                <w:b/>
                <w:szCs w:val="20"/>
              </w:rPr>
            </w:pPr>
          </w:p>
          <w:tbl>
            <w:tblPr>
              <w:tblStyle w:val="TableGrid"/>
              <w:tblW w:w="0" w:type="auto"/>
              <w:tblLayout w:type="fixed"/>
              <w:tblLook w:val="04A0" w:firstRow="1" w:lastRow="0" w:firstColumn="1" w:lastColumn="0" w:noHBand="0" w:noVBand="1"/>
            </w:tblPr>
            <w:tblGrid>
              <w:gridCol w:w="738"/>
              <w:gridCol w:w="709"/>
              <w:gridCol w:w="708"/>
              <w:gridCol w:w="709"/>
            </w:tblGrid>
            <w:tr w:rsidR="00EE4AF8" w:rsidRPr="00CD13D5" w14:paraId="16EF9803" w14:textId="77777777" w:rsidTr="00D9289D">
              <w:tc>
                <w:tcPr>
                  <w:tcW w:w="738" w:type="dxa"/>
                </w:tcPr>
                <w:p w14:paraId="25D216D7" w14:textId="77777777" w:rsidR="00EE4AF8" w:rsidRPr="00CD13D5" w:rsidRDefault="00EE4AF8" w:rsidP="001A69D6">
                  <w:pPr>
                    <w:rPr>
                      <w:rFonts w:cs="Arial"/>
                      <w:szCs w:val="20"/>
                    </w:rPr>
                  </w:pPr>
                  <w:r w:rsidRPr="00CD13D5">
                    <w:rPr>
                      <w:rFonts w:cs="Arial"/>
                      <w:szCs w:val="20"/>
                    </w:rPr>
                    <w:lastRenderedPageBreak/>
                    <w:t>Yes</w:t>
                  </w:r>
                </w:p>
              </w:tc>
              <w:tc>
                <w:tcPr>
                  <w:tcW w:w="709" w:type="dxa"/>
                </w:tcPr>
                <w:p w14:paraId="07C2F712" w14:textId="77777777" w:rsidR="00EE4AF8" w:rsidRPr="00CD13D5" w:rsidRDefault="00EE4AF8" w:rsidP="001A69D6">
                  <w:pPr>
                    <w:rPr>
                      <w:rFonts w:cs="Arial"/>
                      <w:b/>
                      <w:szCs w:val="20"/>
                    </w:rPr>
                  </w:pPr>
                </w:p>
              </w:tc>
              <w:tc>
                <w:tcPr>
                  <w:tcW w:w="708" w:type="dxa"/>
                </w:tcPr>
                <w:p w14:paraId="5D8D3385" w14:textId="77777777" w:rsidR="00EE4AF8" w:rsidRPr="00CD13D5" w:rsidRDefault="00EE4AF8" w:rsidP="001A69D6">
                  <w:pPr>
                    <w:rPr>
                      <w:rFonts w:cs="Arial"/>
                      <w:szCs w:val="20"/>
                    </w:rPr>
                  </w:pPr>
                  <w:r w:rsidRPr="00CD13D5">
                    <w:rPr>
                      <w:rFonts w:cs="Arial"/>
                      <w:szCs w:val="20"/>
                    </w:rPr>
                    <w:t>No</w:t>
                  </w:r>
                </w:p>
              </w:tc>
              <w:tc>
                <w:tcPr>
                  <w:tcW w:w="709" w:type="dxa"/>
                </w:tcPr>
                <w:p w14:paraId="0CFE682F" w14:textId="257E86A4" w:rsidR="00EE4AF8" w:rsidRPr="00CD13D5" w:rsidRDefault="008D7424" w:rsidP="001A69D6">
                  <w:pPr>
                    <w:rPr>
                      <w:rFonts w:cs="Arial"/>
                      <w:b/>
                      <w:szCs w:val="20"/>
                    </w:rPr>
                  </w:pPr>
                  <w:r>
                    <w:rPr>
                      <w:rFonts w:cs="Arial"/>
                      <w:b/>
                      <w:szCs w:val="20"/>
                    </w:rPr>
                    <w:t>X</w:t>
                  </w:r>
                </w:p>
              </w:tc>
            </w:tr>
          </w:tbl>
          <w:p w14:paraId="28FB4874" w14:textId="77777777" w:rsidR="00EE4AF8" w:rsidRPr="00CD13D5" w:rsidRDefault="00EE4AF8" w:rsidP="001A69D6">
            <w:pPr>
              <w:rPr>
                <w:rFonts w:cs="Arial"/>
                <w:b/>
                <w:szCs w:val="20"/>
              </w:rPr>
            </w:pPr>
          </w:p>
          <w:p w14:paraId="68BFDB46" w14:textId="13A2C114" w:rsidR="00672602" w:rsidRPr="00CD13D5" w:rsidRDefault="00672602" w:rsidP="001A69D6">
            <w:pPr>
              <w:rPr>
                <w:rFonts w:cs="Arial"/>
                <w:szCs w:val="20"/>
              </w:rPr>
            </w:pPr>
            <w:r w:rsidRPr="00CD13D5">
              <w:rPr>
                <w:rFonts w:cs="Arial"/>
                <w:szCs w:val="20"/>
              </w:rPr>
              <w:t xml:space="preserve">If yes, provide </w:t>
            </w:r>
            <w:r w:rsidR="00910B64" w:rsidRPr="00CD13D5">
              <w:rPr>
                <w:rFonts w:cs="Arial"/>
                <w:szCs w:val="20"/>
              </w:rPr>
              <w:t xml:space="preserve">the </w:t>
            </w:r>
            <w:r w:rsidR="00B83939">
              <w:rPr>
                <w:rFonts w:cs="Arial"/>
                <w:szCs w:val="20"/>
              </w:rPr>
              <w:t>Non-Standard Linkage</w:t>
            </w:r>
            <w:r w:rsidR="00424072">
              <w:rPr>
                <w:rFonts w:cs="Arial"/>
                <w:szCs w:val="20"/>
              </w:rPr>
              <w:t xml:space="preserve"> </w:t>
            </w:r>
            <w:r w:rsidR="00910B64" w:rsidRPr="00CD13D5">
              <w:rPr>
                <w:rFonts w:cs="Arial"/>
                <w:szCs w:val="20"/>
              </w:rPr>
              <w:t>r</w:t>
            </w:r>
            <w:r w:rsidRPr="00CD13D5">
              <w:rPr>
                <w:rFonts w:cs="Arial"/>
                <w:szCs w:val="20"/>
              </w:rPr>
              <w:t>eference number:</w:t>
            </w:r>
            <w:r w:rsidR="007211A9" w:rsidRPr="00CD13D5">
              <w:rPr>
                <w:rFonts w:cs="Arial"/>
                <w:szCs w:val="20"/>
              </w:rPr>
              <w:t xml:space="preserve"> </w:t>
            </w:r>
          </w:p>
          <w:p w14:paraId="234C0D62" w14:textId="77777777" w:rsidR="00672602" w:rsidRPr="00CD13D5" w:rsidRDefault="00672602" w:rsidP="001A69D6">
            <w:pPr>
              <w:tabs>
                <w:tab w:val="left" w:pos="780"/>
                <w:tab w:val="left" w:pos="3600"/>
              </w:tabs>
              <w:rPr>
                <w:rFonts w:cs="Arial"/>
                <w:szCs w:val="20"/>
              </w:rPr>
            </w:pPr>
          </w:p>
        </w:tc>
      </w:tr>
      <w:tr w:rsidR="00672602" w:rsidRPr="00CD13D5" w14:paraId="5F7D659C" w14:textId="77777777" w:rsidTr="00B01179">
        <w:tblPrEx>
          <w:tblLook w:val="01E0" w:firstRow="1" w:lastRow="1" w:firstColumn="1" w:lastColumn="1" w:noHBand="0" w:noVBand="0"/>
        </w:tblPrEx>
        <w:trPr>
          <w:trHeight w:val="567"/>
          <w:jc w:val="center"/>
        </w:trPr>
        <w:tc>
          <w:tcPr>
            <w:tcW w:w="10063" w:type="dxa"/>
            <w:shd w:val="clear" w:color="auto" w:fill="auto"/>
          </w:tcPr>
          <w:p w14:paraId="177C34FB" w14:textId="6C6A3FC1" w:rsidR="00672602" w:rsidRPr="00CD13D5" w:rsidRDefault="00672602" w:rsidP="001A69D6">
            <w:pPr>
              <w:pStyle w:val="Heading2"/>
              <w:numPr>
                <w:ilvl w:val="0"/>
                <w:numId w:val="6"/>
              </w:numPr>
            </w:pPr>
            <w:r w:rsidRPr="00CD13D5">
              <w:lastRenderedPageBreak/>
              <w:t>Do</w:t>
            </w:r>
            <w:r w:rsidR="002C2894" w:rsidRPr="00CD13D5">
              <w:t>es</w:t>
            </w:r>
            <w:r w:rsidRPr="00CD13D5">
              <w:t xml:space="preserve"> any person </w:t>
            </w:r>
            <w:r w:rsidR="00E64DC3" w:rsidRPr="00CD13D5">
              <w:t>named in this application</w:t>
            </w:r>
            <w:r w:rsidRPr="00CD13D5">
              <w:t xml:space="preserve"> already have access to</w:t>
            </w:r>
            <w:r w:rsidR="002E4212">
              <w:t xml:space="preserve"> an</w:t>
            </w:r>
            <w:r w:rsidR="004A0855">
              <w:t>y</w:t>
            </w:r>
            <w:r w:rsidR="002E4212">
              <w:t xml:space="preserve"> of</w:t>
            </w:r>
            <w:r w:rsidRPr="00CD13D5">
              <w:t xml:space="preserve"> these data in a patient identifiable form, or associated with an identifiable patient index?</w:t>
            </w:r>
          </w:p>
          <w:p w14:paraId="278FF6C4" w14:textId="77777777" w:rsidR="00EE4AF8" w:rsidRPr="00CD13D5" w:rsidRDefault="00EE4AF8" w:rsidP="001A69D6"/>
          <w:tbl>
            <w:tblPr>
              <w:tblStyle w:val="TableGrid"/>
              <w:tblW w:w="0" w:type="auto"/>
              <w:tblLayout w:type="fixed"/>
              <w:tblLook w:val="04A0" w:firstRow="1" w:lastRow="0" w:firstColumn="1" w:lastColumn="0" w:noHBand="0" w:noVBand="1"/>
            </w:tblPr>
            <w:tblGrid>
              <w:gridCol w:w="738"/>
              <w:gridCol w:w="709"/>
              <w:gridCol w:w="708"/>
              <w:gridCol w:w="709"/>
            </w:tblGrid>
            <w:tr w:rsidR="00EE4AF8" w:rsidRPr="00CD13D5" w14:paraId="03EE2077" w14:textId="77777777" w:rsidTr="00EE4AF8">
              <w:tc>
                <w:tcPr>
                  <w:tcW w:w="738" w:type="dxa"/>
                </w:tcPr>
                <w:p w14:paraId="15701A39" w14:textId="021AF1DF" w:rsidR="00EE4AF8" w:rsidRPr="00CD13D5" w:rsidRDefault="00EE4AF8" w:rsidP="001A69D6">
                  <w:pPr>
                    <w:rPr>
                      <w:rFonts w:cs="Arial"/>
                      <w:szCs w:val="20"/>
                    </w:rPr>
                  </w:pPr>
                  <w:r w:rsidRPr="00CD13D5">
                    <w:rPr>
                      <w:rFonts w:cs="Arial"/>
                      <w:szCs w:val="20"/>
                    </w:rPr>
                    <w:t>Yes</w:t>
                  </w:r>
                </w:p>
              </w:tc>
              <w:tc>
                <w:tcPr>
                  <w:tcW w:w="709" w:type="dxa"/>
                </w:tcPr>
                <w:p w14:paraId="08AAAEB0" w14:textId="77777777" w:rsidR="00EE4AF8" w:rsidRPr="00CD13D5" w:rsidRDefault="00EE4AF8" w:rsidP="001A69D6">
                  <w:pPr>
                    <w:rPr>
                      <w:rFonts w:cs="Arial"/>
                      <w:b/>
                      <w:szCs w:val="20"/>
                    </w:rPr>
                  </w:pPr>
                </w:p>
              </w:tc>
              <w:tc>
                <w:tcPr>
                  <w:tcW w:w="708" w:type="dxa"/>
                </w:tcPr>
                <w:p w14:paraId="16FC4F56" w14:textId="021249DF" w:rsidR="00EE4AF8" w:rsidRPr="00CD13D5" w:rsidRDefault="00EE4AF8" w:rsidP="001A69D6">
                  <w:pPr>
                    <w:rPr>
                      <w:rFonts w:cs="Arial"/>
                      <w:szCs w:val="20"/>
                    </w:rPr>
                  </w:pPr>
                  <w:r w:rsidRPr="00CD13D5">
                    <w:rPr>
                      <w:rFonts w:cs="Arial"/>
                      <w:szCs w:val="20"/>
                    </w:rPr>
                    <w:t>No</w:t>
                  </w:r>
                </w:p>
              </w:tc>
              <w:tc>
                <w:tcPr>
                  <w:tcW w:w="709" w:type="dxa"/>
                </w:tcPr>
                <w:p w14:paraId="687C4EF6" w14:textId="02000983" w:rsidR="00EE4AF8" w:rsidRPr="00CD13D5" w:rsidRDefault="008D7424" w:rsidP="001A69D6">
                  <w:pPr>
                    <w:rPr>
                      <w:rFonts w:cs="Arial"/>
                      <w:b/>
                      <w:szCs w:val="20"/>
                    </w:rPr>
                  </w:pPr>
                  <w:r>
                    <w:rPr>
                      <w:rFonts w:cs="Arial"/>
                      <w:b/>
                      <w:szCs w:val="20"/>
                    </w:rPr>
                    <w:t>X</w:t>
                  </w:r>
                </w:p>
              </w:tc>
            </w:tr>
          </w:tbl>
          <w:p w14:paraId="17957DD2" w14:textId="77777777" w:rsidR="00EE4AF8" w:rsidRPr="00CD13D5" w:rsidRDefault="00EE4AF8" w:rsidP="001A69D6">
            <w:pPr>
              <w:rPr>
                <w:rFonts w:cs="Arial"/>
                <w:szCs w:val="20"/>
              </w:rPr>
            </w:pPr>
          </w:p>
          <w:p w14:paraId="620836A5" w14:textId="78331621" w:rsidR="00672602" w:rsidRPr="00CD13D5" w:rsidRDefault="00672602" w:rsidP="001A69D6">
            <w:pPr>
              <w:tabs>
                <w:tab w:val="left" w:pos="780"/>
                <w:tab w:val="left" w:pos="3600"/>
              </w:tabs>
              <w:rPr>
                <w:rFonts w:cs="Arial"/>
                <w:szCs w:val="20"/>
              </w:rPr>
            </w:pPr>
            <w:r w:rsidRPr="00CD13D5">
              <w:rPr>
                <w:rFonts w:cs="Arial"/>
                <w:szCs w:val="20"/>
              </w:rPr>
              <w:t xml:space="preserve">If yes, provide further details: </w:t>
            </w:r>
          </w:p>
          <w:p w14:paraId="70253C0B" w14:textId="77777777" w:rsidR="00672602" w:rsidRPr="00CD13D5" w:rsidRDefault="00672602" w:rsidP="001A69D6">
            <w:pPr>
              <w:tabs>
                <w:tab w:val="left" w:pos="780"/>
                <w:tab w:val="left" w:pos="3600"/>
              </w:tabs>
              <w:rPr>
                <w:rFonts w:cs="Arial"/>
                <w:szCs w:val="20"/>
              </w:rPr>
            </w:pPr>
          </w:p>
        </w:tc>
      </w:tr>
      <w:tr w:rsidR="00672602" w:rsidRPr="00CD13D5" w14:paraId="7D13166B" w14:textId="77777777" w:rsidTr="00B01179">
        <w:trPr>
          <w:trHeight w:hRule="exact" w:val="567"/>
          <w:jc w:val="center"/>
        </w:trPr>
        <w:tc>
          <w:tcPr>
            <w:tcW w:w="10063" w:type="dxa"/>
            <w:shd w:val="clear" w:color="auto" w:fill="B4C6E7" w:themeFill="accent1" w:themeFillTint="66"/>
            <w:vAlign w:val="center"/>
          </w:tcPr>
          <w:p w14:paraId="417D4028" w14:textId="0E2DECDD" w:rsidR="00672602" w:rsidRPr="00CD13D5" w:rsidRDefault="00672602" w:rsidP="001A69D6">
            <w:pPr>
              <w:pStyle w:val="NoSpacing"/>
            </w:pPr>
            <w:r w:rsidRPr="00CD13D5">
              <w:rPr>
                <w:color w:val="auto"/>
              </w:rPr>
              <w:t>VALIDATION/VERIFICATION</w:t>
            </w:r>
          </w:p>
        </w:tc>
      </w:tr>
      <w:tr w:rsidR="00672602" w:rsidRPr="00CD13D5" w14:paraId="798B114E" w14:textId="77777777" w:rsidTr="00B01179">
        <w:tblPrEx>
          <w:tblLook w:val="01E0" w:firstRow="1" w:lastRow="1" w:firstColumn="1" w:lastColumn="1" w:noHBand="0" w:noVBand="0"/>
        </w:tblPrEx>
        <w:trPr>
          <w:trHeight w:val="462"/>
          <w:jc w:val="center"/>
        </w:trPr>
        <w:tc>
          <w:tcPr>
            <w:tcW w:w="10063" w:type="dxa"/>
            <w:shd w:val="clear" w:color="auto" w:fill="auto"/>
          </w:tcPr>
          <w:p w14:paraId="227220C4" w14:textId="1D878DD2" w:rsidR="00CB0E01" w:rsidRPr="00CD13D5" w:rsidRDefault="00672602" w:rsidP="001A69D6">
            <w:pPr>
              <w:pStyle w:val="Heading2"/>
              <w:keepNext/>
              <w:keepLines/>
              <w:numPr>
                <w:ilvl w:val="0"/>
                <w:numId w:val="6"/>
              </w:numPr>
              <w:ind w:left="357" w:hanging="357"/>
            </w:pPr>
            <w:r w:rsidRPr="00CD13D5">
              <w:t>Does this protocol describe a</w:t>
            </w:r>
            <w:r w:rsidR="00012B19">
              <w:t>n</w:t>
            </w:r>
            <w:r w:rsidR="00EE7E68">
              <w:t xml:space="preserve"> </w:t>
            </w:r>
            <w:r w:rsidRPr="00CD13D5">
              <w:t>observational study using</w:t>
            </w:r>
            <w:r w:rsidR="00012B19">
              <w:t xml:space="preserve"> purely</w:t>
            </w:r>
            <w:r w:rsidRPr="00CD13D5">
              <w:t xml:space="preserve"> </w:t>
            </w:r>
            <w:r w:rsidR="00012B19">
              <w:t>C</w:t>
            </w:r>
            <w:r w:rsidRPr="00CD13D5">
              <w:t>PRD data?</w:t>
            </w:r>
          </w:p>
          <w:p w14:paraId="690E0413" w14:textId="77777777" w:rsidR="00EE4AF8" w:rsidRPr="00CD13D5" w:rsidRDefault="00EE4AF8" w:rsidP="001A69D6"/>
          <w:tbl>
            <w:tblPr>
              <w:tblStyle w:val="TableGrid"/>
              <w:tblW w:w="0" w:type="auto"/>
              <w:tblLayout w:type="fixed"/>
              <w:tblLook w:val="04A0" w:firstRow="1" w:lastRow="0" w:firstColumn="1" w:lastColumn="0" w:noHBand="0" w:noVBand="1"/>
            </w:tblPr>
            <w:tblGrid>
              <w:gridCol w:w="738"/>
              <w:gridCol w:w="709"/>
              <w:gridCol w:w="708"/>
              <w:gridCol w:w="709"/>
            </w:tblGrid>
            <w:tr w:rsidR="00EE4AF8" w:rsidRPr="00CD13D5" w14:paraId="0D934E5E" w14:textId="77777777" w:rsidTr="00D9289D">
              <w:tc>
                <w:tcPr>
                  <w:tcW w:w="738" w:type="dxa"/>
                </w:tcPr>
                <w:p w14:paraId="59BF374D" w14:textId="77777777" w:rsidR="00EE4AF8" w:rsidRPr="00CD13D5" w:rsidRDefault="00EE4AF8" w:rsidP="001A69D6">
                  <w:pPr>
                    <w:rPr>
                      <w:rFonts w:cs="Arial"/>
                      <w:szCs w:val="20"/>
                    </w:rPr>
                  </w:pPr>
                  <w:r w:rsidRPr="00CD13D5">
                    <w:rPr>
                      <w:rFonts w:cs="Arial"/>
                      <w:szCs w:val="20"/>
                    </w:rPr>
                    <w:t>Yes</w:t>
                  </w:r>
                </w:p>
              </w:tc>
              <w:tc>
                <w:tcPr>
                  <w:tcW w:w="709" w:type="dxa"/>
                </w:tcPr>
                <w:p w14:paraId="17B95C1E" w14:textId="5679A873" w:rsidR="00EE4AF8" w:rsidRPr="00CD13D5" w:rsidRDefault="008D7424" w:rsidP="001A69D6">
                  <w:pPr>
                    <w:rPr>
                      <w:rFonts w:cs="Arial"/>
                      <w:b/>
                      <w:szCs w:val="20"/>
                    </w:rPr>
                  </w:pPr>
                  <w:r>
                    <w:rPr>
                      <w:rFonts w:cs="Arial"/>
                      <w:b/>
                      <w:szCs w:val="20"/>
                    </w:rPr>
                    <w:t>X</w:t>
                  </w:r>
                </w:p>
              </w:tc>
              <w:tc>
                <w:tcPr>
                  <w:tcW w:w="708" w:type="dxa"/>
                </w:tcPr>
                <w:p w14:paraId="3D0FA7E4" w14:textId="77777777" w:rsidR="00EE4AF8" w:rsidRPr="00CD13D5" w:rsidRDefault="00EE4AF8" w:rsidP="001A69D6">
                  <w:pPr>
                    <w:rPr>
                      <w:rFonts w:cs="Arial"/>
                      <w:szCs w:val="20"/>
                    </w:rPr>
                  </w:pPr>
                  <w:r w:rsidRPr="00CD13D5">
                    <w:rPr>
                      <w:rFonts w:cs="Arial"/>
                      <w:szCs w:val="20"/>
                    </w:rPr>
                    <w:t>No</w:t>
                  </w:r>
                </w:p>
              </w:tc>
              <w:tc>
                <w:tcPr>
                  <w:tcW w:w="709" w:type="dxa"/>
                </w:tcPr>
                <w:p w14:paraId="1CA8AA20" w14:textId="77777777" w:rsidR="00EE4AF8" w:rsidRPr="00CD13D5" w:rsidRDefault="00EE4AF8" w:rsidP="001A69D6">
                  <w:pPr>
                    <w:rPr>
                      <w:rFonts w:cs="Arial"/>
                      <w:b/>
                      <w:szCs w:val="20"/>
                    </w:rPr>
                  </w:pPr>
                </w:p>
              </w:tc>
            </w:tr>
          </w:tbl>
          <w:p w14:paraId="6050098B" w14:textId="67321D39" w:rsidR="00EE4AF8" w:rsidRPr="00CD13D5" w:rsidRDefault="00EE4AF8" w:rsidP="001A69D6">
            <w:r w:rsidRPr="00CD13D5">
              <w:br/>
            </w:r>
          </w:p>
        </w:tc>
      </w:tr>
      <w:tr w:rsidR="00672602" w:rsidRPr="00CD13D5" w14:paraId="5D7AB121" w14:textId="77777777" w:rsidTr="00B01179">
        <w:tblPrEx>
          <w:tblLook w:val="01E0" w:firstRow="1" w:lastRow="1" w:firstColumn="1" w:lastColumn="1" w:noHBand="0" w:noVBand="0"/>
        </w:tblPrEx>
        <w:trPr>
          <w:trHeight w:val="567"/>
          <w:jc w:val="center"/>
        </w:trPr>
        <w:tc>
          <w:tcPr>
            <w:tcW w:w="10063" w:type="dxa"/>
            <w:shd w:val="clear" w:color="auto" w:fill="auto"/>
          </w:tcPr>
          <w:p w14:paraId="012ADCD1" w14:textId="77777777" w:rsidR="00672602" w:rsidRPr="00CD13D5" w:rsidRDefault="00672602" w:rsidP="001A69D6">
            <w:pPr>
              <w:pStyle w:val="Heading2"/>
              <w:numPr>
                <w:ilvl w:val="0"/>
                <w:numId w:val="6"/>
              </w:numPr>
            </w:pPr>
            <w:r w:rsidRPr="00CD13D5">
              <w:t xml:space="preserve">Does this protocol involve requesting any additional information from GPs, or contact with patients? </w:t>
            </w:r>
          </w:p>
          <w:p w14:paraId="6465E962" w14:textId="77777777" w:rsidR="00672602" w:rsidRPr="00CD13D5" w:rsidRDefault="00672602" w:rsidP="001A69D6">
            <w:pPr>
              <w:tabs>
                <w:tab w:val="num" w:pos="360"/>
              </w:tabs>
              <w:rPr>
                <w:rFonts w:cs="Arial"/>
                <w:szCs w:val="20"/>
              </w:rPr>
            </w:pPr>
          </w:p>
          <w:tbl>
            <w:tblPr>
              <w:tblStyle w:val="TableGrid"/>
              <w:tblW w:w="0" w:type="auto"/>
              <w:tblLayout w:type="fixed"/>
              <w:tblLook w:val="04A0" w:firstRow="1" w:lastRow="0" w:firstColumn="1" w:lastColumn="0" w:noHBand="0" w:noVBand="1"/>
            </w:tblPr>
            <w:tblGrid>
              <w:gridCol w:w="738"/>
              <w:gridCol w:w="709"/>
              <w:gridCol w:w="708"/>
              <w:gridCol w:w="709"/>
            </w:tblGrid>
            <w:tr w:rsidR="00EE4AF8" w:rsidRPr="00CD13D5" w14:paraId="44456920" w14:textId="77777777" w:rsidTr="00D9289D">
              <w:tc>
                <w:tcPr>
                  <w:tcW w:w="738" w:type="dxa"/>
                </w:tcPr>
                <w:p w14:paraId="6CA50399" w14:textId="77777777" w:rsidR="00EE4AF8" w:rsidRPr="00CD13D5" w:rsidRDefault="00EE4AF8" w:rsidP="001A69D6">
                  <w:pPr>
                    <w:rPr>
                      <w:rFonts w:cs="Arial"/>
                      <w:szCs w:val="20"/>
                    </w:rPr>
                  </w:pPr>
                  <w:r w:rsidRPr="00CD13D5">
                    <w:rPr>
                      <w:rFonts w:cs="Arial"/>
                      <w:szCs w:val="20"/>
                    </w:rPr>
                    <w:t>Yes</w:t>
                  </w:r>
                </w:p>
              </w:tc>
              <w:tc>
                <w:tcPr>
                  <w:tcW w:w="709" w:type="dxa"/>
                </w:tcPr>
                <w:p w14:paraId="1187F34B" w14:textId="77777777" w:rsidR="00EE4AF8" w:rsidRPr="00CD13D5" w:rsidRDefault="00EE4AF8" w:rsidP="001A69D6">
                  <w:pPr>
                    <w:rPr>
                      <w:rFonts w:cs="Arial"/>
                      <w:b/>
                      <w:szCs w:val="20"/>
                    </w:rPr>
                  </w:pPr>
                </w:p>
              </w:tc>
              <w:tc>
                <w:tcPr>
                  <w:tcW w:w="708" w:type="dxa"/>
                </w:tcPr>
                <w:p w14:paraId="278D32EE" w14:textId="77777777" w:rsidR="00EE4AF8" w:rsidRPr="00CD13D5" w:rsidRDefault="00EE4AF8" w:rsidP="001A69D6">
                  <w:pPr>
                    <w:rPr>
                      <w:rFonts w:cs="Arial"/>
                      <w:szCs w:val="20"/>
                    </w:rPr>
                  </w:pPr>
                  <w:r w:rsidRPr="00CD13D5">
                    <w:rPr>
                      <w:rFonts w:cs="Arial"/>
                      <w:szCs w:val="20"/>
                    </w:rPr>
                    <w:t>No</w:t>
                  </w:r>
                </w:p>
              </w:tc>
              <w:tc>
                <w:tcPr>
                  <w:tcW w:w="709" w:type="dxa"/>
                </w:tcPr>
                <w:p w14:paraId="6EE78E27" w14:textId="14403706" w:rsidR="00EE4AF8" w:rsidRPr="00CD13D5" w:rsidRDefault="008D7424" w:rsidP="001A69D6">
                  <w:pPr>
                    <w:rPr>
                      <w:rFonts w:cs="Arial"/>
                      <w:b/>
                      <w:szCs w:val="20"/>
                    </w:rPr>
                  </w:pPr>
                  <w:r>
                    <w:rPr>
                      <w:rFonts w:cs="Arial"/>
                      <w:b/>
                      <w:szCs w:val="20"/>
                    </w:rPr>
                    <w:t>X</w:t>
                  </w:r>
                </w:p>
              </w:tc>
            </w:tr>
          </w:tbl>
          <w:p w14:paraId="3084AB1B" w14:textId="77777777" w:rsidR="00EE4AF8" w:rsidRPr="00CD13D5" w:rsidRDefault="00EE4AF8" w:rsidP="001A69D6">
            <w:pPr>
              <w:tabs>
                <w:tab w:val="num" w:pos="360"/>
              </w:tabs>
              <w:rPr>
                <w:rFonts w:cs="Arial"/>
                <w:szCs w:val="20"/>
              </w:rPr>
            </w:pPr>
          </w:p>
          <w:p w14:paraId="7482EAE8" w14:textId="7E8B933A" w:rsidR="00672602" w:rsidRPr="008D7424" w:rsidRDefault="00672602" w:rsidP="001A69D6">
            <w:pPr>
              <w:tabs>
                <w:tab w:val="num" w:pos="360"/>
              </w:tabs>
              <w:rPr>
                <w:rFonts w:cs="Arial"/>
                <w:szCs w:val="20"/>
              </w:rPr>
            </w:pPr>
            <w:r w:rsidRPr="00CD13D5">
              <w:rPr>
                <w:rFonts w:cs="Arial"/>
                <w:szCs w:val="20"/>
              </w:rPr>
              <w:t xml:space="preserve"> If yes, provide </w:t>
            </w:r>
            <w:r w:rsidR="00EB0305" w:rsidRPr="00CD13D5">
              <w:rPr>
                <w:rFonts w:cs="Arial"/>
                <w:szCs w:val="20"/>
              </w:rPr>
              <w:t>the</w:t>
            </w:r>
            <w:r w:rsidRPr="00CD13D5">
              <w:rPr>
                <w:rFonts w:cs="Arial"/>
                <w:szCs w:val="20"/>
              </w:rPr>
              <w:t xml:space="preserve"> reference number: </w:t>
            </w:r>
          </w:p>
        </w:tc>
      </w:tr>
    </w:tbl>
    <w:p w14:paraId="2377862F" w14:textId="68F60251" w:rsidR="0009231E" w:rsidRPr="00CD13D5" w:rsidRDefault="0009231E" w:rsidP="001A69D6">
      <w:pPr>
        <w:jc w:val="center"/>
        <w:rPr>
          <w:b/>
          <w:bCs/>
          <w:sz w:val="32"/>
          <w:szCs w:val="32"/>
        </w:rPr>
      </w:pPr>
    </w:p>
    <w:p w14:paraId="1DE9CD23" w14:textId="7F6BDDB4" w:rsidR="00672602" w:rsidRPr="00CD13D5" w:rsidRDefault="0009231E" w:rsidP="001A69D6">
      <w:pPr>
        <w:spacing w:after="160" w:line="259" w:lineRule="auto"/>
        <w:rPr>
          <w:rFonts w:eastAsia="Arial" w:cs="Arial"/>
          <w:b/>
          <w:bCs/>
          <w:sz w:val="28"/>
          <w:szCs w:val="28"/>
          <w:lang w:val="en"/>
        </w:rPr>
      </w:pPr>
      <w:r w:rsidRPr="00CD13D5">
        <w:rPr>
          <w:b/>
          <w:bCs/>
          <w:sz w:val="32"/>
          <w:szCs w:val="32"/>
        </w:rPr>
        <w:br w:type="page"/>
      </w:r>
      <w:r w:rsidRPr="00CD13D5">
        <w:rPr>
          <w:b/>
          <w:bCs/>
          <w:sz w:val="32"/>
          <w:szCs w:val="32"/>
        </w:rPr>
        <w:lastRenderedPageBreak/>
        <w:t xml:space="preserve">PART 2: </w:t>
      </w:r>
      <w:r w:rsidR="4DD01E43" w:rsidRPr="00CD13D5">
        <w:rPr>
          <w:b/>
          <w:bCs/>
          <w:sz w:val="32"/>
          <w:szCs w:val="32"/>
        </w:rPr>
        <w:t>PROTOCOL INFORMATION</w:t>
      </w:r>
    </w:p>
    <w:p w14:paraId="52013ADC" w14:textId="77777777" w:rsidR="00090B54" w:rsidRPr="00CD13D5" w:rsidRDefault="00090B54" w:rsidP="001A69D6">
      <w:pP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672602" w:rsidRPr="00CD13D5" w14:paraId="4880E203" w14:textId="77777777" w:rsidTr="00E36688">
        <w:tc>
          <w:tcPr>
            <w:tcW w:w="10456" w:type="dxa"/>
            <w:shd w:val="clear" w:color="auto" w:fill="B4C6E7" w:themeFill="accent1" w:themeFillTint="66"/>
          </w:tcPr>
          <w:p w14:paraId="4B89BDE0" w14:textId="77777777" w:rsidR="00672602" w:rsidRPr="00CD13D5" w:rsidRDefault="00672602" w:rsidP="001A69D6">
            <w:pPr>
              <w:jc w:val="center"/>
              <w:rPr>
                <w:rFonts w:cs="Arial"/>
                <w:b/>
                <w:szCs w:val="20"/>
              </w:rPr>
            </w:pPr>
            <w:r w:rsidRPr="00CD13D5">
              <w:rPr>
                <w:rFonts w:cs="Arial"/>
                <w:b/>
                <w:szCs w:val="20"/>
              </w:rPr>
              <w:t>Applicants must complete all sections listed below</w:t>
            </w:r>
          </w:p>
          <w:p w14:paraId="5F93E9E5" w14:textId="3B0EFA38" w:rsidR="00672602" w:rsidRPr="00CD13D5" w:rsidRDefault="00E56E36" w:rsidP="001A69D6">
            <w:pPr>
              <w:jc w:val="center"/>
              <w:rPr>
                <w:rFonts w:cs="Arial"/>
                <w:b/>
                <w:szCs w:val="20"/>
              </w:rPr>
            </w:pPr>
            <w:r>
              <w:rPr>
                <w:rFonts w:cs="Arial"/>
                <w:b/>
                <w:szCs w:val="20"/>
              </w:rPr>
              <w:t>Applications with sections marked ‘Not applicable’ without just</w:t>
            </w:r>
            <w:r w:rsidR="00D96FF7">
              <w:rPr>
                <w:rFonts w:cs="Arial"/>
                <w:b/>
                <w:szCs w:val="20"/>
              </w:rPr>
              <w:t>ification will be returned as invalid</w:t>
            </w:r>
          </w:p>
        </w:tc>
      </w:tr>
      <w:tr w:rsidR="00672602" w:rsidRPr="00CD13D5" w14:paraId="515ABC6B" w14:textId="77777777" w:rsidTr="001A69D6">
        <w:trPr>
          <w:cantSplit/>
        </w:trPr>
        <w:tc>
          <w:tcPr>
            <w:tcW w:w="10456" w:type="dxa"/>
            <w:shd w:val="clear" w:color="auto" w:fill="auto"/>
          </w:tcPr>
          <w:p w14:paraId="339990A3" w14:textId="2692DEC5" w:rsidR="00672602" w:rsidRPr="00CD13D5" w:rsidRDefault="00672602" w:rsidP="001A69D6">
            <w:pPr>
              <w:pStyle w:val="Heading2"/>
              <w:numPr>
                <w:ilvl w:val="0"/>
                <w:numId w:val="8"/>
              </w:numPr>
            </w:pPr>
            <w:r w:rsidRPr="00CD13D5">
              <w:t>Study Title</w:t>
            </w:r>
            <w:r w:rsidR="00E709A7">
              <w:t xml:space="preserve"> (Max. 255 characters</w:t>
            </w:r>
            <w:r w:rsidR="005D28AB">
              <w:t>, including spaces</w:t>
            </w:r>
            <w:r w:rsidR="00E709A7">
              <w:t>)</w:t>
            </w:r>
          </w:p>
          <w:p w14:paraId="1C8910EB" w14:textId="36D830BD" w:rsidR="00E435EE" w:rsidRPr="00CD13D5" w:rsidRDefault="00E435EE" w:rsidP="001A69D6">
            <w:pPr>
              <w:spacing w:after="120"/>
            </w:pPr>
            <w:r w:rsidRPr="00E435EE">
              <w:t>Indirect acute effects of the COVID-19 pandemic on physical and mental health</w:t>
            </w:r>
          </w:p>
        </w:tc>
      </w:tr>
      <w:tr w:rsidR="00672602" w:rsidRPr="00CD13D5" w14:paraId="4109FE19" w14:textId="77777777" w:rsidTr="001A69D6">
        <w:trPr>
          <w:cantSplit/>
        </w:trPr>
        <w:tc>
          <w:tcPr>
            <w:tcW w:w="10456" w:type="dxa"/>
            <w:tcBorders>
              <w:bottom w:val="single" w:sz="4" w:space="0" w:color="auto"/>
            </w:tcBorders>
            <w:shd w:val="clear" w:color="auto" w:fill="auto"/>
          </w:tcPr>
          <w:p w14:paraId="2D23B750" w14:textId="77777777" w:rsidR="00672602" w:rsidRPr="00CD13D5" w:rsidRDefault="00672602" w:rsidP="001A69D6">
            <w:pPr>
              <w:pStyle w:val="Heading2"/>
              <w:numPr>
                <w:ilvl w:val="0"/>
                <w:numId w:val="8"/>
              </w:numPr>
            </w:pPr>
            <w:r w:rsidRPr="00CD13D5">
              <w:t>Lay Summary (Max. 250 words)</w:t>
            </w:r>
          </w:p>
          <w:p w14:paraId="5C4CD7A7" w14:textId="22F2A64F" w:rsidR="00E435EE" w:rsidRDefault="00E435EE" w:rsidP="001A69D6">
            <w:pPr>
              <w:spacing w:after="120"/>
            </w:pPr>
            <w:r>
              <w:t xml:space="preserve">We will investigate the effect of the COVID-19 pandemic on some key mental and physical health conditions not directly related to coronavirus infection. Understanding </w:t>
            </w:r>
            <w:r w:rsidR="008C48BA">
              <w:t>the indirect</w:t>
            </w:r>
            <w:r>
              <w:t xml:space="preserve"> effects of the pandemic will inform UK healthcare policy by identifying population healthcare needs. </w:t>
            </w:r>
          </w:p>
          <w:p w14:paraId="35886100" w14:textId="06C8654F" w:rsidR="00E435EE" w:rsidRDefault="00E435EE" w:rsidP="001A69D6">
            <w:pPr>
              <w:spacing w:after="120"/>
            </w:pPr>
            <w:r>
              <w:t>The COVID-19 pandemic has caused substantial illness and death. Much of the UK focus has been on pandemic management. However, the pandemic will have effects on wider mental and physical health, because of</w:t>
            </w:r>
            <w:r w:rsidR="00A85D28">
              <w:t xml:space="preserve"> heightened</w:t>
            </w:r>
            <w:r>
              <w:t xml:space="preserve"> </w:t>
            </w:r>
            <w:r w:rsidR="00106369">
              <w:t xml:space="preserve">distress and </w:t>
            </w:r>
            <w:r>
              <w:t>reduced healthcare resources for conditions</w:t>
            </w:r>
            <w:r w:rsidR="00106369">
              <w:t xml:space="preserve"> other than COVID-19</w:t>
            </w:r>
            <w:r w:rsidR="004473D9">
              <w:t xml:space="preserve"> (e.g. </w:t>
            </w:r>
            <w:r>
              <w:t>activities like monitoring and treatment of ongoing illnesses</w:t>
            </w:r>
            <w:r w:rsidR="004473D9">
              <w:t>)</w:t>
            </w:r>
            <w:r>
              <w:t xml:space="preserve">. People may also </w:t>
            </w:r>
            <w:r w:rsidR="00AF6563">
              <w:t>avoid</w:t>
            </w:r>
            <w:r>
              <w:t xml:space="preserve"> seek</w:t>
            </w:r>
            <w:r w:rsidR="00AF6563">
              <w:t>ing</w:t>
            </w:r>
            <w:r>
              <w:t xml:space="preserve"> care for new </w:t>
            </w:r>
            <w:r w:rsidR="00FB042C">
              <w:t xml:space="preserve">and ongoing </w:t>
            </w:r>
            <w:r>
              <w:t>conditions</w:t>
            </w:r>
            <w:r w:rsidR="00AF6563">
              <w:t xml:space="preserve"> due to</w:t>
            </w:r>
            <w:r w:rsidR="00A0190F">
              <w:t xml:space="preserve"> a</w:t>
            </w:r>
            <w:r>
              <w:t xml:space="preserve">nxiety about the pandemic </w:t>
            </w:r>
            <w:r w:rsidR="00A0190F">
              <w:t>(fear of infection</w:t>
            </w:r>
            <w:r w:rsidR="001B7ED4">
              <w:t>, perceived burden on health service</w:t>
            </w:r>
            <w:r w:rsidR="00A0190F">
              <w:t>)</w:t>
            </w:r>
            <w:r w:rsidR="008547F5">
              <w:t>.</w:t>
            </w:r>
            <w:r w:rsidR="00A65AE9">
              <w:t xml:space="preserve"> </w:t>
            </w:r>
            <w:r w:rsidR="008547F5">
              <w:t>P</w:t>
            </w:r>
            <w:r w:rsidR="00A65AE9">
              <w:t>andemic-related anxiety</w:t>
            </w:r>
            <w:r w:rsidR="00A0190F">
              <w:t xml:space="preserve"> </w:t>
            </w:r>
            <w:r>
              <w:t>will</w:t>
            </w:r>
            <w:r w:rsidR="00A65AE9">
              <w:t xml:space="preserve"> also</w:t>
            </w:r>
            <w:r>
              <w:t xml:space="preserve"> affect mental health</w:t>
            </w:r>
            <w:r w:rsidR="00A65AE9">
              <w:t>,</w:t>
            </w:r>
            <w:r w:rsidR="00AF6563">
              <w:t xml:space="preserve"> </w:t>
            </w:r>
            <w:r w:rsidR="00A65AE9">
              <w:t>as will</w:t>
            </w:r>
            <w:r>
              <w:t xml:space="preserve"> control measures to limit virus spread (e.g. self-isolation</w:t>
            </w:r>
            <w:r w:rsidR="00E36688">
              <w:t xml:space="preserve"> and employment worries</w:t>
            </w:r>
            <w:r>
              <w:t>)</w:t>
            </w:r>
            <w:r w:rsidR="00A65AE9">
              <w:t>.</w:t>
            </w:r>
            <w:r>
              <w:t xml:space="preserve">  </w:t>
            </w:r>
          </w:p>
          <w:p w14:paraId="62B125F4" w14:textId="50E330E9" w:rsidR="003523B9" w:rsidRPr="00CD13D5" w:rsidRDefault="00E435EE" w:rsidP="001A69D6">
            <w:pPr>
              <w:spacing w:after="120"/>
            </w:pPr>
            <w:r>
              <w:t xml:space="preserve">We will look at specific diseases affected by different aspects of the pandemic: diabetic emergencies, lung diseases, heart disease emergencies, strokes, and mental illnesses, and compare patterns before and after lockdown measures. </w:t>
            </w:r>
            <w:r w:rsidRPr="00E435EE">
              <w:t>We will also explore w</w:t>
            </w:r>
            <w:r>
              <w:t>hether the patterns of these specific diseases are different in different groups of people including</w:t>
            </w:r>
            <w:r w:rsidR="00114036">
              <w:t xml:space="preserve"> </w:t>
            </w:r>
            <w:r w:rsidRPr="00E435EE">
              <w:t>people of different ages, men and women, different ethnicities, different levels of deprivation, and between people living in</w:t>
            </w:r>
            <w:r w:rsidR="00122F36">
              <w:t xml:space="preserve"> different regions, or</w:t>
            </w:r>
            <w:r w:rsidRPr="00E435EE">
              <w:t xml:space="preserve"> rural </w:t>
            </w:r>
            <w:r w:rsidR="00122F36">
              <w:t>and</w:t>
            </w:r>
            <w:r w:rsidRPr="00E435EE">
              <w:t xml:space="preserve"> urban areas. This will help inform </w:t>
            </w:r>
            <w:r w:rsidR="000448E1">
              <w:t xml:space="preserve">clinicians and health care service providers </w:t>
            </w:r>
            <w:r w:rsidRPr="00E435EE">
              <w:t xml:space="preserve">where healthcare resources </w:t>
            </w:r>
            <w:r w:rsidR="002F667C">
              <w:t>are needed most</w:t>
            </w:r>
            <w:r w:rsidRPr="00E435EE">
              <w:t>.</w:t>
            </w:r>
          </w:p>
        </w:tc>
      </w:tr>
      <w:tr w:rsidR="00672602" w:rsidRPr="00CD13D5" w14:paraId="6CF05AAE" w14:textId="77777777" w:rsidTr="001A69D6">
        <w:tc>
          <w:tcPr>
            <w:tcW w:w="10456" w:type="dxa"/>
            <w:tcBorders>
              <w:bottom w:val="single" w:sz="4" w:space="0" w:color="auto"/>
            </w:tcBorders>
            <w:shd w:val="clear" w:color="auto" w:fill="auto"/>
          </w:tcPr>
          <w:p w14:paraId="47E339BA" w14:textId="77777777" w:rsidR="00672602" w:rsidRPr="00CD13D5" w:rsidRDefault="00672602" w:rsidP="001A69D6">
            <w:pPr>
              <w:pStyle w:val="Heading2"/>
              <w:numPr>
                <w:ilvl w:val="0"/>
                <w:numId w:val="8"/>
              </w:numPr>
            </w:pPr>
            <w:r w:rsidRPr="00CD13D5">
              <w:t>Technical Summary (Max. 300 words)</w:t>
            </w:r>
          </w:p>
          <w:p w14:paraId="36C79A06" w14:textId="5C7BC944" w:rsidR="002A2AC9" w:rsidRDefault="0047067C" w:rsidP="001A69D6">
            <w:pPr>
              <w:spacing w:after="120"/>
              <w:rPr>
                <w:rFonts w:cs="Arial"/>
                <w:szCs w:val="20"/>
              </w:rPr>
            </w:pPr>
            <w:r w:rsidRPr="00253652">
              <w:rPr>
                <w:rFonts w:cs="Arial"/>
                <w:szCs w:val="20"/>
              </w:rPr>
              <w:t xml:space="preserve">We </w:t>
            </w:r>
            <w:r w:rsidR="00014359">
              <w:rPr>
                <w:rFonts w:cs="Arial"/>
                <w:szCs w:val="20"/>
              </w:rPr>
              <w:t>will</w:t>
            </w:r>
            <w:r w:rsidRPr="00253652">
              <w:rPr>
                <w:rFonts w:cs="Arial"/>
                <w:szCs w:val="20"/>
              </w:rPr>
              <w:t xml:space="preserve"> analyse changes in </w:t>
            </w:r>
            <w:r>
              <w:rPr>
                <w:rFonts w:cs="Arial"/>
                <w:szCs w:val="20"/>
              </w:rPr>
              <w:t>key</w:t>
            </w:r>
            <w:r w:rsidR="00E36688">
              <w:rPr>
                <w:rFonts w:cs="Arial"/>
                <w:szCs w:val="20"/>
              </w:rPr>
              <w:t xml:space="preserve"> indirect </w:t>
            </w:r>
            <w:r>
              <w:rPr>
                <w:rFonts w:cs="Arial"/>
                <w:szCs w:val="20"/>
              </w:rPr>
              <w:t>mental and physical</w:t>
            </w:r>
            <w:r w:rsidRPr="00253652">
              <w:rPr>
                <w:rFonts w:cs="Arial"/>
                <w:szCs w:val="20"/>
              </w:rPr>
              <w:t xml:space="preserve"> health outcomes, during and following the COVID-19 pandemic</w:t>
            </w:r>
            <w:r w:rsidR="00812EDA">
              <w:rPr>
                <w:rFonts w:cs="Arial"/>
                <w:szCs w:val="20"/>
              </w:rPr>
              <w:t xml:space="preserve">, </w:t>
            </w:r>
            <w:r w:rsidR="0028157C">
              <w:rPr>
                <w:rFonts w:cs="Arial"/>
                <w:szCs w:val="20"/>
              </w:rPr>
              <w:t>including</w:t>
            </w:r>
            <w:r w:rsidR="00014359">
              <w:rPr>
                <w:rFonts w:cs="Arial"/>
                <w:szCs w:val="20"/>
              </w:rPr>
              <w:t xml:space="preserve"> </w:t>
            </w:r>
            <w:r w:rsidR="0028157C">
              <w:rPr>
                <w:rFonts w:cs="Arial"/>
                <w:szCs w:val="20"/>
              </w:rPr>
              <w:t>mental health outcomes (</w:t>
            </w:r>
            <w:r w:rsidR="0021230C">
              <w:rPr>
                <w:rFonts w:cs="Arial"/>
                <w:szCs w:val="20"/>
              </w:rPr>
              <w:t>e.g.</w:t>
            </w:r>
            <w:r w:rsidR="00A3209C">
              <w:rPr>
                <w:rFonts w:cs="Arial"/>
                <w:szCs w:val="20"/>
              </w:rPr>
              <w:t xml:space="preserve"> depression, anxiety</w:t>
            </w:r>
            <w:r w:rsidR="009F54B3">
              <w:rPr>
                <w:rFonts w:cs="Arial"/>
                <w:szCs w:val="20"/>
              </w:rPr>
              <w:t>,</w:t>
            </w:r>
            <w:r w:rsidR="00A3209C">
              <w:rPr>
                <w:rFonts w:cs="Arial"/>
                <w:szCs w:val="20"/>
              </w:rPr>
              <w:t xml:space="preserve"> </w:t>
            </w:r>
            <w:r w:rsidR="009F54B3">
              <w:rPr>
                <w:rFonts w:cs="Arial"/>
                <w:szCs w:val="20"/>
              </w:rPr>
              <w:t xml:space="preserve">alcohol-related </w:t>
            </w:r>
            <w:r w:rsidR="0028157C">
              <w:rPr>
                <w:rFonts w:cs="Arial"/>
                <w:szCs w:val="20"/>
              </w:rPr>
              <w:t xml:space="preserve">harms), and </w:t>
            </w:r>
            <w:r w:rsidR="00613310">
              <w:rPr>
                <w:rFonts w:cs="Arial"/>
                <w:szCs w:val="20"/>
              </w:rPr>
              <w:t>acute</w:t>
            </w:r>
            <w:r>
              <w:rPr>
                <w:rFonts w:cs="Arial"/>
                <w:szCs w:val="20"/>
              </w:rPr>
              <w:t xml:space="preserve"> </w:t>
            </w:r>
            <w:r w:rsidR="0028157C">
              <w:rPr>
                <w:rFonts w:cs="Arial"/>
                <w:szCs w:val="20"/>
              </w:rPr>
              <w:t>presentations of diabetes</w:t>
            </w:r>
            <w:r w:rsidR="0093223B">
              <w:rPr>
                <w:rFonts w:cs="Arial"/>
                <w:szCs w:val="20"/>
              </w:rPr>
              <w:t xml:space="preserve"> (</w:t>
            </w:r>
            <w:r w:rsidR="0021230C">
              <w:rPr>
                <w:rFonts w:cs="Arial"/>
                <w:szCs w:val="20"/>
              </w:rPr>
              <w:t>e.g.</w:t>
            </w:r>
            <w:r w:rsidR="0093223B">
              <w:rPr>
                <w:rFonts w:cs="Arial"/>
                <w:szCs w:val="20"/>
              </w:rPr>
              <w:t xml:space="preserve"> ketoacidosis)</w:t>
            </w:r>
            <w:r>
              <w:rPr>
                <w:rFonts w:cs="Arial"/>
                <w:szCs w:val="20"/>
              </w:rPr>
              <w:t xml:space="preserve">, </w:t>
            </w:r>
            <w:r w:rsidR="0028157C">
              <w:rPr>
                <w:rFonts w:cs="Arial"/>
                <w:szCs w:val="20"/>
              </w:rPr>
              <w:t>respiratory</w:t>
            </w:r>
            <w:r w:rsidR="0093223B">
              <w:rPr>
                <w:rFonts w:cs="Arial"/>
                <w:szCs w:val="20"/>
              </w:rPr>
              <w:t xml:space="preserve"> (</w:t>
            </w:r>
            <w:r w:rsidR="0021230C">
              <w:rPr>
                <w:rFonts w:cs="Arial"/>
                <w:szCs w:val="20"/>
              </w:rPr>
              <w:t>e.g.</w:t>
            </w:r>
            <w:r w:rsidR="0093223B">
              <w:rPr>
                <w:rFonts w:cs="Arial"/>
                <w:szCs w:val="20"/>
              </w:rPr>
              <w:t xml:space="preserve"> exacerbations of asthma and chronic obstructive pulmonary disease)</w:t>
            </w:r>
            <w:r w:rsidR="0028157C">
              <w:rPr>
                <w:rFonts w:cs="Arial"/>
                <w:szCs w:val="20"/>
              </w:rPr>
              <w:t xml:space="preserve"> </w:t>
            </w:r>
            <w:r>
              <w:rPr>
                <w:rFonts w:cs="Arial"/>
                <w:szCs w:val="20"/>
              </w:rPr>
              <w:t xml:space="preserve">and cardiovascular </w:t>
            </w:r>
            <w:r w:rsidR="0093223B">
              <w:rPr>
                <w:rFonts w:cs="Arial"/>
                <w:szCs w:val="20"/>
              </w:rPr>
              <w:t>(</w:t>
            </w:r>
            <w:r w:rsidR="0021230C">
              <w:rPr>
                <w:rFonts w:cs="Arial"/>
                <w:szCs w:val="20"/>
              </w:rPr>
              <w:t>e.g.</w:t>
            </w:r>
            <w:r w:rsidR="0093223B">
              <w:rPr>
                <w:rFonts w:cs="Arial"/>
                <w:szCs w:val="20"/>
              </w:rPr>
              <w:t xml:space="preserve"> myocardial infarction, </w:t>
            </w:r>
            <w:r w:rsidR="007F41D1">
              <w:rPr>
                <w:rFonts w:cs="Arial"/>
                <w:szCs w:val="20"/>
              </w:rPr>
              <w:t>unstable angina</w:t>
            </w:r>
            <w:r w:rsidR="0093223B">
              <w:rPr>
                <w:rFonts w:cs="Arial"/>
                <w:szCs w:val="20"/>
              </w:rPr>
              <w:t>, stroke)</w:t>
            </w:r>
            <w:r w:rsidR="0028157C">
              <w:rPr>
                <w:rFonts w:cs="Arial"/>
                <w:szCs w:val="20"/>
              </w:rPr>
              <w:t xml:space="preserve"> disease</w:t>
            </w:r>
            <w:r w:rsidR="0007454A">
              <w:rPr>
                <w:rFonts w:cs="Arial"/>
                <w:szCs w:val="20"/>
              </w:rPr>
              <w:t>s</w:t>
            </w:r>
            <w:r w:rsidRPr="00253652">
              <w:rPr>
                <w:rFonts w:cs="Arial"/>
                <w:szCs w:val="20"/>
              </w:rPr>
              <w:t xml:space="preserve">. </w:t>
            </w:r>
          </w:p>
          <w:p w14:paraId="19038170" w14:textId="054CEB70" w:rsidR="00613310" w:rsidRDefault="00F854F2" w:rsidP="001A69D6">
            <w:pPr>
              <w:spacing w:after="120"/>
              <w:rPr>
                <w:rFonts w:cs="Arial"/>
                <w:szCs w:val="20"/>
              </w:rPr>
            </w:pPr>
            <w:r>
              <w:rPr>
                <w:rFonts w:cs="Arial"/>
                <w:szCs w:val="20"/>
              </w:rPr>
              <w:t>Initially, we</w:t>
            </w:r>
            <w:r w:rsidR="002A2AC9">
              <w:rPr>
                <w:rFonts w:cs="Arial"/>
                <w:szCs w:val="20"/>
              </w:rPr>
              <w:t xml:space="preserve"> will descriptively compare</w:t>
            </w:r>
            <w:r w:rsidR="0047067C">
              <w:rPr>
                <w:rFonts w:cs="Arial"/>
                <w:szCs w:val="20"/>
              </w:rPr>
              <w:t xml:space="preserve"> </w:t>
            </w:r>
            <w:r w:rsidR="002A2AC9">
              <w:rPr>
                <w:rFonts w:cs="Arial"/>
                <w:szCs w:val="20"/>
              </w:rPr>
              <w:t>the</w:t>
            </w:r>
            <w:r w:rsidR="0047067C">
              <w:rPr>
                <w:rFonts w:cs="Arial"/>
                <w:szCs w:val="20"/>
              </w:rPr>
              <w:t xml:space="preserve"> proportions of weekly outcomes before</w:t>
            </w:r>
            <w:r w:rsidR="00A93461">
              <w:rPr>
                <w:rFonts w:cs="Arial"/>
                <w:szCs w:val="20"/>
              </w:rPr>
              <w:t xml:space="preserve"> (from </w:t>
            </w:r>
            <w:r w:rsidR="009F54B3">
              <w:rPr>
                <w:rFonts w:cs="Arial"/>
                <w:szCs w:val="20"/>
              </w:rPr>
              <w:t>January</w:t>
            </w:r>
            <w:r w:rsidR="00A93461">
              <w:rPr>
                <w:rFonts w:cs="Arial"/>
                <w:szCs w:val="20"/>
              </w:rPr>
              <w:t xml:space="preserve"> 2017)</w:t>
            </w:r>
            <w:r w:rsidR="0047067C">
              <w:rPr>
                <w:rFonts w:cs="Arial"/>
                <w:szCs w:val="20"/>
              </w:rPr>
              <w:t xml:space="preserve"> and after lockdown measures were introduced on 13</w:t>
            </w:r>
            <w:r w:rsidR="0047067C" w:rsidRPr="00EA3821">
              <w:rPr>
                <w:rFonts w:cs="Arial"/>
                <w:szCs w:val="20"/>
                <w:vertAlign w:val="superscript"/>
              </w:rPr>
              <w:t>th</w:t>
            </w:r>
            <w:r w:rsidR="0047067C">
              <w:rPr>
                <w:rFonts w:cs="Arial"/>
                <w:szCs w:val="20"/>
              </w:rPr>
              <w:t xml:space="preserve"> March 2020 (</w:t>
            </w:r>
            <w:r w:rsidR="000A6112">
              <w:rPr>
                <w:rFonts w:cs="Arial"/>
                <w:szCs w:val="20"/>
              </w:rPr>
              <w:t>with sensitivity analyses looking at alternative time points</w:t>
            </w:r>
            <w:r w:rsidR="0047067C">
              <w:rPr>
                <w:rFonts w:cs="Arial"/>
                <w:szCs w:val="20"/>
              </w:rPr>
              <w:t>)</w:t>
            </w:r>
            <w:r w:rsidR="0047067C" w:rsidRPr="00253652">
              <w:rPr>
                <w:rFonts w:cs="Arial"/>
                <w:szCs w:val="20"/>
              </w:rPr>
              <w:t>.</w:t>
            </w:r>
            <w:r w:rsidR="0047067C">
              <w:rPr>
                <w:rFonts w:cs="Arial"/>
                <w:szCs w:val="20"/>
              </w:rPr>
              <w:t xml:space="preserve"> </w:t>
            </w:r>
            <w:r w:rsidR="0028157C">
              <w:rPr>
                <w:rFonts w:cs="Arial"/>
                <w:szCs w:val="20"/>
              </w:rPr>
              <w:t xml:space="preserve">To calculate weekly </w:t>
            </w:r>
            <w:r w:rsidR="009F54B3">
              <w:rPr>
                <w:rFonts w:cs="Arial"/>
                <w:szCs w:val="20"/>
              </w:rPr>
              <w:t xml:space="preserve">outcome </w:t>
            </w:r>
            <w:r w:rsidR="0028157C">
              <w:rPr>
                <w:rFonts w:cs="Arial"/>
                <w:szCs w:val="20"/>
              </w:rPr>
              <w:t>proportions, we will use different d</w:t>
            </w:r>
            <w:r w:rsidR="00613310">
              <w:rPr>
                <w:rFonts w:cs="Arial"/>
                <w:szCs w:val="20"/>
              </w:rPr>
              <w:t>enominator populations</w:t>
            </w:r>
            <w:r w:rsidR="0028157C">
              <w:rPr>
                <w:rFonts w:cs="Arial"/>
                <w:szCs w:val="20"/>
              </w:rPr>
              <w:t xml:space="preserve"> depending on the outcome under investigation</w:t>
            </w:r>
            <w:r w:rsidR="00613310">
              <w:rPr>
                <w:rFonts w:cs="Arial"/>
                <w:szCs w:val="20"/>
              </w:rPr>
              <w:t xml:space="preserve">: 1) </w:t>
            </w:r>
            <w:r w:rsidR="0028157C">
              <w:rPr>
                <w:rFonts w:cs="Arial"/>
                <w:szCs w:val="20"/>
              </w:rPr>
              <w:t xml:space="preserve">for acute </w:t>
            </w:r>
            <w:r w:rsidR="009F54B3">
              <w:rPr>
                <w:rFonts w:cs="Arial"/>
                <w:szCs w:val="20"/>
              </w:rPr>
              <w:t xml:space="preserve">diabetic and respiratory </w:t>
            </w:r>
            <w:r w:rsidR="0028157C">
              <w:rPr>
                <w:rFonts w:cs="Arial"/>
                <w:szCs w:val="20"/>
              </w:rPr>
              <w:t>presentations, denominator</w:t>
            </w:r>
            <w:r w:rsidR="00180FA4">
              <w:rPr>
                <w:rFonts w:cs="Arial"/>
                <w:szCs w:val="20"/>
              </w:rPr>
              <w:t xml:space="preserve"> populations</w:t>
            </w:r>
            <w:r w:rsidR="0028157C">
              <w:rPr>
                <w:rFonts w:cs="Arial"/>
                <w:szCs w:val="20"/>
              </w:rPr>
              <w:t xml:space="preserve"> will be </w:t>
            </w:r>
            <w:r w:rsidR="00613310">
              <w:rPr>
                <w:rFonts w:cs="Arial"/>
                <w:szCs w:val="20"/>
              </w:rPr>
              <w:t>individuals with existing diabetes</w:t>
            </w:r>
            <w:r w:rsidR="00856A6F">
              <w:rPr>
                <w:rFonts w:cs="Arial"/>
                <w:szCs w:val="20"/>
              </w:rPr>
              <w:t xml:space="preserve"> (no age limits), </w:t>
            </w:r>
            <w:r w:rsidR="00613310">
              <w:rPr>
                <w:rFonts w:cs="Arial"/>
                <w:szCs w:val="20"/>
              </w:rPr>
              <w:t>asthma</w:t>
            </w:r>
            <w:r w:rsidR="00F7219C">
              <w:rPr>
                <w:rFonts w:cs="Arial"/>
                <w:szCs w:val="20"/>
              </w:rPr>
              <w:t xml:space="preserve"> (</w:t>
            </w:r>
            <w:r w:rsidR="002A2E11">
              <w:rPr>
                <w:rFonts w:cs="Arial"/>
                <w:szCs w:val="20"/>
              </w:rPr>
              <w:t>age</w:t>
            </w:r>
            <w:r w:rsidR="00E11EC9">
              <w:rPr>
                <w:rFonts w:cs="Arial"/>
                <w:szCs w:val="20"/>
              </w:rPr>
              <w:t>d</w:t>
            </w:r>
            <w:r w:rsidR="002A2E11">
              <w:rPr>
                <w:rFonts w:cs="Arial"/>
                <w:szCs w:val="20"/>
              </w:rPr>
              <w:t xml:space="preserve"> 5</w:t>
            </w:r>
            <w:r w:rsidR="00E11EC9">
              <w:rPr>
                <w:rFonts w:cs="Arial"/>
                <w:szCs w:val="20"/>
              </w:rPr>
              <w:t>years</w:t>
            </w:r>
            <w:r w:rsidR="002A2E11">
              <w:rPr>
                <w:rFonts w:cs="Arial"/>
                <w:szCs w:val="20"/>
              </w:rPr>
              <w:t>+</w:t>
            </w:r>
            <w:r w:rsidR="00F7219C">
              <w:rPr>
                <w:rFonts w:cs="Arial"/>
                <w:szCs w:val="20"/>
              </w:rPr>
              <w:t>)</w:t>
            </w:r>
            <w:r w:rsidR="0028157C">
              <w:rPr>
                <w:rFonts w:cs="Arial"/>
                <w:szCs w:val="20"/>
              </w:rPr>
              <w:t xml:space="preserve">, </w:t>
            </w:r>
            <w:r w:rsidR="00FC716C">
              <w:rPr>
                <w:rFonts w:cs="Arial"/>
                <w:szCs w:val="20"/>
              </w:rPr>
              <w:t>or</w:t>
            </w:r>
            <w:r w:rsidR="009339F0">
              <w:rPr>
                <w:rFonts w:cs="Arial"/>
                <w:szCs w:val="20"/>
              </w:rPr>
              <w:t xml:space="preserve"> chronic obstructive pulmonary disease</w:t>
            </w:r>
            <w:r w:rsidR="00FC716C">
              <w:rPr>
                <w:rFonts w:cs="Arial"/>
                <w:szCs w:val="20"/>
              </w:rPr>
              <w:t xml:space="preserve"> </w:t>
            </w:r>
            <w:r w:rsidR="00F7219C">
              <w:rPr>
                <w:rFonts w:cs="Arial"/>
                <w:szCs w:val="20"/>
              </w:rPr>
              <w:t>(aged 40years+)</w:t>
            </w:r>
            <w:r w:rsidR="0028157C">
              <w:rPr>
                <w:rFonts w:cs="Arial"/>
                <w:szCs w:val="20"/>
              </w:rPr>
              <w:t xml:space="preserve"> </w:t>
            </w:r>
            <w:r w:rsidR="00180FA4">
              <w:rPr>
                <w:rFonts w:cs="Arial"/>
                <w:szCs w:val="20"/>
              </w:rPr>
              <w:t>as appropriate</w:t>
            </w:r>
            <w:r w:rsidR="0028157C">
              <w:rPr>
                <w:rFonts w:cs="Arial"/>
                <w:szCs w:val="20"/>
              </w:rPr>
              <w:t xml:space="preserve">; </w:t>
            </w:r>
            <w:r w:rsidR="00180FA4">
              <w:rPr>
                <w:rFonts w:cs="Arial"/>
                <w:szCs w:val="20"/>
              </w:rPr>
              <w:t>and</w:t>
            </w:r>
            <w:r w:rsidR="0028157C">
              <w:rPr>
                <w:rFonts w:cs="Arial"/>
                <w:szCs w:val="20"/>
              </w:rPr>
              <w:t xml:space="preserve"> 2) </w:t>
            </w:r>
            <w:r w:rsidR="00195446">
              <w:rPr>
                <w:rFonts w:cs="Arial"/>
                <w:szCs w:val="20"/>
              </w:rPr>
              <w:t xml:space="preserve">for mental </w:t>
            </w:r>
            <w:r w:rsidR="003A582C">
              <w:rPr>
                <w:rFonts w:cs="Arial"/>
                <w:szCs w:val="20"/>
              </w:rPr>
              <w:t>health outcomes</w:t>
            </w:r>
            <w:r w:rsidR="00F7219C">
              <w:rPr>
                <w:rFonts w:cs="Arial"/>
                <w:szCs w:val="20"/>
              </w:rPr>
              <w:t xml:space="preserve"> (ages </w:t>
            </w:r>
            <w:r w:rsidR="00FE7F1C">
              <w:rPr>
                <w:rFonts w:cs="Arial"/>
                <w:szCs w:val="20"/>
              </w:rPr>
              <w:t>5</w:t>
            </w:r>
            <w:r w:rsidR="00F7219C">
              <w:rPr>
                <w:rFonts w:cs="Arial"/>
                <w:szCs w:val="20"/>
              </w:rPr>
              <w:t>-17, and 18years+)</w:t>
            </w:r>
            <w:r w:rsidR="00FC716C">
              <w:rPr>
                <w:rFonts w:cs="Arial"/>
                <w:szCs w:val="20"/>
              </w:rPr>
              <w:t>, alcohol-related harms</w:t>
            </w:r>
            <w:r w:rsidR="00F7219C">
              <w:rPr>
                <w:rFonts w:cs="Arial"/>
                <w:szCs w:val="20"/>
              </w:rPr>
              <w:t xml:space="preserve"> (aged 18years+)</w:t>
            </w:r>
            <w:r w:rsidR="00FC716C">
              <w:rPr>
                <w:rFonts w:cs="Arial"/>
                <w:szCs w:val="20"/>
              </w:rPr>
              <w:t xml:space="preserve"> and acute cardiovascular disease</w:t>
            </w:r>
            <w:r w:rsidR="00F7219C">
              <w:rPr>
                <w:rFonts w:cs="Arial"/>
                <w:szCs w:val="20"/>
              </w:rPr>
              <w:t xml:space="preserve"> (aged 30years+)</w:t>
            </w:r>
            <w:r w:rsidR="00180FA4">
              <w:rPr>
                <w:rFonts w:cs="Arial"/>
                <w:szCs w:val="20"/>
              </w:rPr>
              <w:t>,</w:t>
            </w:r>
            <w:r w:rsidR="003A582C">
              <w:rPr>
                <w:rFonts w:cs="Arial"/>
                <w:szCs w:val="20"/>
              </w:rPr>
              <w:t xml:space="preserve"> denominators will be the AURUM population</w:t>
            </w:r>
            <w:r w:rsidR="00A5394B">
              <w:rPr>
                <w:rFonts w:cs="Arial"/>
                <w:szCs w:val="20"/>
              </w:rPr>
              <w:t xml:space="preserve"> from 2017</w:t>
            </w:r>
            <w:r w:rsidR="00F7219C">
              <w:rPr>
                <w:rFonts w:cs="Arial"/>
                <w:szCs w:val="20"/>
              </w:rPr>
              <w:t xml:space="preserve"> (restricted to specific ages depending on outcome)</w:t>
            </w:r>
            <w:r w:rsidR="003A582C">
              <w:rPr>
                <w:rFonts w:cs="Arial"/>
                <w:szCs w:val="20"/>
              </w:rPr>
              <w:t>.</w:t>
            </w:r>
            <w:r w:rsidR="0028157C">
              <w:rPr>
                <w:rFonts w:cs="Arial"/>
                <w:szCs w:val="20"/>
              </w:rPr>
              <w:t xml:space="preserve"> </w:t>
            </w:r>
          </w:p>
          <w:p w14:paraId="0430F8A8" w14:textId="561EF2D4" w:rsidR="00812EDA" w:rsidRDefault="00B029FE" w:rsidP="001A69D6">
            <w:pPr>
              <w:spacing w:after="120"/>
              <w:rPr>
                <w:rFonts w:cs="Arial"/>
                <w:szCs w:val="20"/>
              </w:rPr>
            </w:pPr>
            <w:r>
              <w:rPr>
                <w:rFonts w:cs="Arial"/>
                <w:szCs w:val="20"/>
              </w:rPr>
              <w:t>Where possible, we</w:t>
            </w:r>
            <w:r w:rsidR="00812EDA">
              <w:rPr>
                <w:rFonts w:cs="Arial"/>
                <w:szCs w:val="20"/>
              </w:rPr>
              <w:t xml:space="preserve"> will stratify the proportion of outcomes occurring each week by: </w:t>
            </w:r>
            <w:r w:rsidR="0047067C" w:rsidRPr="001620B2">
              <w:rPr>
                <w:rFonts w:cs="Arial"/>
                <w:szCs w:val="20"/>
              </w:rPr>
              <w:t xml:space="preserve">age, sex, ethnicity, </w:t>
            </w:r>
            <w:r w:rsidR="009F54B3">
              <w:rPr>
                <w:rFonts w:cs="Arial"/>
                <w:szCs w:val="20"/>
              </w:rPr>
              <w:t>partnership</w:t>
            </w:r>
            <w:r w:rsidR="0047067C" w:rsidRPr="001620B2">
              <w:rPr>
                <w:rFonts w:cs="Arial"/>
                <w:szCs w:val="20"/>
              </w:rPr>
              <w:t>, vulnerab</w:t>
            </w:r>
            <w:r w:rsidR="00812EDA">
              <w:rPr>
                <w:rFonts w:cs="Arial"/>
                <w:szCs w:val="20"/>
              </w:rPr>
              <w:t>le</w:t>
            </w:r>
            <w:r w:rsidR="0047067C" w:rsidRPr="001620B2">
              <w:rPr>
                <w:rFonts w:cs="Arial"/>
                <w:szCs w:val="20"/>
              </w:rPr>
              <w:t xml:space="preserve"> status</w:t>
            </w:r>
            <w:r w:rsidR="0047067C">
              <w:rPr>
                <w:rFonts w:cs="Arial"/>
                <w:szCs w:val="20"/>
              </w:rPr>
              <w:t xml:space="preserve"> (i.e. individuals </w:t>
            </w:r>
            <w:r w:rsidR="009F54B3">
              <w:rPr>
                <w:rFonts w:cs="Arial"/>
                <w:szCs w:val="20"/>
              </w:rPr>
              <w:t>at particular risk of severe</w:t>
            </w:r>
            <w:r w:rsidR="00A85D28">
              <w:rPr>
                <w:rFonts w:cs="Arial"/>
                <w:szCs w:val="20"/>
              </w:rPr>
              <w:t xml:space="preserve"> respiratory</w:t>
            </w:r>
            <w:r w:rsidR="009F54B3">
              <w:rPr>
                <w:rFonts w:cs="Arial"/>
                <w:szCs w:val="20"/>
              </w:rPr>
              <w:t xml:space="preserve"> illness</w:t>
            </w:r>
            <w:r w:rsidR="0047067C">
              <w:rPr>
                <w:rFonts w:cs="Arial"/>
                <w:szCs w:val="20"/>
              </w:rPr>
              <w:t>),</w:t>
            </w:r>
            <w:r w:rsidR="0047067C" w:rsidRPr="001620B2">
              <w:rPr>
                <w:rFonts w:cs="Arial"/>
                <w:szCs w:val="20"/>
              </w:rPr>
              <w:t xml:space="preserve"> socioeconomic deprivation</w:t>
            </w:r>
            <w:r w:rsidR="00F7219C">
              <w:rPr>
                <w:rFonts w:cs="Arial"/>
                <w:szCs w:val="20"/>
              </w:rPr>
              <w:t>, region,</w:t>
            </w:r>
            <w:r w:rsidR="0047067C" w:rsidRPr="001620B2">
              <w:rPr>
                <w:rFonts w:cs="Arial"/>
                <w:szCs w:val="20"/>
              </w:rPr>
              <w:t xml:space="preserve"> and urban/rural location</w:t>
            </w:r>
            <w:r w:rsidR="00812EDA">
              <w:rPr>
                <w:rFonts w:cs="Arial"/>
                <w:szCs w:val="20"/>
              </w:rPr>
              <w:t xml:space="preserve">. </w:t>
            </w:r>
            <w:r w:rsidR="00F7219C">
              <w:rPr>
                <w:rFonts w:cs="Arial"/>
                <w:szCs w:val="20"/>
              </w:rPr>
              <w:t>We</w:t>
            </w:r>
            <w:r w:rsidR="00812EDA">
              <w:rPr>
                <w:rFonts w:cs="Arial"/>
                <w:szCs w:val="20"/>
              </w:rPr>
              <w:t xml:space="preserve"> will also explore</w:t>
            </w:r>
            <w:r w:rsidR="001C642A">
              <w:rPr>
                <w:rFonts w:cs="Arial"/>
                <w:szCs w:val="20"/>
              </w:rPr>
              <w:t xml:space="preserve"> </w:t>
            </w:r>
            <w:r w:rsidR="00812EDA">
              <w:rPr>
                <w:rFonts w:cs="Arial"/>
                <w:szCs w:val="20"/>
              </w:rPr>
              <w:t xml:space="preserve">outcome-specific stratification </w:t>
            </w:r>
            <w:r w:rsidR="001C642A">
              <w:rPr>
                <w:rFonts w:cs="Arial"/>
                <w:szCs w:val="20"/>
              </w:rPr>
              <w:t>measures</w:t>
            </w:r>
            <w:r w:rsidR="00812EDA">
              <w:rPr>
                <w:rFonts w:cs="Arial"/>
                <w:szCs w:val="20"/>
              </w:rPr>
              <w:t xml:space="preserve"> (e.g. </w:t>
            </w:r>
            <w:r>
              <w:rPr>
                <w:rFonts w:cs="Arial"/>
                <w:szCs w:val="20"/>
              </w:rPr>
              <w:t>long-term</w:t>
            </w:r>
            <w:r w:rsidR="00F144DD">
              <w:rPr>
                <w:rFonts w:cs="Arial"/>
                <w:szCs w:val="20"/>
              </w:rPr>
              <w:t xml:space="preserve"> blood sugar control </w:t>
            </w:r>
            <w:r w:rsidR="00F7219C">
              <w:rPr>
                <w:rFonts w:cs="Arial"/>
                <w:szCs w:val="20"/>
              </w:rPr>
              <w:t xml:space="preserve">measures </w:t>
            </w:r>
            <w:r w:rsidR="00F144DD">
              <w:rPr>
                <w:rFonts w:cs="Arial"/>
                <w:szCs w:val="20"/>
              </w:rPr>
              <w:t>for diabetic emergencies).</w:t>
            </w:r>
          </w:p>
          <w:p w14:paraId="37F0F193" w14:textId="7C56A4A6" w:rsidR="001C642A" w:rsidRDefault="0047067C" w:rsidP="001A69D6">
            <w:pPr>
              <w:spacing w:after="120"/>
              <w:rPr>
                <w:rFonts w:cs="Arial"/>
                <w:szCs w:val="20"/>
              </w:rPr>
            </w:pPr>
            <w:r>
              <w:rPr>
                <w:rFonts w:cs="Arial"/>
                <w:szCs w:val="20"/>
              </w:rPr>
              <w:t>We will aggregate data by week and strata</w:t>
            </w:r>
            <w:r w:rsidR="00A85D28">
              <w:rPr>
                <w:rFonts w:cs="Arial"/>
                <w:szCs w:val="20"/>
              </w:rPr>
              <w:t>,</w:t>
            </w:r>
            <w:r>
              <w:rPr>
                <w:rFonts w:cs="Arial"/>
                <w:szCs w:val="20"/>
              </w:rPr>
              <w:t xml:space="preserve"> and make them available on </w:t>
            </w:r>
            <w:r w:rsidR="00A85D28">
              <w:rPr>
                <w:rFonts w:cs="Arial"/>
                <w:szCs w:val="20"/>
              </w:rPr>
              <w:t>our institutional</w:t>
            </w:r>
            <w:r>
              <w:rPr>
                <w:rFonts w:cs="Arial"/>
                <w:szCs w:val="20"/>
              </w:rPr>
              <w:t xml:space="preserve"> website via an interactive data dashboard (supressing small event counts to preserve confidentiality).</w:t>
            </w:r>
            <w:r w:rsidRPr="00253652">
              <w:rPr>
                <w:rFonts w:cs="Arial"/>
                <w:szCs w:val="20"/>
              </w:rPr>
              <w:t xml:space="preserve"> </w:t>
            </w:r>
          </w:p>
          <w:p w14:paraId="5873C8EF" w14:textId="22F77B41" w:rsidR="008C48BA" w:rsidRPr="00432BBB" w:rsidRDefault="00180FA4" w:rsidP="001A69D6">
            <w:pPr>
              <w:spacing w:after="120"/>
              <w:rPr>
                <w:rFonts w:cs="Arial"/>
                <w:szCs w:val="20"/>
              </w:rPr>
            </w:pPr>
            <w:r>
              <w:rPr>
                <w:rFonts w:cs="Arial"/>
                <w:szCs w:val="20"/>
              </w:rPr>
              <w:t>We will then conduct</w:t>
            </w:r>
            <w:r w:rsidR="0047067C" w:rsidRPr="00253652">
              <w:rPr>
                <w:rFonts w:cs="Arial"/>
                <w:szCs w:val="20"/>
              </w:rPr>
              <w:t xml:space="preserve"> </w:t>
            </w:r>
            <w:r>
              <w:rPr>
                <w:rFonts w:cs="Arial"/>
                <w:szCs w:val="20"/>
              </w:rPr>
              <w:t xml:space="preserve">a series of </w:t>
            </w:r>
            <w:r w:rsidR="0047067C">
              <w:rPr>
                <w:rFonts w:cs="Arial"/>
                <w:szCs w:val="20"/>
              </w:rPr>
              <w:t xml:space="preserve">formal tests on specific hypotheses about changes in health burden </w:t>
            </w:r>
            <w:r>
              <w:rPr>
                <w:rFonts w:cs="Arial"/>
                <w:szCs w:val="20"/>
              </w:rPr>
              <w:t>following</w:t>
            </w:r>
            <w:r w:rsidR="0047067C">
              <w:rPr>
                <w:rFonts w:cs="Arial"/>
                <w:szCs w:val="20"/>
              </w:rPr>
              <w:t xml:space="preserve"> the pandemic. We will use generalised linear models and an interrupted time series design, where the interruption is defined at the date lockdown measures were introduced</w:t>
            </w:r>
            <w:r>
              <w:rPr>
                <w:rFonts w:cs="Arial"/>
                <w:szCs w:val="20"/>
              </w:rPr>
              <w:t>,</w:t>
            </w:r>
            <w:r w:rsidR="0047067C">
              <w:rPr>
                <w:rFonts w:cs="Arial"/>
                <w:szCs w:val="20"/>
              </w:rPr>
              <w:t xml:space="preserve"> and flexible functions of time control for pre-COVID temporal trends and seasonality. </w:t>
            </w:r>
          </w:p>
        </w:tc>
      </w:tr>
      <w:tr w:rsidR="00672602" w:rsidRPr="00CD13D5" w14:paraId="327A0E7D" w14:textId="77777777" w:rsidTr="001A69D6">
        <w:trPr>
          <w:cantSplit/>
        </w:trPr>
        <w:tc>
          <w:tcPr>
            <w:tcW w:w="10456" w:type="dxa"/>
            <w:tcBorders>
              <w:bottom w:val="single" w:sz="4" w:space="0" w:color="auto"/>
            </w:tcBorders>
            <w:shd w:val="clear" w:color="auto" w:fill="auto"/>
          </w:tcPr>
          <w:p w14:paraId="58BB4655" w14:textId="30EDE5B2" w:rsidR="00792C48" w:rsidRPr="00792C48" w:rsidRDefault="00672602" w:rsidP="001A69D6">
            <w:pPr>
              <w:pStyle w:val="Heading2"/>
              <w:numPr>
                <w:ilvl w:val="0"/>
                <w:numId w:val="8"/>
              </w:numPr>
            </w:pPr>
            <w:r w:rsidRPr="00CD13D5">
              <w:lastRenderedPageBreak/>
              <w:t>Outcomes to be Measured</w:t>
            </w:r>
          </w:p>
          <w:p w14:paraId="0116BDBA" w14:textId="33B4A82D" w:rsidR="00FE7049" w:rsidRDefault="00FE7049" w:rsidP="001A69D6">
            <w:pPr>
              <w:spacing w:after="120"/>
            </w:pPr>
            <w:r w:rsidRPr="00FE7049">
              <w:rPr>
                <w:b/>
                <w:bCs/>
              </w:rPr>
              <w:t>Diabetes mellitus emergency presentations:</w:t>
            </w:r>
            <w:r>
              <w:t xml:space="preserve"> hyperglycaemia; hypoglycaemia, ketoacidosis; diabetic coma.</w:t>
            </w:r>
          </w:p>
          <w:p w14:paraId="12E45C0A" w14:textId="6DF4BD70" w:rsidR="00E559DD" w:rsidRDefault="00FE7049" w:rsidP="001A69D6">
            <w:pPr>
              <w:spacing w:after="120"/>
            </w:pPr>
            <w:r w:rsidRPr="00FE7049">
              <w:rPr>
                <w:b/>
                <w:bCs/>
              </w:rPr>
              <w:t xml:space="preserve">Mental </w:t>
            </w:r>
            <w:r w:rsidR="00F859B1">
              <w:rPr>
                <w:b/>
                <w:bCs/>
              </w:rPr>
              <w:t>health outcomes</w:t>
            </w:r>
            <w:r w:rsidRPr="00FE7049">
              <w:rPr>
                <w:b/>
                <w:bCs/>
              </w:rPr>
              <w:t>:</w:t>
            </w:r>
            <w:r>
              <w:t xml:space="preserve"> anxiety; depression; </w:t>
            </w:r>
            <w:r w:rsidR="00AA5052">
              <w:t xml:space="preserve">eating disorders (anorexia; bulimia; others); </w:t>
            </w:r>
            <w:r w:rsidR="00792C48">
              <w:t xml:space="preserve">fatal and non-fatal </w:t>
            </w:r>
            <w:r>
              <w:t>self-harm</w:t>
            </w:r>
            <w:r w:rsidR="00485A6B">
              <w:t xml:space="preserve">; </w:t>
            </w:r>
            <w:r w:rsidR="00F859B1">
              <w:t>obsessive-compulsive disorder</w:t>
            </w:r>
            <w:r w:rsidR="005E42C9">
              <w:t xml:space="preserve"> (OCD);</w:t>
            </w:r>
            <w:r w:rsidR="00F859B1">
              <w:t xml:space="preserve"> </w:t>
            </w:r>
            <w:r w:rsidR="00485A6B">
              <w:t>serious mental illness (i.e. schizophrenia, bipolar disorder and other psychoses)</w:t>
            </w:r>
            <w:r w:rsidR="00147FD1">
              <w:t>.</w:t>
            </w:r>
            <w:r w:rsidR="00106369">
              <w:t xml:space="preserve"> </w:t>
            </w:r>
          </w:p>
          <w:p w14:paraId="2069376B" w14:textId="296A5E18" w:rsidR="00FE7049" w:rsidRDefault="00FE7049" w:rsidP="001A69D6">
            <w:pPr>
              <w:spacing w:after="120"/>
            </w:pPr>
            <w:r w:rsidRPr="00FE7049">
              <w:rPr>
                <w:b/>
                <w:bCs/>
              </w:rPr>
              <w:t>Respiratory:</w:t>
            </w:r>
            <w:r>
              <w:t xml:space="preserve"> </w:t>
            </w:r>
            <w:r w:rsidR="008E2D4A">
              <w:t>asthma</w:t>
            </w:r>
            <w:r w:rsidR="008E2D4A" w:rsidRPr="00FE7049">
              <w:t xml:space="preserve"> </w:t>
            </w:r>
            <w:r w:rsidR="0004433A">
              <w:t>exacerbations</w:t>
            </w:r>
            <w:r>
              <w:t>;</w:t>
            </w:r>
            <w:r w:rsidRPr="00FE7049">
              <w:t xml:space="preserve"> </w:t>
            </w:r>
            <w:r w:rsidR="009339F0">
              <w:t>chronic obstructive pulmonary disease (</w:t>
            </w:r>
            <w:r w:rsidRPr="00FE7049">
              <w:t>COPD</w:t>
            </w:r>
            <w:r w:rsidR="009339F0">
              <w:t>)</w:t>
            </w:r>
            <w:r w:rsidRPr="00FE7049">
              <w:t xml:space="preserve"> exacerbations</w:t>
            </w:r>
            <w:r>
              <w:t>.</w:t>
            </w:r>
          </w:p>
          <w:p w14:paraId="4C0A590C" w14:textId="701E5C0B" w:rsidR="00FE7049" w:rsidRDefault="00FE7049" w:rsidP="001A69D6">
            <w:pPr>
              <w:spacing w:after="120"/>
            </w:pPr>
            <w:r w:rsidRPr="00FE7049">
              <w:rPr>
                <w:b/>
                <w:bCs/>
              </w:rPr>
              <w:t>Cardiovascular:</w:t>
            </w:r>
            <w:r>
              <w:t xml:space="preserve"> myocardial infarction; unstable angina; </w:t>
            </w:r>
            <w:r w:rsidR="00951B9C">
              <w:t xml:space="preserve">cardiac failure; </w:t>
            </w:r>
            <w:r>
              <w:t>transient ischaemic attacks</w:t>
            </w:r>
            <w:r w:rsidR="00D57C13">
              <w:t>;</w:t>
            </w:r>
            <w:r>
              <w:t xml:space="preserve"> cerebrovascular accidents</w:t>
            </w:r>
            <w:r w:rsidR="00114285">
              <w:t>; venous thromboembolism</w:t>
            </w:r>
            <w:r w:rsidR="001C7662">
              <w:t xml:space="preserve"> (pulmonary embolism and </w:t>
            </w:r>
            <w:r w:rsidR="00114285">
              <w:t>deep venous thrombosis</w:t>
            </w:r>
            <w:r w:rsidR="001C7662">
              <w:t>)</w:t>
            </w:r>
            <w:r w:rsidR="00951B9C">
              <w:t>.</w:t>
            </w:r>
          </w:p>
          <w:p w14:paraId="61D138B9" w14:textId="03C845C6" w:rsidR="00E559DD" w:rsidRPr="00CD13D5" w:rsidRDefault="00E559DD" w:rsidP="001A69D6">
            <w:pPr>
              <w:spacing w:after="120"/>
            </w:pPr>
            <w:r w:rsidRPr="00E559DD">
              <w:rPr>
                <w:b/>
                <w:bCs/>
              </w:rPr>
              <w:t>Alcohol:</w:t>
            </w:r>
            <w:r>
              <w:t xml:space="preserve"> alcohol-related </w:t>
            </w:r>
            <w:r w:rsidR="00C93298">
              <w:t xml:space="preserve">acute </w:t>
            </w:r>
            <w:r>
              <w:t>physical and psychological harms.</w:t>
            </w:r>
          </w:p>
        </w:tc>
      </w:tr>
      <w:tr w:rsidR="00672602" w:rsidRPr="00CD13D5" w14:paraId="751462BD" w14:textId="77777777" w:rsidTr="001A69D6">
        <w:tc>
          <w:tcPr>
            <w:tcW w:w="10456" w:type="dxa"/>
            <w:tcBorders>
              <w:bottom w:val="single" w:sz="4" w:space="0" w:color="auto"/>
            </w:tcBorders>
            <w:shd w:val="clear" w:color="auto" w:fill="auto"/>
          </w:tcPr>
          <w:p w14:paraId="487B913F" w14:textId="77777777" w:rsidR="00672602" w:rsidRPr="00CD13D5" w:rsidRDefault="00672602" w:rsidP="001A69D6">
            <w:pPr>
              <w:pStyle w:val="Heading2"/>
              <w:numPr>
                <w:ilvl w:val="0"/>
                <w:numId w:val="8"/>
              </w:numPr>
            </w:pPr>
            <w:r w:rsidRPr="00CD13D5">
              <w:t>Objectives, Specific Aims and Rationale</w:t>
            </w:r>
          </w:p>
          <w:p w14:paraId="643CA71F" w14:textId="74AA1BB9" w:rsidR="00A27076" w:rsidRDefault="00A27076" w:rsidP="001A69D6">
            <w:pPr>
              <w:spacing w:after="120"/>
            </w:pPr>
            <w:r>
              <w:t xml:space="preserve">Our overall </w:t>
            </w:r>
            <w:r w:rsidRPr="00580B25">
              <w:rPr>
                <w:b/>
                <w:bCs/>
              </w:rPr>
              <w:t>aim</w:t>
            </w:r>
            <w:r>
              <w:t xml:space="preserve"> is to determine the effects of social distancing and the diversion of </w:t>
            </w:r>
            <w:r w:rsidR="002E76E1">
              <w:t>healthcare</w:t>
            </w:r>
            <w:r>
              <w:t xml:space="preserve"> resources to the COVID-19 pandemic on the risk of key adverse acute physical and mental health outcomes </w:t>
            </w:r>
            <w:r w:rsidR="007F4B3F">
              <w:t>in the UK population,</w:t>
            </w:r>
            <w:r>
              <w:t xml:space="preserve"> and to determine if there are differences </w:t>
            </w:r>
            <w:r w:rsidR="007F4B3F">
              <w:t>in the burden</w:t>
            </w:r>
            <w:r>
              <w:t xml:space="preserve"> of these outcomes by: age, sex, ethnicity, socioeconomic deprivation, vulnerable status</w:t>
            </w:r>
            <w:r w:rsidR="00A13FF2">
              <w:t xml:space="preserve"> (i.e. </w:t>
            </w:r>
            <w:r w:rsidR="002D6180">
              <w:t xml:space="preserve">individuals felt to be at particular risk if they become ill with </w:t>
            </w:r>
            <w:r w:rsidR="00580B25">
              <w:t>COVID</w:t>
            </w:r>
            <w:r w:rsidR="002D6180">
              <w:t>-19</w:t>
            </w:r>
            <w:r w:rsidR="00A13FF2">
              <w:t>)</w:t>
            </w:r>
            <w:r>
              <w:t xml:space="preserve">, rural or urban location, </w:t>
            </w:r>
            <w:r w:rsidR="002E76E1">
              <w:t>living alone, and</w:t>
            </w:r>
            <w:r>
              <w:t xml:space="preserve"> other outcome-specific factors. </w:t>
            </w:r>
          </w:p>
          <w:p w14:paraId="05E44DB2" w14:textId="4DFFAD4A" w:rsidR="00A27076" w:rsidRDefault="00BD42EA" w:rsidP="001A69D6">
            <w:r>
              <w:t xml:space="preserve">Specific </w:t>
            </w:r>
            <w:r w:rsidRPr="00580B25">
              <w:rPr>
                <w:b/>
                <w:bCs/>
              </w:rPr>
              <w:t>objectives</w:t>
            </w:r>
            <w:r>
              <w:t xml:space="preserve"> are</w:t>
            </w:r>
            <w:r w:rsidR="00E559DD">
              <w:t xml:space="preserve"> to</w:t>
            </w:r>
            <w:r>
              <w:t>:</w:t>
            </w:r>
          </w:p>
          <w:p w14:paraId="54C6B6AD" w14:textId="4E16B2A7" w:rsidR="00BD42EA" w:rsidRDefault="00E559DD" w:rsidP="001A69D6">
            <w:pPr>
              <w:pStyle w:val="ListParagraph"/>
              <w:numPr>
                <w:ilvl w:val="0"/>
                <w:numId w:val="17"/>
              </w:numPr>
              <w:spacing w:after="120"/>
              <w:ind w:left="714" w:hanging="357"/>
              <w:contextualSpacing w:val="0"/>
            </w:pPr>
            <w:r w:rsidRPr="00D310AF">
              <w:rPr>
                <w:b/>
                <w:bCs/>
              </w:rPr>
              <w:t>D</w:t>
            </w:r>
            <w:r w:rsidR="00BD42EA" w:rsidRPr="00D310AF">
              <w:rPr>
                <w:b/>
                <w:bCs/>
              </w:rPr>
              <w:t>escribe</w:t>
            </w:r>
            <w:r w:rsidR="00BD42EA">
              <w:t xml:space="preserve"> </w:t>
            </w:r>
            <w:r w:rsidR="00BD42EA" w:rsidRPr="00890F2F">
              <w:rPr>
                <w:b/>
                <w:bCs/>
              </w:rPr>
              <w:t>changes</w:t>
            </w:r>
            <w:r w:rsidR="00BD42EA">
              <w:t xml:space="preserve"> in key mental and physical health outcomes (see </w:t>
            </w:r>
            <w:r w:rsidR="00BD42EA" w:rsidRPr="00BD42EA">
              <w:rPr>
                <w:b/>
                <w:bCs/>
              </w:rPr>
              <w:t>Section D</w:t>
            </w:r>
            <w:r w:rsidR="00BD42EA">
              <w:t xml:space="preserve">) </w:t>
            </w:r>
            <w:r w:rsidR="00BD42EA" w:rsidRPr="00890F2F">
              <w:rPr>
                <w:b/>
                <w:bCs/>
              </w:rPr>
              <w:t>before and after lockdown</w:t>
            </w:r>
            <w:r w:rsidR="00BD42EA" w:rsidRPr="00BD42EA">
              <w:t xml:space="preserve"> measures were introduced on </w:t>
            </w:r>
            <w:r w:rsidR="004336DF">
              <w:t>13</w:t>
            </w:r>
            <w:r w:rsidR="004336DF" w:rsidRPr="004336DF">
              <w:rPr>
                <w:vertAlign w:val="superscript"/>
              </w:rPr>
              <w:t>th</w:t>
            </w:r>
            <w:r w:rsidR="004336DF">
              <w:t xml:space="preserve"> </w:t>
            </w:r>
            <w:r w:rsidR="00BD42EA" w:rsidRPr="00BD42EA">
              <w:t xml:space="preserve">March 2020 </w:t>
            </w:r>
            <w:r w:rsidR="00874EF6">
              <w:t>(with sensitivity analyses looking at alternative time points before 13</w:t>
            </w:r>
            <w:r w:rsidR="00874EF6" w:rsidRPr="00874EF6">
              <w:rPr>
                <w:vertAlign w:val="superscript"/>
              </w:rPr>
              <w:t>th</w:t>
            </w:r>
            <w:r w:rsidR="00874EF6">
              <w:t xml:space="preserve"> March, </w:t>
            </w:r>
            <w:r w:rsidR="00632CC2">
              <w:t>a</w:t>
            </w:r>
            <w:r w:rsidR="00632CC2" w:rsidRPr="00632CC2">
              <w:t>s the impending events could have already impacted health</w:t>
            </w:r>
            <w:r w:rsidR="00BD42EA" w:rsidRPr="00BD42EA">
              <w:t>).</w:t>
            </w:r>
          </w:p>
          <w:p w14:paraId="39DF9DDC" w14:textId="572D6790" w:rsidR="0049644F" w:rsidRDefault="00E559DD" w:rsidP="001A69D6">
            <w:pPr>
              <w:pStyle w:val="ListParagraph"/>
              <w:numPr>
                <w:ilvl w:val="0"/>
                <w:numId w:val="17"/>
              </w:numPr>
              <w:spacing w:after="120"/>
              <w:ind w:left="714" w:hanging="357"/>
              <w:contextualSpacing w:val="0"/>
            </w:pPr>
            <w:r>
              <w:t>D</w:t>
            </w:r>
            <w:r w:rsidR="0049644F">
              <w:t xml:space="preserve">escribe </w:t>
            </w:r>
            <w:r w:rsidR="00A51EE1">
              <w:t xml:space="preserve">if there are </w:t>
            </w:r>
            <w:r w:rsidR="00A51EE1" w:rsidRPr="00890F2F">
              <w:rPr>
                <w:b/>
                <w:bCs/>
              </w:rPr>
              <w:t>stratum-specific differences</w:t>
            </w:r>
            <w:r w:rsidR="00A51EE1">
              <w:t xml:space="preserve"> in pre- and post-lockdown burden of key mental and physical health outcomes, after stratifying, where possible, on: age, sex, ethnicity, socioeconomic deprivation, vulnerable status, rural/urban location, </w:t>
            </w:r>
            <w:r w:rsidR="0035767E">
              <w:t>partnership</w:t>
            </w:r>
            <w:r w:rsidR="002E76E1">
              <w:t xml:space="preserve">, </w:t>
            </w:r>
            <w:r w:rsidR="00A51EE1">
              <w:t>and other outcome-specific factors.</w:t>
            </w:r>
          </w:p>
          <w:p w14:paraId="23B44DBC" w14:textId="6DAFDD11" w:rsidR="001A4223" w:rsidRDefault="00E559DD" w:rsidP="001A69D6">
            <w:pPr>
              <w:pStyle w:val="ListParagraph"/>
              <w:numPr>
                <w:ilvl w:val="0"/>
                <w:numId w:val="17"/>
              </w:numPr>
              <w:spacing w:after="120"/>
              <w:ind w:left="714" w:hanging="357"/>
              <w:contextualSpacing w:val="0"/>
            </w:pPr>
            <w:r>
              <w:t>C</w:t>
            </w:r>
            <w:r w:rsidR="001A4223">
              <w:t>onduct formal statistical tests (</w:t>
            </w:r>
            <w:r w:rsidR="001A4223" w:rsidRPr="001A4223">
              <w:t>generalised linear models and an interrupted time series design</w:t>
            </w:r>
            <w:r w:rsidR="001A4223">
              <w:t xml:space="preserve">) to investigate whether there is </w:t>
            </w:r>
            <w:r w:rsidR="001A4223" w:rsidRPr="00890F2F">
              <w:rPr>
                <w:b/>
                <w:bCs/>
              </w:rPr>
              <w:t>statistical evidence for a difference between pre- and post-lockdown</w:t>
            </w:r>
            <w:r w:rsidR="001A4223">
              <w:t xml:space="preserve"> burden of key mental and physical health outcomes.</w:t>
            </w:r>
          </w:p>
          <w:p w14:paraId="1C15A33C" w14:textId="17920D5B" w:rsidR="00A13FF2" w:rsidRPr="00A13FF2" w:rsidRDefault="00A13FF2" w:rsidP="001A69D6">
            <w:pPr>
              <w:pStyle w:val="NormalWeb"/>
              <w:spacing w:before="0" w:beforeAutospacing="0" w:after="0" w:afterAutospacing="0"/>
              <w:rPr>
                <w:rFonts w:ascii="Arial" w:hAnsi="Arial"/>
                <w:sz w:val="20"/>
              </w:rPr>
            </w:pPr>
            <w:r w:rsidRPr="00A13FF2">
              <w:rPr>
                <w:rFonts w:ascii="Arial" w:hAnsi="Arial"/>
                <w:sz w:val="20"/>
              </w:rPr>
              <w:t xml:space="preserve">We will test </w:t>
            </w:r>
            <w:r w:rsidR="00D310AF">
              <w:rPr>
                <w:rFonts w:ascii="Arial" w:hAnsi="Arial"/>
                <w:sz w:val="20"/>
              </w:rPr>
              <w:t>six</w:t>
            </w:r>
            <w:r w:rsidRPr="00A13FF2">
              <w:rPr>
                <w:rFonts w:ascii="Arial" w:hAnsi="Arial"/>
                <w:sz w:val="20"/>
              </w:rPr>
              <w:t xml:space="preserve"> hypotheses: </w:t>
            </w:r>
          </w:p>
          <w:p w14:paraId="4F78613F" w14:textId="36E035D0" w:rsidR="00A13FF2" w:rsidRPr="00A13FF2" w:rsidRDefault="00A13FF2" w:rsidP="001A69D6">
            <w:pPr>
              <w:pStyle w:val="NormalWeb"/>
              <w:numPr>
                <w:ilvl w:val="0"/>
                <w:numId w:val="18"/>
              </w:numPr>
              <w:spacing w:before="0" w:beforeAutospacing="0" w:after="120" w:afterAutospacing="0"/>
              <w:ind w:left="357" w:hanging="357"/>
              <w:rPr>
                <w:rFonts w:ascii="Arial" w:hAnsi="Arial"/>
                <w:sz w:val="20"/>
              </w:rPr>
            </w:pPr>
            <w:r w:rsidRPr="00A13FF2">
              <w:rPr>
                <w:rFonts w:ascii="Arial" w:hAnsi="Arial"/>
                <w:b/>
                <w:bCs/>
                <w:sz w:val="20"/>
              </w:rPr>
              <w:t>Hypothesis 1:</w:t>
            </w:r>
            <w:r w:rsidRPr="00A13FF2">
              <w:rPr>
                <w:rFonts w:ascii="Arial" w:hAnsi="Arial"/>
                <w:sz w:val="20"/>
              </w:rPr>
              <w:t xml:space="preserve"> Presentations with </w:t>
            </w:r>
            <w:r w:rsidRPr="00A13FF2">
              <w:rPr>
                <w:rFonts w:ascii="Arial" w:hAnsi="Arial"/>
                <w:b/>
                <w:bCs/>
                <w:sz w:val="20"/>
              </w:rPr>
              <w:t>diabetic</w:t>
            </w:r>
            <w:r w:rsidRPr="00A13FF2">
              <w:rPr>
                <w:rFonts w:ascii="Arial" w:hAnsi="Arial"/>
                <w:sz w:val="20"/>
              </w:rPr>
              <w:t xml:space="preserve"> </w:t>
            </w:r>
            <w:r w:rsidRPr="00A13FF2">
              <w:rPr>
                <w:rFonts w:ascii="Arial" w:hAnsi="Arial"/>
                <w:b/>
                <w:bCs/>
                <w:sz w:val="20"/>
              </w:rPr>
              <w:t>emergencies</w:t>
            </w:r>
            <w:r w:rsidRPr="00A13FF2">
              <w:rPr>
                <w:rFonts w:ascii="Arial" w:hAnsi="Arial"/>
                <w:sz w:val="20"/>
              </w:rPr>
              <w:t xml:space="preserve"> (diabetic hyper</w:t>
            </w:r>
            <w:r w:rsidR="00EC6F06">
              <w:rPr>
                <w:rFonts w:ascii="Arial" w:hAnsi="Arial"/>
                <w:sz w:val="20"/>
              </w:rPr>
              <w:t>-</w:t>
            </w:r>
            <w:r w:rsidRPr="00A13FF2">
              <w:rPr>
                <w:rFonts w:ascii="Arial" w:hAnsi="Arial"/>
                <w:sz w:val="20"/>
              </w:rPr>
              <w:t xml:space="preserve"> and hypoglycaemia, ketoacidosis and diabetic comas) will increase. </w:t>
            </w:r>
            <w:r w:rsidR="0035767E">
              <w:rPr>
                <w:rFonts w:ascii="Arial" w:hAnsi="Arial"/>
                <w:sz w:val="20"/>
              </w:rPr>
              <w:t>This increase</w:t>
            </w:r>
            <w:r w:rsidRPr="00A13FF2">
              <w:rPr>
                <w:rFonts w:ascii="Arial" w:hAnsi="Arial"/>
                <w:sz w:val="20"/>
              </w:rPr>
              <w:t xml:space="preserve"> may be due to reduced routine disease monitoring, reduced access to face-to-face consultations and reduced access to specific therapies, in many cases exacerbated by individuals being categorised as having vulnerable status. </w:t>
            </w:r>
          </w:p>
          <w:p w14:paraId="5837815B" w14:textId="53BC50EA" w:rsidR="00A13FF2" w:rsidRPr="00A13FF2" w:rsidRDefault="00A13FF2" w:rsidP="001A69D6">
            <w:pPr>
              <w:pStyle w:val="NormalWeb"/>
              <w:numPr>
                <w:ilvl w:val="0"/>
                <w:numId w:val="18"/>
              </w:numPr>
              <w:spacing w:before="0" w:beforeAutospacing="0" w:after="120" w:afterAutospacing="0"/>
              <w:ind w:left="357" w:hanging="357"/>
              <w:rPr>
                <w:rFonts w:ascii="Arial" w:hAnsi="Arial"/>
                <w:sz w:val="20"/>
              </w:rPr>
            </w:pPr>
            <w:r w:rsidRPr="00C74863">
              <w:rPr>
                <w:rFonts w:ascii="Arial" w:hAnsi="Arial"/>
                <w:b/>
                <w:bCs/>
                <w:sz w:val="20"/>
              </w:rPr>
              <w:t>Hypothesis 2:</w:t>
            </w:r>
            <w:r w:rsidRPr="00A13FF2">
              <w:rPr>
                <w:rFonts w:ascii="Arial" w:hAnsi="Arial"/>
                <w:sz w:val="20"/>
              </w:rPr>
              <w:t xml:space="preserve"> </w:t>
            </w:r>
            <w:r w:rsidR="00792C48">
              <w:rPr>
                <w:rFonts w:ascii="Arial" w:hAnsi="Arial"/>
                <w:sz w:val="20"/>
              </w:rPr>
              <w:t>C</w:t>
            </w:r>
            <w:r w:rsidRPr="00A13FF2">
              <w:rPr>
                <w:rFonts w:ascii="Arial" w:hAnsi="Arial"/>
                <w:sz w:val="20"/>
              </w:rPr>
              <w:t xml:space="preserve">onsultations for </w:t>
            </w:r>
            <w:r w:rsidRPr="00227DE6">
              <w:rPr>
                <w:rFonts w:ascii="Arial" w:hAnsi="Arial"/>
                <w:b/>
                <w:bCs/>
                <w:sz w:val="20"/>
              </w:rPr>
              <w:t>mental health conditions</w:t>
            </w:r>
            <w:r w:rsidRPr="00A13FF2">
              <w:rPr>
                <w:rFonts w:ascii="Arial" w:hAnsi="Arial"/>
                <w:sz w:val="20"/>
              </w:rPr>
              <w:t>, e.g. depression</w:t>
            </w:r>
            <w:r w:rsidR="00792C48">
              <w:rPr>
                <w:rFonts w:ascii="Arial" w:hAnsi="Arial"/>
                <w:sz w:val="20"/>
              </w:rPr>
              <w:t>,</w:t>
            </w:r>
            <w:r w:rsidRPr="00A13FF2">
              <w:rPr>
                <w:rFonts w:ascii="Arial" w:hAnsi="Arial"/>
                <w:sz w:val="20"/>
              </w:rPr>
              <w:t xml:space="preserve"> will reduce</w:t>
            </w:r>
            <w:r w:rsidR="00792C48">
              <w:rPr>
                <w:rFonts w:ascii="Arial" w:hAnsi="Arial"/>
                <w:sz w:val="20"/>
              </w:rPr>
              <w:t xml:space="preserve"> during lockdown</w:t>
            </w:r>
            <w:r w:rsidRPr="00A13FF2">
              <w:rPr>
                <w:rFonts w:ascii="Arial" w:hAnsi="Arial"/>
                <w:sz w:val="20"/>
              </w:rPr>
              <w:t>. The reduction may be due to decreased access to face-to-face consultations, talking therapies, and social distancing and avoidance</w:t>
            </w:r>
            <w:r w:rsidR="00C74863">
              <w:rPr>
                <w:rFonts w:ascii="Arial" w:hAnsi="Arial"/>
                <w:sz w:val="20"/>
              </w:rPr>
              <w:t xml:space="preserve"> (</w:t>
            </w:r>
            <w:r w:rsidRPr="00A13FF2">
              <w:rPr>
                <w:rFonts w:ascii="Arial" w:hAnsi="Arial"/>
                <w:sz w:val="20"/>
              </w:rPr>
              <w:t>reduction in consultations may be accompanied by reduced prescribing</w:t>
            </w:r>
            <w:r w:rsidR="00C74863">
              <w:rPr>
                <w:rFonts w:ascii="Arial" w:hAnsi="Arial"/>
                <w:sz w:val="20"/>
              </w:rPr>
              <w:t>)</w:t>
            </w:r>
            <w:r w:rsidRPr="00A13FF2">
              <w:rPr>
                <w:rFonts w:ascii="Arial" w:hAnsi="Arial"/>
                <w:sz w:val="20"/>
              </w:rPr>
              <w:t xml:space="preserve">. </w:t>
            </w:r>
            <w:r w:rsidR="00D7625C">
              <w:rPr>
                <w:rFonts w:ascii="Arial" w:hAnsi="Arial"/>
                <w:sz w:val="20"/>
              </w:rPr>
              <w:t>However, consultations for more severe mental health conditions may increase.</w:t>
            </w:r>
          </w:p>
          <w:p w14:paraId="73CD412C" w14:textId="27785682" w:rsidR="00547F5E" w:rsidRPr="00547F5E" w:rsidRDefault="00A13FF2" w:rsidP="001A69D6">
            <w:pPr>
              <w:pStyle w:val="NormalWeb"/>
              <w:numPr>
                <w:ilvl w:val="0"/>
                <w:numId w:val="18"/>
              </w:numPr>
              <w:spacing w:before="0" w:beforeAutospacing="0" w:after="120" w:afterAutospacing="0"/>
              <w:ind w:left="357" w:hanging="357"/>
              <w:rPr>
                <w:rFonts w:ascii="Arial" w:hAnsi="Arial"/>
                <w:sz w:val="20"/>
              </w:rPr>
            </w:pPr>
            <w:r w:rsidRPr="00904AF1">
              <w:rPr>
                <w:rFonts w:ascii="Arial" w:hAnsi="Arial"/>
                <w:b/>
                <w:bCs/>
                <w:sz w:val="20"/>
              </w:rPr>
              <w:t>Hypothesis 3:</w:t>
            </w:r>
            <w:r w:rsidRPr="00A13FF2">
              <w:rPr>
                <w:rFonts w:ascii="Arial" w:hAnsi="Arial"/>
                <w:sz w:val="20"/>
              </w:rPr>
              <w:t xml:space="preserve"> </w:t>
            </w:r>
            <w:r w:rsidR="00547F5E">
              <w:rPr>
                <w:rFonts w:ascii="Arial" w:hAnsi="Arial"/>
                <w:sz w:val="20"/>
              </w:rPr>
              <w:t>P</w:t>
            </w:r>
            <w:r w:rsidRPr="00A13FF2">
              <w:rPr>
                <w:rFonts w:ascii="Arial" w:hAnsi="Arial"/>
                <w:sz w:val="20"/>
              </w:rPr>
              <w:t xml:space="preserve">resentations with </w:t>
            </w:r>
            <w:r w:rsidRPr="00904AF1">
              <w:rPr>
                <w:rFonts w:ascii="Arial" w:hAnsi="Arial"/>
                <w:b/>
                <w:bCs/>
                <w:sz w:val="20"/>
              </w:rPr>
              <w:t>asthma</w:t>
            </w:r>
            <w:r w:rsidR="0004433A">
              <w:rPr>
                <w:rFonts w:ascii="Arial" w:hAnsi="Arial"/>
                <w:b/>
                <w:bCs/>
                <w:sz w:val="20"/>
              </w:rPr>
              <w:t xml:space="preserve"> </w:t>
            </w:r>
            <w:r w:rsidR="00956D78" w:rsidRPr="00956D78">
              <w:rPr>
                <w:rFonts w:ascii="Arial" w:hAnsi="Arial"/>
                <w:b/>
                <w:bCs/>
                <w:sz w:val="20"/>
              </w:rPr>
              <w:t>and</w:t>
            </w:r>
            <w:r w:rsidRPr="00A13FF2">
              <w:rPr>
                <w:rFonts w:ascii="Arial" w:hAnsi="Arial"/>
                <w:sz w:val="20"/>
              </w:rPr>
              <w:t xml:space="preserve"> </w:t>
            </w:r>
            <w:r w:rsidR="00956D78" w:rsidRPr="00904AF1">
              <w:rPr>
                <w:rFonts w:ascii="Arial" w:hAnsi="Arial"/>
                <w:b/>
                <w:bCs/>
                <w:sz w:val="20"/>
              </w:rPr>
              <w:t>COPD exacerbations</w:t>
            </w:r>
            <w:r w:rsidR="00956D78" w:rsidRPr="00A13FF2" w:rsidDel="00A214C4">
              <w:rPr>
                <w:rFonts w:ascii="Arial" w:hAnsi="Arial"/>
                <w:sz w:val="20"/>
              </w:rPr>
              <w:t xml:space="preserve"> </w:t>
            </w:r>
            <w:r w:rsidR="00547F5E">
              <w:rPr>
                <w:rFonts w:ascii="Arial" w:hAnsi="Arial"/>
                <w:sz w:val="20"/>
              </w:rPr>
              <w:t xml:space="preserve"> will increase</w:t>
            </w:r>
            <w:r w:rsidRPr="00A13FF2">
              <w:rPr>
                <w:rFonts w:ascii="Arial" w:hAnsi="Arial"/>
                <w:sz w:val="20"/>
              </w:rPr>
              <w:t xml:space="preserve">. These changes may be due to reduced access to face-to-face consultations, regular </w:t>
            </w:r>
            <w:r w:rsidR="00547F5E" w:rsidRPr="00547F5E">
              <w:rPr>
                <w:rFonts w:ascii="Arial" w:hAnsi="Arial"/>
                <w:sz w:val="20"/>
              </w:rPr>
              <w:t>monitoring, inclusion on the extremely vulnerable list and avoidance behaviour. However, reduced air pollution might reduce exacerbations.</w:t>
            </w:r>
          </w:p>
          <w:p w14:paraId="606E9EC4" w14:textId="37BEE925" w:rsidR="00D310AF" w:rsidRDefault="00547F5E" w:rsidP="001A69D6">
            <w:pPr>
              <w:pStyle w:val="NormalWeb"/>
              <w:numPr>
                <w:ilvl w:val="0"/>
                <w:numId w:val="18"/>
              </w:numPr>
              <w:spacing w:before="0" w:beforeAutospacing="0" w:after="120" w:afterAutospacing="0"/>
              <w:ind w:left="357" w:hanging="357"/>
              <w:rPr>
                <w:rFonts w:ascii="Arial" w:hAnsi="Arial"/>
                <w:sz w:val="20"/>
              </w:rPr>
            </w:pPr>
            <w:r w:rsidRPr="00547F5E">
              <w:rPr>
                <w:rFonts w:ascii="Arial" w:hAnsi="Arial"/>
                <w:b/>
                <w:bCs/>
                <w:sz w:val="20"/>
              </w:rPr>
              <w:t>Hypothesis 4:</w:t>
            </w:r>
            <w:r w:rsidRPr="00547F5E">
              <w:rPr>
                <w:rFonts w:ascii="Arial" w:hAnsi="Arial"/>
                <w:sz w:val="20"/>
              </w:rPr>
              <w:t xml:space="preserve"> </w:t>
            </w:r>
            <w:r>
              <w:rPr>
                <w:rFonts w:ascii="Arial" w:hAnsi="Arial"/>
                <w:sz w:val="20"/>
              </w:rPr>
              <w:t>P</w:t>
            </w:r>
            <w:r w:rsidRPr="00547F5E">
              <w:rPr>
                <w:rFonts w:ascii="Arial" w:hAnsi="Arial"/>
                <w:sz w:val="20"/>
              </w:rPr>
              <w:t xml:space="preserve">resentations with </w:t>
            </w:r>
            <w:r w:rsidRPr="00EC6F06">
              <w:rPr>
                <w:rFonts w:ascii="Arial" w:hAnsi="Arial"/>
                <w:b/>
                <w:bCs/>
                <w:sz w:val="20"/>
              </w:rPr>
              <w:t>unstable angina</w:t>
            </w:r>
            <w:r w:rsidRPr="00547F5E">
              <w:rPr>
                <w:rFonts w:ascii="Arial" w:hAnsi="Arial"/>
                <w:sz w:val="20"/>
              </w:rPr>
              <w:t xml:space="preserve"> and </w:t>
            </w:r>
            <w:r w:rsidRPr="00EC6F06">
              <w:rPr>
                <w:rFonts w:ascii="Arial" w:hAnsi="Arial"/>
                <w:b/>
                <w:bCs/>
                <w:sz w:val="20"/>
              </w:rPr>
              <w:t>transient ischaemic attacks</w:t>
            </w:r>
            <w:r w:rsidRPr="00547F5E">
              <w:rPr>
                <w:rFonts w:ascii="Arial" w:hAnsi="Arial"/>
                <w:sz w:val="20"/>
              </w:rPr>
              <w:t xml:space="preserve"> will reduce. This will be accompanied by later presentations with </w:t>
            </w:r>
            <w:r w:rsidRPr="00EC6F06">
              <w:rPr>
                <w:rFonts w:ascii="Arial" w:hAnsi="Arial"/>
                <w:b/>
                <w:bCs/>
                <w:sz w:val="20"/>
              </w:rPr>
              <w:t>myocardial infarction</w:t>
            </w:r>
            <w:r w:rsidRPr="00547F5E">
              <w:rPr>
                <w:rFonts w:ascii="Arial" w:hAnsi="Arial"/>
                <w:sz w:val="20"/>
              </w:rPr>
              <w:t xml:space="preserve"> and </w:t>
            </w:r>
            <w:r w:rsidRPr="00EC6F06">
              <w:rPr>
                <w:rFonts w:ascii="Arial" w:hAnsi="Arial"/>
                <w:b/>
                <w:bCs/>
                <w:sz w:val="20"/>
              </w:rPr>
              <w:t>stroke</w:t>
            </w:r>
            <w:r w:rsidRPr="00547F5E">
              <w:rPr>
                <w:rFonts w:ascii="Arial" w:hAnsi="Arial"/>
                <w:sz w:val="20"/>
              </w:rPr>
              <w:t xml:space="preserve"> leading to worsened outcomes. One of these worsened outcomes will include increased presentations with </w:t>
            </w:r>
            <w:r w:rsidRPr="00EC6F06">
              <w:rPr>
                <w:rFonts w:ascii="Arial" w:hAnsi="Arial"/>
                <w:b/>
                <w:bCs/>
                <w:sz w:val="20"/>
              </w:rPr>
              <w:t>heart failure</w:t>
            </w:r>
            <w:r w:rsidRPr="00547F5E">
              <w:rPr>
                <w:rFonts w:ascii="Arial" w:hAnsi="Arial"/>
                <w:sz w:val="20"/>
              </w:rPr>
              <w:t>. One mechanism for these changes is a lack of access to time sensitive interventions.</w:t>
            </w:r>
            <w:r w:rsidR="0030775C">
              <w:rPr>
                <w:rFonts w:ascii="Arial" w:hAnsi="Arial"/>
                <w:sz w:val="20"/>
              </w:rPr>
              <w:t xml:space="preserve"> </w:t>
            </w:r>
          </w:p>
          <w:p w14:paraId="244A3BC8" w14:textId="644CB7EF" w:rsidR="00547F5E" w:rsidRPr="00547F5E" w:rsidRDefault="00D310AF" w:rsidP="001A69D6">
            <w:pPr>
              <w:pStyle w:val="NormalWeb"/>
              <w:numPr>
                <w:ilvl w:val="0"/>
                <w:numId w:val="18"/>
              </w:numPr>
              <w:spacing w:before="0" w:beforeAutospacing="0" w:after="120" w:afterAutospacing="0"/>
              <w:ind w:left="357" w:hanging="357"/>
              <w:rPr>
                <w:rFonts w:ascii="Arial" w:hAnsi="Arial"/>
                <w:sz w:val="20"/>
              </w:rPr>
            </w:pPr>
            <w:r>
              <w:rPr>
                <w:rFonts w:ascii="Arial" w:hAnsi="Arial"/>
                <w:b/>
                <w:bCs/>
                <w:sz w:val="20"/>
              </w:rPr>
              <w:t>Hypothesis 5:</w:t>
            </w:r>
            <w:r>
              <w:rPr>
                <w:rFonts w:ascii="Arial" w:hAnsi="Arial"/>
                <w:sz w:val="20"/>
              </w:rPr>
              <w:t xml:space="preserve"> </w:t>
            </w:r>
            <w:r w:rsidR="0030775C">
              <w:rPr>
                <w:rFonts w:ascii="Arial" w:hAnsi="Arial"/>
                <w:sz w:val="20"/>
              </w:rPr>
              <w:t xml:space="preserve">Presentations for </w:t>
            </w:r>
            <w:r w:rsidR="0030775C" w:rsidRPr="00471EC9">
              <w:rPr>
                <w:rFonts w:ascii="Arial" w:hAnsi="Arial"/>
                <w:b/>
                <w:bCs/>
                <w:sz w:val="20"/>
              </w:rPr>
              <w:t>venous thromboemboli</w:t>
            </w:r>
            <w:r w:rsidR="0053652B">
              <w:rPr>
                <w:rFonts w:ascii="Arial" w:hAnsi="Arial"/>
                <w:b/>
                <w:bCs/>
                <w:sz w:val="20"/>
              </w:rPr>
              <w:t xml:space="preserve">c events including </w:t>
            </w:r>
            <w:r w:rsidR="0030775C" w:rsidRPr="00471EC9">
              <w:rPr>
                <w:rFonts w:ascii="Arial" w:hAnsi="Arial"/>
                <w:b/>
                <w:bCs/>
                <w:sz w:val="20"/>
              </w:rPr>
              <w:t>deep venous thrombosis</w:t>
            </w:r>
            <w:r w:rsidR="0030775C">
              <w:rPr>
                <w:rFonts w:ascii="Arial" w:hAnsi="Arial"/>
                <w:sz w:val="20"/>
              </w:rPr>
              <w:t xml:space="preserve"> will initially decrease</w:t>
            </w:r>
            <w:r w:rsidR="00471EC9">
              <w:rPr>
                <w:rFonts w:ascii="Arial" w:hAnsi="Arial"/>
                <w:sz w:val="20"/>
              </w:rPr>
              <w:t xml:space="preserve">, accompanied by later increases as a result of reduced </w:t>
            </w:r>
            <w:r w:rsidR="00F462F7">
              <w:rPr>
                <w:rFonts w:ascii="Arial" w:hAnsi="Arial"/>
                <w:sz w:val="20"/>
              </w:rPr>
              <w:t>physical activity</w:t>
            </w:r>
            <w:r w:rsidR="00471EC9">
              <w:rPr>
                <w:rFonts w:ascii="Arial" w:hAnsi="Arial"/>
                <w:sz w:val="20"/>
              </w:rPr>
              <w:t xml:space="preserve"> due to lockdown.</w:t>
            </w:r>
          </w:p>
          <w:p w14:paraId="67686B65" w14:textId="239F0AD5" w:rsidR="00F24ABF" w:rsidRPr="0016537C" w:rsidRDefault="00547F5E" w:rsidP="001A69D6">
            <w:pPr>
              <w:pStyle w:val="NormalWeb"/>
              <w:numPr>
                <w:ilvl w:val="0"/>
                <w:numId w:val="18"/>
              </w:numPr>
              <w:spacing w:before="0" w:beforeAutospacing="0" w:after="120" w:afterAutospacing="0"/>
              <w:ind w:left="357" w:hanging="357"/>
              <w:rPr>
                <w:rFonts w:ascii="Arial" w:hAnsi="Arial"/>
                <w:sz w:val="20"/>
              </w:rPr>
            </w:pPr>
            <w:r w:rsidRPr="00547F5E">
              <w:rPr>
                <w:rFonts w:ascii="Arial" w:hAnsi="Arial"/>
                <w:b/>
                <w:bCs/>
                <w:sz w:val="20"/>
              </w:rPr>
              <w:t xml:space="preserve">Hypothesis </w:t>
            </w:r>
            <w:r w:rsidR="00D310AF">
              <w:rPr>
                <w:rFonts w:ascii="Arial" w:hAnsi="Arial"/>
                <w:b/>
                <w:bCs/>
                <w:sz w:val="20"/>
              </w:rPr>
              <w:t>6</w:t>
            </w:r>
            <w:r w:rsidRPr="00547F5E">
              <w:rPr>
                <w:rFonts w:ascii="Arial" w:hAnsi="Arial"/>
                <w:b/>
                <w:bCs/>
                <w:sz w:val="20"/>
              </w:rPr>
              <w:t>:</w:t>
            </w:r>
            <w:r w:rsidRPr="00547F5E">
              <w:rPr>
                <w:rFonts w:ascii="Arial" w:hAnsi="Arial"/>
                <w:sz w:val="20"/>
              </w:rPr>
              <w:t xml:space="preserve"> </w:t>
            </w:r>
            <w:r w:rsidR="00032ABF">
              <w:rPr>
                <w:rFonts w:ascii="Arial" w:hAnsi="Arial"/>
                <w:sz w:val="20"/>
              </w:rPr>
              <w:t xml:space="preserve">Presentations for </w:t>
            </w:r>
            <w:r w:rsidR="00032ABF" w:rsidRPr="00032ABF">
              <w:rPr>
                <w:rFonts w:ascii="Arial" w:hAnsi="Arial"/>
                <w:b/>
                <w:bCs/>
                <w:sz w:val="20"/>
              </w:rPr>
              <w:t>alcohol-related harms</w:t>
            </w:r>
            <w:r w:rsidR="00032ABF">
              <w:rPr>
                <w:rFonts w:ascii="Arial" w:hAnsi="Arial"/>
                <w:sz w:val="20"/>
              </w:rPr>
              <w:t xml:space="preserve"> will increase. </w:t>
            </w:r>
            <w:r>
              <w:rPr>
                <w:rFonts w:ascii="Arial" w:hAnsi="Arial"/>
                <w:sz w:val="20"/>
              </w:rPr>
              <w:t>W</w:t>
            </w:r>
            <w:r w:rsidRPr="00547F5E">
              <w:rPr>
                <w:rFonts w:ascii="Arial" w:hAnsi="Arial"/>
                <w:sz w:val="20"/>
              </w:rPr>
              <w:t xml:space="preserve">hile for some </w:t>
            </w:r>
            <w:r w:rsidRPr="00032ABF">
              <w:rPr>
                <w:rFonts w:ascii="Arial" w:hAnsi="Arial"/>
                <w:sz w:val="20"/>
              </w:rPr>
              <w:t>alcohol</w:t>
            </w:r>
            <w:r w:rsidRPr="00032ABF">
              <w:rPr>
                <w:rFonts w:ascii="Arial" w:hAnsi="Arial"/>
                <w:b/>
                <w:bCs/>
                <w:sz w:val="20"/>
              </w:rPr>
              <w:t xml:space="preserve"> </w:t>
            </w:r>
            <w:r w:rsidRPr="00032ABF">
              <w:rPr>
                <w:rFonts w:ascii="Arial" w:hAnsi="Arial"/>
                <w:sz w:val="20"/>
              </w:rPr>
              <w:t>consumption</w:t>
            </w:r>
            <w:r w:rsidRPr="00547F5E">
              <w:rPr>
                <w:rFonts w:ascii="Arial" w:hAnsi="Arial"/>
                <w:sz w:val="20"/>
              </w:rPr>
              <w:t xml:space="preserve"> may decrease, for others, alcohol consumption may increase and presentations for alcohol related emergencies will increase</w:t>
            </w:r>
            <w:r w:rsidR="00436F34">
              <w:rPr>
                <w:rFonts w:ascii="Arial" w:hAnsi="Arial"/>
                <w:sz w:val="20"/>
              </w:rPr>
              <w:t xml:space="preserve"> (initial reports suggest </w:t>
            </w:r>
            <w:r w:rsidR="00691365">
              <w:rPr>
                <w:rFonts w:ascii="Arial" w:hAnsi="Arial"/>
                <w:sz w:val="20"/>
              </w:rPr>
              <w:t>47% of the UK population now start drinking earlier in the day than they did prior to the lockdown</w:t>
            </w:r>
            <w:r w:rsidR="00691365">
              <w:rPr>
                <w:rFonts w:ascii="Arial" w:hAnsi="Arial"/>
                <w:sz w:val="20"/>
              </w:rPr>
              <w:fldChar w:fldCharType="begin" w:fldLock="1"/>
            </w:r>
            <w:r w:rsidR="0031319B">
              <w:rPr>
                <w:rFonts w:ascii="Arial" w:hAnsi="Arial"/>
                <w:sz w:val="20"/>
              </w:rPr>
              <w:instrText>ADDIN CSL_CITATION {"citationItems":[{"id":"ITEM-1","itemData":{"author":[{"dropping-particle":"","family":"Winstock","given":"AR","non-dropping-particle":"","parse-names":false,"suffix":""},{"dropping-particle":"","family":"Davies","given":"EL","non-dropping-particle":"","parse-names":false,"suffix":""},{"dropping-particle":"","family":"Ferris","given":"JA","non-dropping-particle":"","parse-names":false,"suffix":""},{"dropping-particle":"","family":"Maier","given":"LJ","non-dropping-particle":"","parse-names":false,"suffix":""},{"dropping-particle":"","family":"Barratt","given":"MJ","non-dropping-particle":"","parse-names":false,"suffix":""}],"id":"ITEM-1","issued":{"date-parts":[["2020"]]},"title":"Global drug survey: Special edition on COVID-19","type":"report"},"uris":["http://www.mendeley.com/documents/?uuid=4aa91e10-1df3-46ba-ae6f-5e8eaa5ff3de"]}],"mendeley":{"formattedCitation":"&lt;sup&gt;1&lt;/sup&gt;","plainTextFormattedCitation":"1","previouslyFormattedCitation":"&lt;sup&gt;1&lt;/sup&gt;"},"properties":{"noteIndex":0},"schema":"https://github.com/citation-style-language/schema/raw/master/csl-citation.json"}</w:instrText>
            </w:r>
            <w:r w:rsidR="00691365">
              <w:rPr>
                <w:rFonts w:ascii="Arial" w:hAnsi="Arial"/>
                <w:sz w:val="20"/>
              </w:rPr>
              <w:fldChar w:fldCharType="separate"/>
            </w:r>
            <w:r w:rsidR="00691365" w:rsidRPr="00691365">
              <w:rPr>
                <w:rFonts w:ascii="Arial" w:hAnsi="Arial"/>
                <w:noProof/>
                <w:sz w:val="20"/>
                <w:vertAlign w:val="superscript"/>
              </w:rPr>
              <w:t>1</w:t>
            </w:r>
            <w:r w:rsidR="00691365">
              <w:rPr>
                <w:rFonts w:ascii="Arial" w:hAnsi="Arial"/>
                <w:sz w:val="20"/>
              </w:rPr>
              <w:fldChar w:fldCharType="end"/>
            </w:r>
            <w:r w:rsidR="00691365">
              <w:rPr>
                <w:rFonts w:ascii="Arial" w:hAnsi="Arial"/>
                <w:sz w:val="20"/>
              </w:rPr>
              <w:t>).</w:t>
            </w:r>
            <w:r w:rsidRPr="00547F5E">
              <w:rPr>
                <w:rFonts w:ascii="Arial" w:hAnsi="Arial"/>
                <w:sz w:val="20"/>
              </w:rPr>
              <w:t xml:space="preserve"> Reasons for reduced alcohol consumption may include less social drinking and removed access to venues where alcohol is typically consumed (bars, restaurant, pubs), while </w:t>
            </w:r>
            <w:r w:rsidRPr="00547F5E">
              <w:rPr>
                <w:rFonts w:ascii="Arial" w:hAnsi="Arial"/>
                <w:sz w:val="20"/>
              </w:rPr>
              <w:lastRenderedPageBreak/>
              <w:t>heightened anxiety, boredom and removal of social constraints (e.g. less concern about social disapproval for hangover, morning drinking) may lead to increased consumption.</w:t>
            </w:r>
          </w:p>
          <w:p w14:paraId="08808A4F" w14:textId="383BEC7D" w:rsidR="00A021AD" w:rsidRPr="00C4209D" w:rsidRDefault="00A021AD" w:rsidP="001A69D6">
            <w:pPr>
              <w:spacing w:after="120"/>
            </w:pPr>
            <w:r>
              <w:t xml:space="preserve">However, we </w:t>
            </w:r>
            <w:r w:rsidR="003B69E5">
              <w:t>expect to see</w:t>
            </w:r>
            <w:r>
              <w:t xml:space="preserve"> </w:t>
            </w:r>
            <w:r w:rsidR="003B69E5">
              <w:t xml:space="preserve">an initial decrease in presentations for all of our outcomes of interest in the early stages of the pandemic due to reduced access to </w:t>
            </w:r>
            <w:r w:rsidR="003B69E5" w:rsidRPr="00A13FF2">
              <w:t xml:space="preserve">face-to-face consultations, </w:t>
            </w:r>
            <w:r w:rsidR="003B69E5">
              <w:t xml:space="preserve">perceived burden on the health service, </w:t>
            </w:r>
            <w:r w:rsidR="003B69E5" w:rsidRPr="00547F5E">
              <w:t>inclusion on the extremely vulnerable list and avoidance behaviour.</w:t>
            </w:r>
          </w:p>
          <w:p w14:paraId="630AF52C" w14:textId="7DA39B0F" w:rsidR="00580B25" w:rsidRPr="00580B25" w:rsidRDefault="00580B25" w:rsidP="001A69D6">
            <w:pPr>
              <w:rPr>
                <w:b/>
                <w:bCs/>
              </w:rPr>
            </w:pPr>
            <w:r w:rsidRPr="00580B25">
              <w:rPr>
                <w:b/>
                <w:bCs/>
              </w:rPr>
              <w:t>Rationale</w:t>
            </w:r>
          </w:p>
          <w:p w14:paraId="08164ADD" w14:textId="17BC4D18" w:rsidR="00A27076" w:rsidRDefault="00580B25" w:rsidP="001A69D6">
            <w:pPr>
              <w:spacing w:after="120"/>
            </w:pPr>
            <w:r w:rsidRPr="00580B25">
              <w:t xml:space="preserve">The COVID-19 pandemic is likely to </w:t>
            </w:r>
            <w:r>
              <w:t xml:space="preserve">indirectly </w:t>
            </w:r>
            <w:r w:rsidRPr="00580B25">
              <w:t>increase physical and psychological health problems</w:t>
            </w:r>
            <w:r>
              <w:t>.</w:t>
            </w:r>
            <w:r w:rsidRPr="00580B25">
              <w:t xml:space="preserve"> </w:t>
            </w:r>
            <w:r>
              <w:t>There</w:t>
            </w:r>
            <w:r w:rsidRPr="00580B25">
              <w:t xml:space="preserve"> will inevitably be impacts on non-COVID-19 related healthcare provision </w:t>
            </w:r>
            <w:r>
              <w:t xml:space="preserve">as </w:t>
            </w:r>
            <w:r w:rsidRPr="00580B25">
              <w:t>healthcare resources are reallocated to the COVID-19 response and modifications made to methods of care delivery due to social distancing requirements</w:t>
            </w:r>
            <w:r>
              <w:t>. These changes to healthcare provision</w:t>
            </w:r>
            <w:r w:rsidRPr="00580B25">
              <w:t xml:space="preserve"> </w:t>
            </w:r>
            <w:r>
              <w:t>may</w:t>
            </w:r>
            <w:r w:rsidRPr="00580B25">
              <w:t xml:space="preserve"> </w:t>
            </w:r>
            <w:r>
              <w:t>adversely affect</w:t>
            </w:r>
            <w:r w:rsidRPr="00580B25">
              <w:t xml:space="preserve"> physical and psychological health. Psychological health is also likely to be impacted by fears around the COVID-19 pandemic, as well as control measures such as social distancing, closures of social spaces and self-isolation. </w:t>
            </w:r>
            <w:r>
              <w:t xml:space="preserve">Lockdown </w:t>
            </w:r>
            <w:r w:rsidRPr="00580B25">
              <w:t>measures will result in reduced access to a wide range of care including face-to-face visits and talking therapies. Understanding these indirect effects will help public health planning over the following months, particularly when/if the COVID-19 pandemic is under control</w:t>
            </w:r>
            <w:r w:rsidR="007114B5">
              <w:t xml:space="preserve"> </w:t>
            </w:r>
            <w:r w:rsidR="00E348CC">
              <w:t>(and</w:t>
            </w:r>
            <w:r w:rsidRPr="00580B25">
              <w:t xml:space="preserve"> </w:t>
            </w:r>
            <w:r w:rsidR="00527BEB">
              <w:t xml:space="preserve">if further lockdowns are </w:t>
            </w:r>
            <w:r w:rsidR="00E348CC">
              <w:t>needed) and</w:t>
            </w:r>
            <w:r w:rsidRPr="00580B25">
              <w:t xml:space="preserve"> could also help inform control measures for future pandemics.</w:t>
            </w:r>
          </w:p>
          <w:p w14:paraId="54239B94" w14:textId="26DE62D0" w:rsidR="00710703" w:rsidRPr="00402D99" w:rsidRDefault="00402D99" w:rsidP="001A69D6">
            <w:pPr>
              <w:spacing w:after="120"/>
              <w:rPr>
                <w:rFonts w:cs="Arial"/>
                <w:szCs w:val="20"/>
              </w:rPr>
            </w:pPr>
            <w:r w:rsidRPr="00253652">
              <w:rPr>
                <w:rFonts w:cs="Arial"/>
                <w:szCs w:val="20"/>
              </w:rPr>
              <w:t xml:space="preserve">Although there is potentially a huge range of </w:t>
            </w:r>
            <w:r>
              <w:rPr>
                <w:rFonts w:cs="Arial"/>
                <w:szCs w:val="20"/>
              </w:rPr>
              <w:t xml:space="preserve">acute </w:t>
            </w:r>
            <w:r w:rsidRPr="00253652">
              <w:rPr>
                <w:rFonts w:cs="Arial"/>
                <w:szCs w:val="20"/>
              </w:rPr>
              <w:t xml:space="preserve">diagnoses that could </w:t>
            </w:r>
            <w:r>
              <w:rPr>
                <w:rFonts w:cs="Arial"/>
                <w:szCs w:val="20"/>
              </w:rPr>
              <w:t>be indirectly linked to the</w:t>
            </w:r>
            <w:r w:rsidRPr="00253652">
              <w:rPr>
                <w:rFonts w:cs="Arial"/>
                <w:szCs w:val="20"/>
              </w:rPr>
              <w:t xml:space="preserve"> COVID</w:t>
            </w:r>
            <w:r>
              <w:rPr>
                <w:rFonts w:cs="Arial"/>
                <w:szCs w:val="20"/>
              </w:rPr>
              <w:t>-19</w:t>
            </w:r>
            <w:r w:rsidRPr="00253652">
              <w:rPr>
                <w:rFonts w:cs="Arial"/>
                <w:szCs w:val="20"/>
              </w:rPr>
              <w:t xml:space="preserve"> pandemic, we have focused on a number of specific outcomes </w:t>
            </w:r>
            <w:r>
              <w:rPr>
                <w:rFonts w:cs="Arial"/>
                <w:szCs w:val="20"/>
              </w:rPr>
              <w:t>in this project that</w:t>
            </w:r>
            <w:r w:rsidRPr="00253652">
              <w:rPr>
                <w:rFonts w:cs="Arial"/>
                <w:szCs w:val="20"/>
              </w:rPr>
              <w:t xml:space="preserve"> could plausibly </w:t>
            </w:r>
            <w:r w:rsidR="00E348CC">
              <w:rPr>
                <w:rFonts w:cs="Arial"/>
                <w:szCs w:val="20"/>
              </w:rPr>
              <w:t>be affected</w:t>
            </w:r>
            <w:r w:rsidR="00A27529">
              <w:rPr>
                <w:rFonts w:cs="Arial"/>
                <w:szCs w:val="20"/>
              </w:rPr>
              <w:t xml:space="preserve"> acutely</w:t>
            </w:r>
            <w:r w:rsidRPr="00253652">
              <w:rPr>
                <w:rFonts w:cs="Arial"/>
                <w:szCs w:val="20"/>
              </w:rPr>
              <w:t xml:space="preserve">. </w:t>
            </w:r>
            <w:r>
              <w:rPr>
                <w:rFonts w:cs="Arial"/>
                <w:szCs w:val="20"/>
              </w:rPr>
              <w:t>We have specifically selected diabetic and cardiovascular emergencies, and exacerbations of respiratory conditions as these individuals are likely to be included on lists</w:t>
            </w:r>
            <w:r w:rsidR="00E348CC">
              <w:rPr>
                <w:rFonts w:cs="Arial"/>
                <w:szCs w:val="20"/>
              </w:rPr>
              <w:t xml:space="preserve"> of individuals considered </w:t>
            </w:r>
            <w:r w:rsidR="003A0F30">
              <w:rPr>
                <w:rFonts w:cs="Arial"/>
                <w:szCs w:val="20"/>
              </w:rPr>
              <w:t xml:space="preserve">extremely </w:t>
            </w:r>
            <w:r w:rsidR="00E348CC">
              <w:rPr>
                <w:rFonts w:cs="Arial"/>
                <w:szCs w:val="20"/>
              </w:rPr>
              <w:t>vulnerable</w:t>
            </w:r>
            <w:r w:rsidR="003A0F30">
              <w:rPr>
                <w:rFonts w:cs="Arial"/>
                <w:szCs w:val="20"/>
              </w:rPr>
              <w:t xml:space="preserve"> (and asked to self-isolate to avoid infection)</w:t>
            </w:r>
            <w:r>
              <w:rPr>
                <w:rFonts w:cs="Arial"/>
                <w:szCs w:val="20"/>
              </w:rPr>
              <w:t>,</w:t>
            </w:r>
            <w:r w:rsidR="003A0F30">
              <w:rPr>
                <w:rFonts w:cs="Arial"/>
                <w:szCs w:val="20"/>
              </w:rPr>
              <w:fldChar w:fldCharType="begin" w:fldLock="1"/>
            </w:r>
            <w:r w:rsidR="007A3B21">
              <w:rPr>
                <w:rFonts w:cs="Arial"/>
                <w:szCs w:val="20"/>
              </w:rPr>
              <w:instrText>ADDIN CSL_CITATION {"citationItems":[{"id":"ITEM-1","itemData":{"URL":"https://www.gov.uk/government/publications/guidance-on-shielding-and-protecting-extremely-vulnerable-persons-from-covid-19","accessed":{"date-parts":[["2020","3","31"]]},"author":[{"dropping-particle":"","family":"Public Health England","given":"","non-dropping-particle":"","parse-names":false,"suffix":""}],"id":"ITEM-1","issued":{"date-parts":[["2020"]]},"title":"COVID-19: guidance on shielding and protecting people defined on medical grounds as extremely vulnerable","type":"webpage"},"uris":["http://www.mendeley.com/documents/?uuid=094640fe-734c-4b83-8f76-4ce76128baa2"]}],"mendeley":{"formattedCitation":"&lt;sup&gt;2&lt;/sup&gt;","plainTextFormattedCitation":"2","previouslyFormattedCitation":"&lt;sup&gt;2&lt;/sup&gt;"},"properties":{"noteIndex":0},"schema":"https://github.com/citation-style-language/schema/raw/master/csl-citation.json"}</w:instrText>
            </w:r>
            <w:r w:rsidR="003A0F30">
              <w:rPr>
                <w:rFonts w:cs="Arial"/>
                <w:szCs w:val="20"/>
              </w:rPr>
              <w:fldChar w:fldCharType="separate"/>
            </w:r>
            <w:r w:rsidR="003A0F30" w:rsidRPr="003A0F30">
              <w:rPr>
                <w:rFonts w:cs="Arial"/>
                <w:noProof/>
                <w:szCs w:val="20"/>
                <w:vertAlign w:val="superscript"/>
              </w:rPr>
              <w:t>2</w:t>
            </w:r>
            <w:r w:rsidR="003A0F30">
              <w:rPr>
                <w:rFonts w:cs="Arial"/>
                <w:szCs w:val="20"/>
              </w:rPr>
              <w:fldChar w:fldCharType="end"/>
            </w:r>
            <w:r>
              <w:rPr>
                <w:rFonts w:cs="Arial"/>
                <w:szCs w:val="20"/>
              </w:rPr>
              <w:t xml:space="preserve"> making it difficult for them to access healthcare resources. </w:t>
            </w:r>
            <w:r w:rsidRPr="00253652">
              <w:rPr>
                <w:rFonts w:cs="Arial"/>
                <w:szCs w:val="20"/>
              </w:rPr>
              <w:t xml:space="preserve">Psychological health </w:t>
            </w:r>
            <w:r w:rsidR="00EA277E">
              <w:rPr>
                <w:rFonts w:cs="Arial"/>
                <w:szCs w:val="20"/>
              </w:rPr>
              <w:t>and alcohol use are</w:t>
            </w:r>
            <w:r w:rsidRPr="00253652">
              <w:rPr>
                <w:rFonts w:cs="Arial"/>
                <w:szCs w:val="20"/>
              </w:rPr>
              <w:t xml:space="preserve"> also likely to be impacted by fears around the COVID-19 pandemic, </w:t>
            </w:r>
            <w:r>
              <w:rPr>
                <w:rFonts w:cs="Arial"/>
                <w:szCs w:val="20"/>
              </w:rPr>
              <w:t xml:space="preserve">concerns about employment, </w:t>
            </w:r>
            <w:r w:rsidRPr="00253652">
              <w:rPr>
                <w:rFonts w:cs="Arial"/>
                <w:szCs w:val="20"/>
              </w:rPr>
              <w:t xml:space="preserve">as well as control measures </w:t>
            </w:r>
            <w:r w:rsidR="002712AE">
              <w:rPr>
                <w:rFonts w:cs="Arial"/>
                <w:szCs w:val="20"/>
              </w:rPr>
              <w:t>(</w:t>
            </w:r>
            <w:r w:rsidRPr="00253652">
              <w:rPr>
                <w:rFonts w:cs="Arial"/>
                <w:szCs w:val="20"/>
              </w:rPr>
              <w:t>such as mass social distancing, closures of social spaces and self-isolation</w:t>
            </w:r>
            <w:r w:rsidR="002712AE">
              <w:rPr>
                <w:rFonts w:cs="Arial"/>
                <w:szCs w:val="20"/>
              </w:rPr>
              <w:t>)</w:t>
            </w:r>
            <w:r w:rsidRPr="00253652">
              <w:rPr>
                <w:rFonts w:cs="Arial"/>
                <w:szCs w:val="20"/>
              </w:rPr>
              <w:t xml:space="preserve">. Furthermore, existing mental illness may be affected by difficulty accessing medications and talking therapies whilst in self-isolation. </w:t>
            </w:r>
          </w:p>
        </w:tc>
      </w:tr>
      <w:tr w:rsidR="00672602" w:rsidRPr="00CD13D5" w14:paraId="3F47C57A" w14:textId="77777777" w:rsidTr="001A69D6">
        <w:trPr>
          <w:cantSplit/>
        </w:trPr>
        <w:tc>
          <w:tcPr>
            <w:tcW w:w="10456" w:type="dxa"/>
            <w:tcBorders>
              <w:bottom w:val="single" w:sz="4" w:space="0" w:color="auto"/>
            </w:tcBorders>
            <w:shd w:val="clear" w:color="auto" w:fill="auto"/>
          </w:tcPr>
          <w:p w14:paraId="36A1634A" w14:textId="77777777" w:rsidR="00672602" w:rsidRPr="00CD13D5" w:rsidRDefault="00672602" w:rsidP="001A69D6">
            <w:pPr>
              <w:pStyle w:val="Heading2"/>
              <w:numPr>
                <w:ilvl w:val="0"/>
                <w:numId w:val="8"/>
              </w:numPr>
            </w:pPr>
            <w:r w:rsidRPr="00CD13D5">
              <w:lastRenderedPageBreak/>
              <w:t>Study Background</w:t>
            </w:r>
          </w:p>
          <w:p w14:paraId="1E7BB55F" w14:textId="5C682B6B" w:rsidR="00B27E95" w:rsidRPr="00253652" w:rsidRDefault="00B27E95" w:rsidP="001A69D6">
            <w:pPr>
              <w:spacing w:after="120"/>
              <w:ind w:right="600"/>
              <w:rPr>
                <w:rFonts w:eastAsia="Roboto" w:cs="Arial"/>
                <w:color w:val="000000" w:themeColor="text1"/>
                <w:szCs w:val="20"/>
                <w:highlight w:val="white"/>
              </w:rPr>
            </w:pPr>
            <w:r w:rsidRPr="00253652">
              <w:rPr>
                <w:rFonts w:cs="Arial"/>
                <w:color w:val="000000" w:themeColor="text1"/>
                <w:szCs w:val="20"/>
                <w:highlight w:val="white"/>
              </w:rPr>
              <w:t xml:space="preserve">As of </w:t>
            </w:r>
            <w:r w:rsidR="007A3B21">
              <w:rPr>
                <w:rFonts w:cs="Arial"/>
                <w:color w:val="000000" w:themeColor="text1"/>
                <w:szCs w:val="20"/>
                <w:highlight w:val="white"/>
              </w:rPr>
              <w:t>16</w:t>
            </w:r>
            <w:r w:rsidR="007A3B21" w:rsidRPr="007A3B21">
              <w:rPr>
                <w:rFonts w:cs="Arial"/>
                <w:color w:val="000000" w:themeColor="text1"/>
                <w:szCs w:val="20"/>
                <w:highlight w:val="white"/>
                <w:vertAlign w:val="superscript"/>
              </w:rPr>
              <w:t>th</w:t>
            </w:r>
            <w:r w:rsidR="007A3B21">
              <w:rPr>
                <w:rFonts w:cs="Arial"/>
                <w:color w:val="000000" w:themeColor="text1"/>
                <w:szCs w:val="20"/>
                <w:highlight w:val="white"/>
              </w:rPr>
              <w:t xml:space="preserve"> </w:t>
            </w:r>
            <w:r>
              <w:rPr>
                <w:rFonts w:cs="Arial"/>
                <w:color w:val="000000" w:themeColor="text1"/>
                <w:szCs w:val="20"/>
                <w:highlight w:val="white"/>
              </w:rPr>
              <w:t>June 2020</w:t>
            </w:r>
            <w:r w:rsidRPr="00253652">
              <w:rPr>
                <w:rFonts w:cs="Arial"/>
                <w:color w:val="000000" w:themeColor="text1"/>
                <w:szCs w:val="20"/>
                <w:highlight w:val="white"/>
              </w:rPr>
              <w:t xml:space="preserve">, the novel Coronavirus disease 2019 (COVID-19) pandemic has been diagnosed in over </w:t>
            </w:r>
            <w:r w:rsidR="007A3B21">
              <w:rPr>
                <w:rFonts w:cs="Arial"/>
                <w:color w:val="000000" w:themeColor="text1"/>
                <w:szCs w:val="20"/>
                <w:highlight w:val="white"/>
              </w:rPr>
              <w:t>8</w:t>
            </w:r>
            <w:r w:rsidRPr="00253652">
              <w:rPr>
                <w:rFonts w:cs="Arial"/>
                <w:color w:val="000000" w:themeColor="text1"/>
                <w:szCs w:val="20"/>
                <w:highlight w:val="white"/>
              </w:rPr>
              <w:t xml:space="preserve"> million individuals with more than </w:t>
            </w:r>
            <w:r w:rsidR="007A3B21">
              <w:rPr>
                <w:rFonts w:cs="Arial"/>
                <w:color w:val="000000" w:themeColor="text1"/>
                <w:szCs w:val="20"/>
                <w:highlight w:val="white"/>
              </w:rPr>
              <w:t>437</w:t>
            </w:r>
            <w:r>
              <w:rPr>
                <w:rFonts w:cs="Arial"/>
                <w:color w:val="000000" w:themeColor="text1"/>
                <w:szCs w:val="20"/>
                <w:highlight w:val="white"/>
              </w:rPr>
              <w:t>,000</w:t>
            </w:r>
            <w:r w:rsidRPr="00253652">
              <w:rPr>
                <w:rFonts w:cs="Arial"/>
                <w:color w:val="000000" w:themeColor="text1"/>
                <w:szCs w:val="20"/>
                <w:highlight w:val="white"/>
              </w:rPr>
              <w:t xml:space="preserve"> deaths reported worldwide.</w:t>
            </w:r>
            <w:r w:rsidR="00187C2F">
              <w:rPr>
                <w:rFonts w:cs="Arial"/>
                <w:color w:val="000000" w:themeColor="text1"/>
                <w:szCs w:val="20"/>
                <w:highlight w:val="white"/>
              </w:rPr>
              <w:fldChar w:fldCharType="begin" w:fldLock="1"/>
            </w:r>
            <w:r w:rsidR="007A3B21">
              <w:rPr>
                <w:rFonts w:cs="Arial"/>
                <w:color w:val="000000" w:themeColor="text1"/>
                <w:szCs w:val="20"/>
                <w:highlight w:val="white"/>
              </w:rPr>
              <w:instrText>ADDIN CSL_CITATION {"citationItems":[{"id":"ITEM-1","itemData":{"URL":"https://coronavirus.jhu.edu/map.html","accessed":{"date-parts":[["2020","6","16"]]},"author":[{"dropping-particle":"","family":"Johns Hopkins","given":"","non-dropping-particle":"","parse-names":false,"suffix":""}],"container-title":"Johns Hopkins Coronavirus Resource Centre","id":"ITEM-1","issued":{"date-parts":[["2020"]]},"title":"COVID-19 Map","type":"webpage"},"uris":["http://www.mendeley.com/documents/?uuid=3845ceed-79d1-43b7-a494-036d504cb85e"]}],"mendeley":{"formattedCitation":"&lt;sup&gt;3&lt;/sup&gt;","plainTextFormattedCitation":"3","previouslyFormattedCitation":"&lt;sup&gt;3&lt;/sup&gt;"},"properties":{"noteIndex":0},"schema":"https://github.com/citation-style-language/schema/raw/master/csl-citation.json"}</w:instrText>
            </w:r>
            <w:r w:rsidR="00187C2F">
              <w:rPr>
                <w:rFonts w:cs="Arial"/>
                <w:color w:val="000000" w:themeColor="text1"/>
                <w:szCs w:val="20"/>
                <w:highlight w:val="white"/>
              </w:rPr>
              <w:fldChar w:fldCharType="separate"/>
            </w:r>
            <w:r w:rsidR="003A0F30" w:rsidRPr="003A0F30">
              <w:rPr>
                <w:rFonts w:cs="Arial"/>
                <w:noProof/>
                <w:color w:val="000000" w:themeColor="text1"/>
                <w:szCs w:val="20"/>
                <w:highlight w:val="white"/>
                <w:vertAlign w:val="superscript"/>
              </w:rPr>
              <w:t>3</w:t>
            </w:r>
            <w:r w:rsidR="00187C2F">
              <w:rPr>
                <w:rFonts w:cs="Arial"/>
                <w:color w:val="000000" w:themeColor="text1"/>
                <w:szCs w:val="20"/>
                <w:highlight w:val="white"/>
              </w:rPr>
              <w:fldChar w:fldCharType="end"/>
            </w:r>
            <w:r w:rsidR="00187C2F">
              <w:rPr>
                <w:rFonts w:cs="Arial"/>
                <w:color w:val="000000" w:themeColor="text1"/>
                <w:szCs w:val="20"/>
                <w:highlight w:val="white"/>
              </w:rPr>
              <w:t xml:space="preserve"> </w:t>
            </w:r>
            <w:r w:rsidR="005066F6" w:rsidRPr="00253652">
              <w:rPr>
                <w:rFonts w:cs="Arial"/>
                <w:color w:val="000000" w:themeColor="text1"/>
                <w:szCs w:val="20"/>
                <w:highlight w:val="white"/>
              </w:rPr>
              <w:t xml:space="preserve">Much of the global public health and research focus </w:t>
            </w:r>
            <w:r w:rsidR="005066F6">
              <w:rPr>
                <w:rFonts w:cs="Arial"/>
                <w:color w:val="000000" w:themeColor="text1"/>
                <w:szCs w:val="20"/>
                <w:highlight w:val="white"/>
              </w:rPr>
              <w:t>has</w:t>
            </w:r>
            <w:r w:rsidR="005066F6" w:rsidRPr="00253652">
              <w:rPr>
                <w:rFonts w:cs="Arial"/>
                <w:color w:val="000000" w:themeColor="text1"/>
                <w:szCs w:val="20"/>
                <w:highlight w:val="white"/>
              </w:rPr>
              <w:t xml:space="preserve"> understandably focused on prevention of spread of the virus and reducing mortality</w:t>
            </w:r>
            <w:r w:rsidR="005066F6">
              <w:rPr>
                <w:rFonts w:cs="Arial"/>
                <w:color w:val="000000" w:themeColor="text1"/>
                <w:szCs w:val="20"/>
                <w:highlight w:val="white"/>
              </w:rPr>
              <w:t>.</w:t>
            </w:r>
          </w:p>
          <w:p w14:paraId="43E6D82F" w14:textId="23568F6D" w:rsidR="00B27E95" w:rsidRPr="00253652" w:rsidRDefault="00B27E95" w:rsidP="001A69D6">
            <w:pPr>
              <w:spacing w:after="120"/>
              <w:rPr>
                <w:rFonts w:cs="Arial"/>
                <w:color w:val="000000" w:themeColor="text1"/>
                <w:szCs w:val="20"/>
              </w:rPr>
            </w:pPr>
            <w:bookmarkStart w:id="0" w:name="_gjdgxs" w:colFirst="0" w:colLast="0"/>
            <w:bookmarkEnd w:id="0"/>
            <w:r w:rsidRPr="00253652">
              <w:rPr>
                <w:rFonts w:cs="Arial"/>
                <w:color w:val="000000" w:themeColor="text1"/>
                <w:szCs w:val="20"/>
              </w:rPr>
              <w:t>Specific control measures such as mass social distancing, closures of social spaces and self-isolation have been introduced in a</w:t>
            </w:r>
            <w:r w:rsidR="002042A8">
              <w:rPr>
                <w:rFonts w:cs="Arial"/>
                <w:color w:val="000000" w:themeColor="text1"/>
                <w:szCs w:val="20"/>
              </w:rPr>
              <w:t>n</w:t>
            </w:r>
            <w:r w:rsidRPr="00253652">
              <w:rPr>
                <w:rFonts w:cs="Arial"/>
                <w:color w:val="000000" w:themeColor="text1"/>
                <w:szCs w:val="20"/>
              </w:rPr>
              <w:t xml:space="preserve"> effort to control the pandemic. Major planning </w:t>
            </w:r>
            <w:r w:rsidR="00FC6B23">
              <w:rPr>
                <w:rFonts w:cs="Arial"/>
                <w:color w:val="000000" w:themeColor="text1"/>
                <w:szCs w:val="20"/>
              </w:rPr>
              <w:t>has</w:t>
            </w:r>
            <w:r>
              <w:rPr>
                <w:rFonts w:cs="Arial"/>
                <w:color w:val="000000" w:themeColor="text1"/>
                <w:szCs w:val="20"/>
              </w:rPr>
              <w:t xml:space="preserve"> </w:t>
            </w:r>
            <w:r w:rsidR="00FC6B23">
              <w:rPr>
                <w:rFonts w:cs="Arial"/>
                <w:color w:val="000000" w:themeColor="text1"/>
                <w:szCs w:val="20"/>
              </w:rPr>
              <w:t xml:space="preserve">aimed </w:t>
            </w:r>
            <w:r w:rsidR="002042A8">
              <w:rPr>
                <w:rFonts w:cs="Arial"/>
                <w:color w:val="000000" w:themeColor="text1"/>
                <w:szCs w:val="20"/>
              </w:rPr>
              <w:t>at</w:t>
            </w:r>
            <w:r w:rsidR="00FC6B23">
              <w:rPr>
                <w:rFonts w:cs="Arial"/>
                <w:color w:val="000000" w:themeColor="text1"/>
                <w:szCs w:val="20"/>
              </w:rPr>
              <w:t xml:space="preserve"> tackl</w:t>
            </w:r>
            <w:r w:rsidR="002042A8">
              <w:rPr>
                <w:rFonts w:cs="Arial"/>
                <w:color w:val="000000" w:themeColor="text1"/>
                <w:szCs w:val="20"/>
              </w:rPr>
              <w:t>ing</w:t>
            </w:r>
            <w:r w:rsidRPr="00253652">
              <w:rPr>
                <w:rFonts w:cs="Arial"/>
                <w:color w:val="000000" w:themeColor="text1"/>
                <w:szCs w:val="20"/>
              </w:rPr>
              <w:t xml:space="preserve"> the increased emergency department hospital attendances and admissions to hospital </w:t>
            </w:r>
            <w:r>
              <w:rPr>
                <w:rFonts w:cs="Arial"/>
                <w:color w:val="000000" w:themeColor="text1"/>
                <w:szCs w:val="20"/>
              </w:rPr>
              <w:t>(</w:t>
            </w:r>
            <w:r w:rsidRPr="00253652">
              <w:rPr>
                <w:rFonts w:cs="Arial"/>
                <w:color w:val="000000" w:themeColor="text1"/>
                <w:szCs w:val="20"/>
              </w:rPr>
              <w:t>including high dependency and intensive care units</w:t>
            </w:r>
            <w:r>
              <w:rPr>
                <w:rFonts w:cs="Arial"/>
                <w:color w:val="000000" w:themeColor="text1"/>
                <w:szCs w:val="20"/>
              </w:rPr>
              <w:t>)</w:t>
            </w:r>
            <w:r w:rsidRPr="00253652">
              <w:rPr>
                <w:rFonts w:cs="Arial"/>
                <w:color w:val="000000" w:themeColor="text1"/>
                <w:szCs w:val="20"/>
              </w:rPr>
              <w:t xml:space="preserve">.  </w:t>
            </w:r>
          </w:p>
          <w:p w14:paraId="4A4156F5" w14:textId="4AC8FD1F" w:rsidR="00B27E95" w:rsidRPr="00253652" w:rsidRDefault="003B30DA" w:rsidP="001A69D6">
            <w:pPr>
              <w:spacing w:after="120"/>
              <w:rPr>
                <w:rFonts w:cs="Arial"/>
                <w:color w:val="000000" w:themeColor="text1"/>
                <w:szCs w:val="20"/>
              </w:rPr>
            </w:pPr>
            <w:r>
              <w:rPr>
                <w:rFonts w:cs="Arial"/>
                <w:color w:val="000000" w:themeColor="text1"/>
                <w:szCs w:val="20"/>
              </w:rPr>
              <w:t>However, as</w:t>
            </w:r>
            <w:r w:rsidR="00B27E95" w:rsidRPr="00253652">
              <w:rPr>
                <w:rFonts w:cs="Arial"/>
                <w:color w:val="000000" w:themeColor="text1"/>
                <w:szCs w:val="20"/>
              </w:rPr>
              <w:t xml:space="preserve"> healthcare resources are reallocated to the </w:t>
            </w:r>
            <w:r w:rsidR="00B27E95" w:rsidRPr="00253652">
              <w:rPr>
                <w:rFonts w:cs="Arial"/>
                <w:szCs w:val="20"/>
              </w:rPr>
              <w:t xml:space="preserve">COVID-19 </w:t>
            </w:r>
            <w:r w:rsidR="00B27E95" w:rsidRPr="00253652">
              <w:rPr>
                <w:rFonts w:cs="Arial"/>
                <w:color w:val="000000" w:themeColor="text1"/>
                <w:szCs w:val="20"/>
              </w:rPr>
              <w:t>response and modifications made to methods of care delivery due to social distancing requirements, there will inevitably be impacts on non-COVID-19</w:t>
            </w:r>
            <w:r w:rsidR="00F145B8">
              <w:rPr>
                <w:rFonts w:cs="Arial"/>
                <w:color w:val="000000" w:themeColor="text1"/>
                <w:szCs w:val="20"/>
              </w:rPr>
              <w:t>-</w:t>
            </w:r>
            <w:r w:rsidR="00B27E95" w:rsidRPr="00253652">
              <w:rPr>
                <w:rFonts w:cs="Arial"/>
                <w:color w:val="000000" w:themeColor="text1"/>
                <w:szCs w:val="20"/>
              </w:rPr>
              <w:t>related healthcare provision, including prevention activities, such as chronic disease monitoring.</w:t>
            </w:r>
            <w:r w:rsidR="0021230C">
              <w:rPr>
                <w:rFonts w:cs="Arial"/>
                <w:color w:val="000000" w:themeColor="text1"/>
                <w:szCs w:val="20"/>
              </w:rPr>
              <w:fldChar w:fldCharType="begin" w:fldLock="1"/>
            </w:r>
            <w:r w:rsidR="007A3B21">
              <w:rPr>
                <w:rFonts w:cs="Arial"/>
                <w:color w:val="000000" w:themeColor="text1"/>
                <w:szCs w:val="20"/>
              </w:rPr>
              <w:instrText>ADDIN CSL_CITATION {"citationItems":[{"id":"ITEM-1","itemData":{"URL":"https://www.who.int/news-room/detail/01-06-2020-covid-19-significantly-impacts-health-services-for-noncommunicable-diseases","accessed":{"date-parts":[["2020","6","2"]]},"author":[{"dropping-particle":"","family":"World Health Organization (WHO)","given":"","non-dropping-particle":"","parse-names":false,"suffix":""}],"id":"ITEM-1","issued":{"date-parts":[["2020"]]},"title":"COVID-19 significantly impacts health services for noncommunicable diseases","type":"webpage"},"uris":["http://www.mendeley.com/documents/?uuid=b97bcd1c-36fb-4adb-af48-ab65e3224433"]}],"mendeley":{"formattedCitation":"&lt;sup&gt;4&lt;/sup&gt;","plainTextFormattedCitation":"4","previouslyFormattedCitation":"&lt;sup&gt;4&lt;/sup&gt;"},"properties":{"noteIndex":0},"schema":"https://github.com/citation-style-language/schema/raw/master/csl-citation.json"}</w:instrText>
            </w:r>
            <w:r w:rsidR="0021230C">
              <w:rPr>
                <w:rFonts w:cs="Arial"/>
                <w:color w:val="000000" w:themeColor="text1"/>
                <w:szCs w:val="20"/>
              </w:rPr>
              <w:fldChar w:fldCharType="separate"/>
            </w:r>
            <w:r w:rsidR="003A0F30" w:rsidRPr="003A0F30">
              <w:rPr>
                <w:rFonts w:cs="Arial"/>
                <w:noProof/>
                <w:color w:val="000000" w:themeColor="text1"/>
                <w:szCs w:val="20"/>
                <w:vertAlign w:val="superscript"/>
              </w:rPr>
              <w:t>4</w:t>
            </w:r>
            <w:r w:rsidR="0021230C">
              <w:rPr>
                <w:rFonts w:cs="Arial"/>
                <w:color w:val="000000" w:themeColor="text1"/>
                <w:szCs w:val="20"/>
              </w:rPr>
              <w:fldChar w:fldCharType="end"/>
            </w:r>
            <w:r w:rsidR="00B27E95" w:rsidRPr="00253652">
              <w:rPr>
                <w:rFonts w:cs="Arial"/>
                <w:color w:val="000000" w:themeColor="text1"/>
                <w:szCs w:val="20"/>
              </w:rPr>
              <w:t xml:space="preserve"> The reduction in prevention activities, reductions in attendance at general practitioners and emergency departments for non-COVID-19</w:t>
            </w:r>
            <w:r w:rsidR="00F145B8">
              <w:rPr>
                <w:rFonts w:cs="Arial"/>
                <w:color w:val="000000" w:themeColor="text1"/>
                <w:szCs w:val="20"/>
              </w:rPr>
              <w:t>-</w:t>
            </w:r>
            <w:r w:rsidR="00B27E95" w:rsidRPr="00253652">
              <w:rPr>
                <w:rFonts w:cs="Arial"/>
                <w:color w:val="000000" w:themeColor="text1"/>
                <w:szCs w:val="20"/>
              </w:rPr>
              <w:t>related health issues and mass social distancing measures may inadvertently worsen the physical and mental health of the population.</w:t>
            </w:r>
            <w:r w:rsidR="0021230C">
              <w:rPr>
                <w:rFonts w:cs="Arial"/>
                <w:color w:val="000000" w:themeColor="text1"/>
                <w:szCs w:val="20"/>
              </w:rPr>
              <w:fldChar w:fldCharType="begin" w:fldLock="1"/>
            </w:r>
            <w:r w:rsidR="007A3B21">
              <w:rPr>
                <w:rFonts w:cs="Arial"/>
                <w:color w:val="000000" w:themeColor="text1"/>
                <w:szCs w:val="20"/>
              </w:rPr>
              <w:instrText>ADDIN CSL_CITATION {"citationItems":[{"id":"ITEM-1","itemData":{"DOI":"10.1016/S1473-3099(20)30176-6","ISSN":"14744457","PMID":"32220284","abstract":"Background: In December, 2019, coronavirus disease 2019 (COVID-19) caused by severe acute respiratory syndrome coronavirus 2 (SARS-CoV-2) emerged in Wuhan, China. The number of affected pregnant women is increasing, but scarce information is available about the clinical features of COVID-19 in pregnancy. This study aimed to clarify the clinical features and obstetric and neonatal outcomes of pregnant patients with COVID-19. Methods: In this retrospective, single-centre study, we included all pregnant women with COVID-19 who were admitted to Tongji Hospital in Wuhan, China. Clinical features, treatments, and maternal and fetal outcomes were assessed. Findings: Seven patients, admitted to Tongji Hospital from Jan 1, to Feb 8, 2020, were included in our study. The mean age of the patients was 32 years (range 29–34 years) and the mean gestational age was 39 weeks plus 1 day (range 37 weeks to 41 weeks plus 2 days). Clinical manifestations were fever (six [86%] patients), cough (one [14%] patient), shortness of breath (one [14%] patient), and diarrhoea (one [14%] patient). All the patients had caesarean section within 3 days of clinical presentation with an average gestational age of 39 weeks plus 2 days. The final date of follow-up was Feb 12, 2020. The outcomes of the pregnant women and neonates were good. Three neonates were tested for SARS-CoV-2 and one neonate was infected with SARS-CoV-2 36 h after birth. Interpretation: The maternal, fetal, and neonatal outcomes of patients who were infected in late pregnancy appeared very good, and these outcomes were achieved with intensive, active management that might be the best practice in the absence of more robust data. The clinical characteristics of these patients with COVID-19 during pregnancy were similar to those of non-pregnant adults with COVID-19 that have been reported in the literature. Funding: National Natural Science Foundation of China, Hubei Provincial Natural Science Foundation of China.","author":[{"dropping-particle":"","family":"Yu","given":"Nan","non-dropping-particle":"","parse-names":false,"suffix":""},{"dropping-particle":"","family":"Li","given":"Wei","non-dropping-particle":"","parse-names":false,"suffix":""},{"dropping-particle":"","family":"Kang","given":"Qingling","non-dropping-particle":"","parse-names":false,"suffix":""},{"dropping-particle":"","family":"Xiong","given":"Zhi","non-dropping-particle":"","parse-names":false,"suffix":""},{"dropping-particle":"","family":"Wang","given":"Shaoshuai","non-dropping-particle":"","parse-names":false,"suffix":""},{"dropping-particle":"","family":"Lin","given":"Xingguang","non-dropping-particle":"","parse-names":false,"suffix":""},{"dropping-particle":"","family":"Liu","given":"Yanyan","non-dropping-particle":"","parse-names":false,"suffix":""},{"dropping-particle":"","family":"Xiao","given":"Juan","non-dropping-particle":"","parse-names":false,"suffix":""},{"dropping-particle":"","family":"Liu","given":"Haiyi","non-dropping-particle":"","parse-names":false,"suffix":""},{"dropping-particle":"","family":"Deng","given":"Dongrui","non-dropping-particle":"","parse-names":false,"suffix":""},{"dropping-particle":"","family":"Chen","given":"Suhua","non-dropping-particle":"","parse-names":false,"suffix":""},{"dropping-particle":"","family":"Zeng","given":"Wanjiang","non-dropping-particle":"","parse-names":false,"suffix":""},{"dropping-particle":"","family":"Feng","given":"Ling","non-dropping-particle":"","parse-names":false,"suffix":""},{"dropping-particle":"","family":"Wu","given":"Jianli","non-dropping-particle":"","parse-names":false,"suffix":""}],"container-title":"The Lancet Infectious Diseases","id":"ITEM-1","issued":{"date-parts":[["2020"]]},"title":"Clinical features and obstetric and neonatal outcomes of pregnant patients with COVID-19 in Wuhan, China: a retrospective, single-centre, descriptive study","type":"article-journal"},"uris":["http://www.mendeley.com/documents/?uuid=f316f02d-433c-41ad-a2ea-3c9ad285c56d"]},{"id":"ITEM-2","itemData":{"DOI":"10.1016/j.jacc.2020.03.031","ISSN":"15583597","PMID":"32201335","abstract":"The coronavirus disease 2019 (COVID-19) is an infectious disease caused by severe acute respiratory syndrome coronavirus 2 that has significant implications for the cardiovascular care of patients. First, those with COVID-19 and pre-existing cardiovascular disease have an increased risk of severe disease and death. Second, infection has been associated with multiple direct and indirect cardiovascular complications including acute myocardial injury, myocarditis, arrhythmias, and venous thromboembolism. Third, therapies under investigation for COVID-19 may have cardiovascular side effects. Fourth, the response to COVID-19 can compromise the rapid triage of non-COVID-19 patients with cardiovascular conditions. Finally, the provision of cardiovascular care may place health care workers in a position of vulnerability as they become hosts or vectors of virus transmission. We hereby review the peer-reviewed and pre-print reports pertaining to cardiovascular considerations related to COVID-19 and highlight gaps in knowledge that require further study pertinent to patients, health care workers, and health systems.","author":[{"dropping-particle":"","family":"Driggin","given":"Elissa","non-dropping-particle":"","parse-names":false,"suffix":""},{"dropping-particle":"V.","family":"Madhavan","given":"Mahesh","non-dropping-particle":"","parse-names":false,"suffix":""},{"dropping-particle":"","family":"Bikdeli","given":"Behnood","non-dropping-particle":"","parse-names":false,"suffix":""},{"dropping-particle":"","family":"Chuich","given":"Taylor","non-dropping-particle":"","parse-names":false,"suffix":""},{"dropping-particle":"","family":"Laracy","given":"Justin","non-dropping-particle":"","parse-names":false,"suffix":""},{"dropping-particle":"","family":"Biondi-Zoccai","given":"Giuseppe","non-dropping-particle":"","parse-names":false,"suffix":""},{"dropping-particle":"","family":"Brown","given":"Tyler S.","non-dropping-particle":"","parse-names":false,"suffix":""},{"dropping-particle":"","family":"Nigoghossian","given":"Caroline","non-dropping-particle":"Der","parse-names":false,"suffix":""},{"dropping-particle":"","family":"Zidar","given":"David A.","non-dropping-particle":"","parse-names":false,"suffix":""},{"dropping-particle":"","family":"Haythe","given":"Jennifer","non-dropping-particle":"","parse-names":false,"suffix":""},{"dropping-particle":"","family":"Brodie","given":"Daniel","non-dropping-particle":"","parse-names":false,"suffix":""},{"dropping-particle":"","family":"Beckman","given":"Joshua A.","non-dropping-particle":"","parse-names":false,"suffix":""},{"dropping-particle":"","family":"Kirtane","given":"Ajay J.","non-dropping-particle":"","parse-names":false,"suffix":""},{"dropping-particle":"","family":"Stone","given":"Gregg W.","non-dropping-particle":"","parse-names":false,"suffix":""},{"dropping-particle":"","family":"Krumholz","given":"Harlan M.","non-dropping-particle":"","parse-names":false,"suffix":""},{"dropping-particle":"","family":"Parikh","given":"Sahil A.","non-dropping-particle":"","parse-names":false,"suffix":""}],"container-title":"Journal of the American College of Cardiology","id":"ITEM-2","issued":{"date-parts":[["2020"]]},"title":"Cardiovascular Considerations for Patients, Health Care Workers, and Health Systems During the COVID-19 Pandemic","type":"article"},"uris":["http://www.mendeley.com/documents/?uuid=9fb4124f-39c0-4e1e-95b9-02ac2eeb6187"]},{"id":"ITEM-3","itemData":{"DOI":"10.1161/CIRCOUTCOMES.120.006631","ISSN":"19417705","PMID":"32182131","author":[{"dropping-particle":"","family":"Tam","given":"Chor Cheung Frankie","non-dropping-particle":"","parse-names":false,"suffix":""},{"dropping-particle":"","family":"Cheung","given":"Kent Shek","non-dropping-particle":"","parse-names":false,"suffix":""},{"dropping-particle":"","family":"Lam","given":"Simon","non-dropping-particle":"","parse-names":false,"suffix":""},{"dropping-particle":"","family":"Wong","given":"Anthony","non-dropping-particle":"","parse-names":false,"suffix":""},{"dropping-particle":"","family":"Yung","given":"Arthur","non-dropping-particle":"","parse-names":false,"suffix":""},{"dropping-particle":"","family":"Sze","given":"Michael","non-dropping-particle":"","parse-names":false,"suffix":""},{"dropping-particle":"","family":"Lam","given":"Yui Ming","non-dropping-particle":"","parse-names":false,"suffix":""},{"dropping-particle":"","family":"Chan","given":"Carmen","non-dropping-particle":"","parse-names":false,"suffix":""},{"dropping-particle":"","family":"Tsang","given":"Tat Chi","non-dropping-particle":"","parse-names":false,"suffix":""},{"dropping-particle":"","family":"Tsui","given":"Matthew","non-dropping-particle":"","parse-names":false,"suffix":""},{"dropping-particle":"","family":"Tse","given":"Hung Fat","non-dropping-particle":"","parse-names":false,"suffix":""},{"dropping-particle":"","family":"Siu","given":"Chung Wah","non-dropping-particle":"","parse-names":false,"suffix":""}],"container-title":"Circulation: Cardiovascular Quality and Outcomes","id":"ITEM-3","issued":{"date-parts":[["2020"]]},"title":"Impact of Coronavirus Disease 2019 (COVID-19) Outbreak on ST-Segment-Elevation Myocardial Infarction Care in Hong Kong, China","type":"article"},"uris":["http://www.mendeley.com/documents/?uuid=3abe2de6-560b-4594-b2fb-6c351f108537"]},{"id":"ITEM-4","itemData":{"DOI":"10.1016/S0140-6736(20)30736-4","ISSN":"1474547X","PMID":"32220657","author":[{"dropping-particle":"","family":"Cluver","given":"Lucie","non-dropping-particle":"","parse-names":false,"suffix":""},{"dropping-particle":"","family":"Lachman","given":"Jamie M.","non-dropping-particle":"","parse-names":false,"suffix":""},{"dropping-particle":"","family":"Sherr","given":"Lorraine","non-dropping-particle":"","parse-names":false,"suffix":""},{"dropping-particle":"","family":"Wessels","given":"Inge","non-dropping-particle":"","parse-names":false,"suffix":""},{"dropping-particle":"","family":"Krug","given":"Etienne","non-dropping-particle":"","parse-names":false,"suffix":""},{"dropping-particle":"","family":"Rakotomalala","given":"Sabine","non-dropping-particle":"","parse-names":false,"suffix":""},{"dropping-particle":"","family":"Blight","given":"Stephen","non-dropping-particle":"","parse-names":false,"suffix":""},{"dropping-particle":"","family":"Hillis","given":"Susan","non-dropping-particle":"","parse-names":false,"suffix":""},{"dropping-particle":"","family":"Bachman","given":"Gretchen","non-dropping-particle":"","parse-names":false,"suffix":""},{"dropping-particle":"","family":"Green","given":"Ohad","non-dropping-particle":"","parse-names":false,"suffix":""},{"dropping-particle":"","family":"Butchart","given":"Alex","non-dropping-particle":"","parse-names":false,"suffix":""},{"dropping-particle":"","family":"Tomlinson","given":"Mark","non-dropping-particle":"","parse-names":false,"suffix":""},{"dropping-particle":"","family":"Ward","given":"Catherine L.","non-dropping-particle":"","parse-names":false,"suffix":""},{"dropping-particle":"","family":"Doubt","given":"Jennifer","non-dropping-particle":"","parse-names":false,"suffix":""},{"dropping-particle":"","family":"McDonald","given":"Kerida","non-dropping-particle":"","parse-names":false,"suffix":""}],"container-title":"The Lancet","id":"ITEM-4","issued":{"date-parts":[["2020"]]},"title":"Parenting in a time of COVID-19","type":"article"},"uris":["http://www.mendeley.com/documents/?uuid=9beaeb8f-5894-48fe-8f82-3b2679c4b022"]},{"id":"ITEM-5","itemData":{"DOI":"10.1136/bmj.m1557","ISSN":"17561833","PMID":"32341002","author":[{"dropping-particle":"","family":"Douglas","given":"Margaret","non-dropping-particle":"","parse-names":false,"suffix":""},{"dropping-particle":"","family":"Katikireddi","given":"Srinivasa Vittal","non-dropping-particle":"","parse-names":false,"suffix":""},{"dropping-particle":"","family":"Taulbut","given":"Martin","non-dropping-particle":"","parse-names":false,"suffix":""},{"dropping-particle":"","family":"McKee","given":"Martin","non-dropping-particle":"","parse-names":false,"suffix":""},{"dropping-particle":"","family":"McCartney","given":"Gerry","non-dropping-particle":"","parse-names":false,"suffix":""}],"container-title":"The BMJ","id":"ITEM-5","issue":"April","issued":{"date-parts":[["2020"]]},"page":"1-6","title":"Mitigating the wider health effects of covid-19 pandemic response","type":"article-journal","volume":"369"},"uris":["http://www.mendeley.com/documents/?uuid=aaafa33e-6af6-4e05-bd02-a32fbc69c778"]}],"mendeley":{"formattedCitation":"&lt;sup&gt;5–9&lt;/sup&gt;","plainTextFormattedCitation":"5–9","previouslyFormattedCitation":"&lt;sup&gt;5–9&lt;/sup&gt;"},"properties":{"noteIndex":0},"schema":"https://github.com/citation-style-language/schema/raw/master/csl-citation.json"}</w:instrText>
            </w:r>
            <w:r w:rsidR="0021230C">
              <w:rPr>
                <w:rFonts w:cs="Arial"/>
                <w:color w:val="000000" w:themeColor="text1"/>
                <w:szCs w:val="20"/>
              </w:rPr>
              <w:fldChar w:fldCharType="separate"/>
            </w:r>
            <w:r w:rsidR="003A0F30" w:rsidRPr="003A0F30">
              <w:rPr>
                <w:rFonts w:cs="Arial"/>
                <w:noProof/>
                <w:color w:val="000000" w:themeColor="text1"/>
                <w:szCs w:val="20"/>
                <w:vertAlign w:val="superscript"/>
              </w:rPr>
              <w:t>5–9</w:t>
            </w:r>
            <w:r w:rsidR="0021230C">
              <w:rPr>
                <w:rFonts w:cs="Arial"/>
                <w:color w:val="000000" w:themeColor="text1"/>
                <w:szCs w:val="20"/>
              </w:rPr>
              <w:fldChar w:fldCharType="end"/>
            </w:r>
            <w:r w:rsidR="00B27E95" w:rsidRPr="00253652">
              <w:rPr>
                <w:rFonts w:cs="Arial"/>
                <w:color w:val="000000" w:themeColor="text1"/>
                <w:szCs w:val="20"/>
              </w:rPr>
              <w:t xml:space="preserve"> </w:t>
            </w:r>
            <w:r w:rsidR="00256EA0" w:rsidRPr="00256EA0">
              <w:rPr>
                <w:rFonts w:cs="Arial"/>
                <w:color w:val="000000" w:themeColor="text1"/>
                <w:szCs w:val="20"/>
              </w:rPr>
              <w:t>In addition, people may delay seeking care (due to fear of infection, or a perceived need to reduce the burden on healthcare)</w:t>
            </w:r>
            <w:r w:rsidR="00C86697">
              <w:rPr>
                <w:rFonts w:cs="Arial"/>
                <w:color w:val="000000" w:themeColor="text1"/>
                <w:szCs w:val="20"/>
              </w:rPr>
              <w:t xml:space="preserve">. </w:t>
            </w:r>
            <w:r w:rsidR="00B27E95" w:rsidRPr="00253652">
              <w:rPr>
                <w:rFonts w:cs="Arial"/>
                <w:color w:val="000000" w:themeColor="text1"/>
                <w:szCs w:val="20"/>
              </w:rPr>
              <w:t xml:space="preserve">Mental health is also likely to be </w:t>
            </w:r>
            <w:r w:rsidR="00C86697">
              <w:rPr>
                <w:rFonts w:cs="Arial"/>
                <w:color w:val="000000" w:themeColor="text1"/>
                <w:szCs w:val="20"/>
              </w:rPr>
              <w:t>affected</w:t>
            </w:r>
            <w:r w:rsidR="00B27E95" w:rsidRPr="00253652">
              <w:rPr>
                <w:rFonts w:cs="Arial"/>
                <w:color w:val="000000" w:themeColor="text1"/>
                <w:szCs w:val="20"/>
              </w:rPr>
              <w:t xml:space="preserve"> by fears around the COVID-19 pandemic, </w:t>
            </w:r>
            <w:r w:rsidR="00B27E95">
              <w:rPr>
                <w:rFonts w:cs="Arial"/>
                <w:color w:val="000000" w:themeColor="text1"/>
                <w:szCs w:val="20"/>
              </w:rPr>
              <w:t xml:space="preserve">employment and financial concerns, </w:t>
            </w:r>
            <w:r w:rsidR="00B27E95" w:rsidRPr="00253652">
              <w:rPr>
                <w:rFonts w:cs="Arial"/>
                <w:color w:val="000000" w:themeColor="text1"/>
                <w:szCs w:val="20"/>
              </w:rPr>
              <w:t xml:space="preserve">as well as control measures such as mass social distancing, closures of social spaces and self-isolation.  </w:t>
            </w:r>
          </w:p>
          <w:p w14:paraId="024A05E7" w14:textId="1BA374C4" w:rsidR="00256EA0" w:rsidRDefault="00B27E95" w:rsidP="001A69D6">
            <w:pPr>
              <w:spacing w:after="120"/>
              <w:rPr>
                <w:rFonts w:cs="Arial"/>
                <w:color w:val="000000" w:themeColor="text1"/>
                <w:szCs w:val="20"/>
              </w:rPr>
            </w:pPr>
            <w:r w:rsidRPr="00253652">
              <w:rPr>
                <w:rFonts w:cs="Arial"/>
                <w:color w:val="000000" w:themeColor="text1"/>
                <w:szCs w:val="20"/>
              </w:rPr>
              <w:t>Understanding the indirect effects of the pandemic on non-COVID-19 related health outcomes will help public health planning and policy over the following months, particularly when/if the COVID-19 pandemic is under control</w:t>
            </w:r>
            <w:r w:rsidR="002042A8">
              <w:rPr>
                <w:rFonts w:cs="Arial"/>
                <w:color w:val="000000" w:themeColor="text1"/>
                <w:szCs w:val="20"/>
              </w:rPr>
              <w:t>, or should further lockdowns become necessary</w:t>
            </w:r>
            <w:r w:rsidRPr="00253652">
              <w:rPr>
                <w:rFonts w:cs="Arial"/>
                <w:color w:val="000000" w:themeColor="text1"/>
                <w:szCs w:val="20"/>
              </w:rPr>
              <w:t xml:space="preserve">. </w:t>
            </w:r>
          </w:p>
          <w:p w14:paraId="33F0FDDD" w14:textId="68C34942" w:rsidR="003523B9" w:rsidRPr="00432BBB" w:rsidRDefault="00256EA0" w:rsidP="001A69D6">
            <w:pPr>
              <w:spacing w:after="120"/>
              <w:rPr>
                <w:rFonts w:cs="Arial"/>
                <w:color w:val="000000" w:themeColor="text1"/>
                <w:szCs w:val="20"/>
              </w:rPr>
            </w:pPr>
            <w:r>
              <w:rPr>
                <w:rFonts w:cs="Arial"/>
                <w:color w:val="000000" w:themeColor="text1"/>
                <w:szCs w:val="20"/>
              </w:rPr>
              <w:t>Therefore, we</w:t>
            </w:r>
            <w:r w:rsidRPr="00256EA0">
              <w:rPr>
                <w:rFonts w:cs="Arial"/>
                <w:color w:val="000000" w:themeColor="text1"/>
                <w:szCs w:val="20"/>
              </w:rPr>
              <w:t xml:space="preserve"> will investigate key indirect </w:t>
            </w:r>
            <w:r w:rsidR="00C86697">
              <w:rPr>
                <w:rFonts w:cs="Arial"/>
                <w:color w:val="000000" w:themeColor="text1"/>
                <w:szCs w:val="20"/>
              </w:rPr>
              <w:t xml:space="preserve">mental and physical </w:t>
            </w:r>
            <w:r w:rsidRPr="00256EA0">
              <w:rPr>
                <w:rFonts w:cs="Arial"/>
                <w:color w:val="000000" w:themeColor="text1"/>
                <w:szCs w:val="20"/>
              </w:rPr>
              <w:t xml:space="preserve">health effects of the COVID-19 pandemic to inform resource allocation and drive UK healthcare policy. </w:t>
            </w:r>
          </w:p>
        </w:tc>
      </w:tr>
      <w:tr w:rsidR="00672602" w:rsidRPr="00CD13D5" w14:paraId="06D60668" w14:textId="77777777" w:rsidTr="001A69D6">
        <w:trPr>
          <w:cantSplit/>
        </w:trPr>
        <w:tc>
          <w:tcPr>
            <w:tcW w:w="10456" w:type="dxa"/>
            <w:tcBorders>
              <w:bottom w:val="single" w:sz="4" w:space="0" w:color="auto"/>
            </w:tcBorders>
            <w:shd w:val="clear" w:color="auto" w:fill="auto"/>
          </w:tcPr>
          <w:p w14:paraId="2BA50908" w14:textId="77777777" w:rsidR="00672602" w:rsidRPr="00CD13D5" w:rsidRDefault="00672602" w:rsidP="001A69D6">
            <w:pPr>
              <w:pStyle w:val="Heading2"/>
              <w:numPr>
                <w:ilvl w:val="0"/>
                <w:numId w:val="8"/>
              </w:numPr>
            </w:pPr>
            <w:r w:rsidRPr="00CD13D5">
              <w:lastRenderedPageBreak/>
              <w:t>Study Type</w:t>
            </w:r>
          </w:p>
          <w:p w14:paraId="3FCDE8AF" w14:textId="6DCDB1B6" w:rsidR="008E4D73" w:rsidRDefault="000632E7" w:rsidP="001A69D6">
            <w:pPr>
              <w:spacing w:after="120"/>
              <w:rPr>
                <w:rFonts w:cs="Arial"/>
                <w:szCs w:val="20"/>
              </w:rPr>
            </w:pPr>
            <w:r>
              <w:rPr>
                <w:rFonts w:cs="Arial"/>
                <w:szCs w:val="20"/>
              </w:rPr>
              <w:t xml:space="preserve">This is an ecological </w:t>
            </w:r>
            <w:r w:rsidR="00E3325B">
              <w:rPr>
                <w:rFonts w:cs="Arial"/>
                <w:szCs w:val="20"/>
              </w:rPr>
              <w:t>study</w:t>
            </w:r>
            <w:r w:rsidR="00E3325B" w:rsidRPr="00253652">
              <w:rPr>
                <w:rFonts w:cs="Arial"/>
                <w:szCs w:val="20"/>
              </w:rPr>
              <w:t xml:space="preserve"> </w:t>
            </w:r>
            <w:r>
              <w:rPr>
                <w:rFonts w:cs="Arial"/>
                <w:szCs w:val="20"/>
              </w:rPr>
              <w:t>with</w:t>
            </w:r>
            <w:r w:rsidR="00E3325B" w:rsidRPr="00253652">
              <w:rPr>
                <w:rFonts w:cs="Arial"/>
                <w:szCs w:val="20"/>
              </w:rPr>
              <w:t xml:space="preserve"> </w:t>
            </w:r>
            <w:r w:rsidR="00E3325B" w:rsidRPr="00560AB2">
              <w:rPr>
                <w:rFonts w:cs="Arial"/>
                <w:b/>
                <w:bCs/>
                <w:szCs w:val="20"/>
              </w:rPr>
              <w:t>descriptive</w:t>
            </w:r>
            <w:r w:rsidR="00E3325B" w:rsidRPr="00253652">
              <w:rPr>
                <w:rFonts w:cs="Arial"/>
                <w:szCs w:val="20"/>
              </w:rPr>
              <w:t xml:space="preserve"> and </w:t>
            </w:r>
            <w:r w:rsidR="00E3325B" w:rsidRPr="00560AB2">
              <w:rPr>
                <w:rFonts w:cs="Arial"/>
                <w:b/>
                <w:bCs/>
                <w:szCs w:val="20"/>
              </w:rPr>
              <w:t>hypothesis-testing</w:t>
            </w:r>
            <w:r w:rsidR="00E3325B" w:rsidRPr="00253652">
              <w:rPr>
                <w:rFonts w:cs="Arial"/>
                <w:szCs w:val="20"/>
              </w:rPr>
              <w:t xml:space="preserve"> component</w:t>
            </w:r>
            <w:r w:rsidR="00E3325B">
              <w:rPr>
                <w:rFonts w:cs="Arial"/>
                <w:szCs w:val="20"/>
              </w:rPr>
              <w:t>s</w:t>
            </w:r>
            <w:r w:rsidR="00E3325B" w:rsidRPr="00253652">
              <w:rPr>
                <w:rFonts w:cs="Arial"/>
                <w:szCs w:val="20"/>
              </w:rPr>
              <w:t xml:space="preserve">. </w:t>
            </w:r>
          </w:p>
          <w:p w14:paraId="6BF21C70" w14:textId="21059263" w:rsidR="009B07C4" w:rsidRDefault="00E3325B" w:rsidP="001A69D6">
            <w:pPr>
              <w:spacing w:after="120"/>
              <w:rPr>
                <w:rFonts w:cs="Arial"/>
                <w:szCs w:val="20"/>
              </w:rPr>
            </w:pPr>
            <w:r>
              <w:rPr>
                <w:rFonts w:cs="Arial"/>
                <w:szCs w:val="20"/>
              </w:rPr>
              <w:t>Our</w:t>
            </w:r>
            <w:r w:rsidRPr="00253652">
              <w:rPr>
                <w:rFonts w:cs="Arial"/>
                <w:szCs w:val="20"/>
              </w:rPr>
              <w:t xml:space="preserve"> descriptive component </w:t>
            </w:r>
            <w:r w:rsidR="00065A1D">
              <w:rPr>
                <w:rFonts w:cs="Arial"/>
                <w:szCs w:val="20"/>
              </w:rPr>
              <w:t>will</w:t>
            </w:r>
            <w:r w:rsidRPr="00253652">
              <w:rPr>
                <w:rFonts w:cs="Arial"/>
                <w:szCs w:val="20"/>
              </w:rPr>
              <w:t xml:space="preserve"> </w:t>
            </w:r>
            <w:r w:rsidR="006715B2">
              <w:rPr>
                <w:rFonts w:cs="Arial"/>
                <w:szCs w:val="20"/>
              </w:rPr>
              <w:t>collect,</w:t>
            </w:r>
            <w:r w:rsidR="00292A86">
              <w:rPr>
                <w:rFonts w:cs="Arial"/>
                <w:szCs w:val="20"/>
              </w:rPr>
              <w:t xml:space="preserve"> </w:t>
            </w:r>
            <w:r w:rsidR="00573FA7">
              <w:rPr>
                <w:rFonts w:cs="Arial"/>
                <w:szCs w:val="20"/>
              </w:rPr>
              <w:t>and graphically present</w:t>
            </w:r>
            <w:r w:rsidR="006715B2">
              <w:rPr>
                <w:rFonts w:cs="Arial"/>
                <w:szCs w:val="20"/>
              </w:rPr>
              <w:t>,</w:t>
            </w:r>
            <w:r w:rsidR="00573FA7">
              <w:rPr>
                <w:rFonts w:cs="Arial"/>
                <w:szCs w:val="20"/>
              </w:rPr>
              <w:t xml:space="preserve"> </w:t>
            </w:r>
            <w:r w:rsidR="004C6124">
              <w:rPr>
                <w:rFonts w:cs="Arial"/>
                <w:szCs w:val="20"/>
              </w:rPr>
              <w:t xml:space="preserve">population-level </w:t>
            </w:r>
            <w:r w:rsidR="00292A86">
              <w:rPr>
                <w:rFonts w:cs="Arial"/>
                <w:szCs w:val="20"/>
              </w:rPr>
              <w:t xml:space="preserve">outcomes </w:t>
            </w:r>
            <w:r w:rsidR="009079D7">
              <w:rPr>
                <w:rFonts w:cs="Arial"/>
                <w:szCs w:val="20"/>
              </w:rPr>
              <w:t>presented</w:t>
            </w:r>
            <w:r w:rsidR="00292A86">
              <w:rPr>
                <w:rFonts w:cs="Arial"/>
                <w:szCs w:val="20"/>
              </w:rPr>
              <w:t xml:space="preserve"> in </w:t>
            </w:r>
            <w:r w:rsidR="00292A86" w:rsidRPr="006715B2">
              <w:rPr>
                <w:rFonts w:cs="Arial"/>
                <w:b/>
                <w:bCs/>
                <w:szCs w:val="20"/>
              </w:rPr>
              <w:t>Section D</w:t>
            </w:r>
            <w:r w:rsidR="00292A86">
              <w:rPr>
                <w:rFonts w:cs="Arial"/>
                <w:szCs w:val="20"/>
              </w:rPr>
              <w:t xml:space="preserve"> </w:t>
            </w:r>
            <w:r w:rsidR="006F4F4C">
              <w:rPr>
                <w:rFonts w:cs="Arial"/>
                <w:szCs w:val="20"/>
              </w:rPr>
              <w:t xml:space="preserve">before and during the pandemic </w:t>
            </w:r>
            <w:r w:rsidRPr="00253652">
              <w:rPr>
                <w:rFonts w:cs="Arial"/>
                <w:szCs w:val="20"/>
              </w:rPr>
              <w:t xml:space="preserve">in </w:t>
            </w:r>
            <w:r>
              <w:rPr>
                <w:rFonts w:cs="Arial"/>
                <w:szCs w:val="20"/>
              </w:rPr>
              <w:t>near-</w:t>
            </w:r>
            <w:r w:rsidRPr="00253652">
              <w:rPr>
                <w:rFonts w:cs="Arial"/>
                <w:szCs w:val="20"/>
              </w:rPr>
              <w:t xml:space="preserve">real time </w:t>
            </w:r>
            <w:r w:rsidR="006F4F4C">
              <w:rPr>
                <w:rFonts w:cs="Arial"/>
                <w:szCs w:val="20"/>
              </w:rPr>
              <w:t>(</w:t>
            </w:r>
            <w:r w:rsidR="00A11159">
              <w:rPr>
                <w:rFonts w:cs="Arial"/>
                <w:szCs w:val="20"/>
              </w:rPr>
              <w:t>updating</w:t>
            </w:r>
            <w:r w:rsidR="006F4F4C">
              <w:rPr>
                <w:rFonts w:cs="Arial"/>
                <w:szCs w:val="20"/>
              </w:rPr>
              <w:t xml:space="preserve"> when new</w:t>
            </w:r>
            <w:r w:rsidRPr="00253652">
              <w:rPr>
                <w:rFonts w:cs="Arial"/>
                <w:szCs w:val="20"/>
              </w:rPr>
              <w:t xml:space="preserve"> data become available</w:t>
            </w:r>
            <w:r w:rsidR="006F4F4C">
              <w:rPr>
                <w:rFonts w:cs="Arial"/>
                <w:szCs w:val="20"/>
              </w:rPr>
              <w:t>)</w:t>
            </w:r>
            <w:r w:rsidRPr="00253652">
              <w:rPr>
                <w:rFonts w:cs="Arial"/>
                <w:szCs w:val="20"/>
              </w:rPr>
              <w:t xml:space="preserve">. </w:t>
            </w:r>
          </w:p>
          <w:p w14:paraId="39DA4D58" w14:textId="0727737B" w:rsidR="004B503C" w:rsidRPr="00432BBB" w:rsidRDefault="009B07C4" w:rsidP="001A69D6">
            <w:pPr>
              <w:spacing w:after="120"/>
              <w:rPr>
                <w:rFonts w:cs="Arial"/>
                <w:szCs w:val="20"/>
              </w:rPr>
            </w:pPr>
            <w:r>
              <w:rPr>
                <w:rFonts w:cs="Arial"/>
                <w:szCs w:val="20"/>
              </w:rPr>
              <w:t xml:space="preserve">Our hypothesis-testing component </w:t>
            </w:r>
            <w:r w:rsidR="007574E0">
              <w:rPr>
                <w:rFonts w:cs="Arial"/>
                <w:szCs w:val="20"/>
              </w:rPr>
              <w:t xml:space="preserve">will </w:t>
            </w:r>
            <w:r w:rsidR="00D30FB3">
              <w:rPr>
                <w:rFonts w:cs="Arial"/>
                <w:szCs w:val="20"/>
              </w:rPr>
              <w:t>be population</w:t>
            </w:r>
            <w:r w:rsidR="009079D7">
              <w:rPr>
                <w:rFonts w:cs="Arial"/>
                <w:szCs w:val="20"/>
              </w:rPr>
              <w:t>-</w:t>
            </w:r>
            <w:r w:rsidR="00D30FB3">
              <w:rPr>
                <w:rFonts w:cs="Arial"/>
                <w:szCs w:val="20"/>
              </w:rPr>
              <w:t>level analys</w:t>
            </w:r>
            <w:r w:rsidR="009B0399">
              <w:rPr>
                <w:rFonts w:cs="Arial"/>
                <w:szCs w:val="20"/>
              </w:rPr>
              <w:t>e</w:t>
            </w:r>
            <w:r w:rsidR="00D30FB3">
              <w:rPr>
                <w:rFonts w:cs="Arial"/>
                <w:szCs w:val="20"/>
              </w:rPr>
              <w:t xml:space="preserve">s of </w:t>
            </w:r>
            <w:r>
              <w:rPr>
                <w:rFonts w:cs="Arial"/>
                <w:szCs w:val="20"/>
              </w:rPr>
              <w:t>these data, comparing proportions of events occurring at specific time points after the pandemic to th</w:t>
            </w:r>
            <w:r w:rsidR="00DB7614">
              <w:rPr>
                <w:rFonts w:cs="Arial"/>
                <w:szCs w:val="20"/>
              </w:rPr>
              <w:t>e expected proportion had the pandemic not occurred, based on 3 years’ historical trends.</w:t>
            </w:r>
          </w:p>
        </w:tc>
      </w:tr>
      <w:tr w:rsidR="00672602" w:rsidRPr="00CD13D5" w14:paraId="4D790B60" w14:textId="77777777" w:rsidTr="001A69D6">
        <w:trPr>
          <w:cantSplit/>
        </w:trPr>
        <w:tc>
          <w:tcPr>
            <w:tcW w:w="10456" w:type="dxa"/>
            <w:tcBorders>
              <w:bottom w:val="single" w:sz="4" w:space="0" w:color="auto"/>
            </w:tcBorders>
            <w:shd w:val="clear" w:color="auto" w:fill="auto"/>
          </w:tcPr>
          <w:p w14:paraId="228B1E4D" w14:textId="77777777" w:rsidR="00672602" w:rsidRPr="00CD13D5" w:rsidRDefault="00672602" w:rsidP="001A69D6">
            <w:pPr>
              <w:pStyle w:val="Heading2"/>
              <w:numPr>
                <w:ilvl w:val="0"/>
                <w:numId w:val="8"/>
              </w:numPr>
            </w:pPr>
            <w:r w:rsidRPr="00CD13D5">
              <w:t>Study Design</w:t>
            </w:r>
          </w:p>
          <w:p w14:paraId="0C2A9806" w14:textId="137FA5F9" w:rsidR="00FF76C0" w:rsidRDefault="009E4483" w:rsidP="001A69D6">
            <w:pPr>
              <w:spacing w:after="120"/>
              <w:rPr>
                <w:rFonts w:cs="Arial"/>
                <w:szCs w:val="20"/>
              </w:rPr>
            </w:pPr>
            <w:r>
              <w:rPr>
                <w:rFonts w:cs="Arial"/>
                <w:szCs w:val="20"/>
              </w:rPr>
              <w:t>Our</w:t>
            </w:r>
            <w:r w:rsidR="00790BAA">
              <w:rPr>
                <w:rFonts w:cs="Arial"/>
                <w:szCs w:val="20"/>
              </w:rPr>
              <w:t xml:space="preserve"> </w:t>
            </w:r>
            <w:r w:rsidR="00903961">
              <w:rPr>
                <w:rFonts w:cs="Arial"/>
                <w:szCs w:val="20"/>
              </w:rPr>
              <w:t>study has a time series design.</w:t>
            </w:r>
            <w:r>
              <w:rPr>
                <w:rFonts w:cs="Arial"/>
                <w:szCs w:val="20"/>
              </w:rPr>
              <w:t xml:space="preserve"> </w:t>
            </w:r>
          </w:p>
          <w:p w14:paraId="03D390CF" w14:textId="230F0BA3" w:rsidR="00FF76C0" w:rsidRDefault="00903961" w:rsidP="001A69D6">
            <w:pPr>
              <w:spacing w:after="120"/>
              <w:rPr>
                <w:rFonts w:cs="Arial"/>
                <w:szCs w:val="20"/>
              </w:rPr>
            </w:pPr>
            <w:r>
              <w:rPr>
                <w:rFonts w:cs="Arial"/>
                <w:szCs w:val="20"/>
              </w:rPr>
              <w:t xml:space="preserve">The </w:t>
            </w:r>
            <w:r w:rsidR="008C103E" w:rsidRPr="00CE5D57">
              <w:rPr>
                <w:rFonts w:cs="Arial"/>
                <w:b/>
                <w:bCs/>
                <w:szCs w:val="20"/>
              </w:rPr>
              <w:t xml:space="preserve">descriptive </w:t>
            </w:r>
            <w:r>
              <w:rPr>
                <w:rFonts w:cs="Arial"/>
                <w:b/>
                <w:bCs/>
                <w:szCs w:val="20"/>
              </w:rPr>
              <w:t xml:space="preserve">component </w:t>
            </w:r>
            <w:r w:rsidR="003768FC">
              <w:rPr>
                <w:rFonts w:cs="Arial"/>
                <w:szCs w:val="20"/>
              </w:rPr>
              <w:t xml:space="preserve">will </w:t>
            </w:r>
            <w:r w:rsidR="00A73816" w:rsidRPr="00390F4D">
              <w:rPr>
                <w:rFonts w:cs="Arial"/>
                <w:szCs w:val="20"/>
              </w:rPr>
              <w:t>graphically</w:t>
            </w:r>
            <w:r w:rsidR="00A73816">
              <w:rPr>
                <w:rFonts w:cs="Arial"/>
                <w:b/>
                <w:bCs/>
                <w:szCs w:val="20"/>
              </w:rPr>
              <w:t xml:space="preserve"> </w:t>
            </w:r>
            <w:r w:rsidR="00A73816">
              <w:rPr>
                <w:rFonts w:cs="Arial"/>
                <w:szCs w:val="20"/>
              </w:rPr>
              <w:t>display</w:t>
            </w:r>
            <w:r w:rsidR="003768FC">
              <w:rPr>
                <w:rFonts w:cs="Arial"/>
                <w:szCs w:val="20"/>
              </w:rPr>
              <w:t xml:space="preserve"> </w:t>
            </w:r>
            <w:r w:rsidR="0076713C">
              <w:rPr>
                <w:rFonts w:cs="Arial"/>
                <w:szCs w:val="20"/>
              </w:rPr>
              <w:t xml:space="preserve">a weekly time series of </w:t>
            </w:r>
            <w:r w:rsidR="003768FC">
              <w:rPr>
                <w:rFonts w:cs="Arial"/>
                <w:szCs w:val="20"/>
              </w:rPr>
              <w:t>outcome</w:t>
            </w:r>
            <w:r w:rsidR="0076713C">
              <w:rPr>
                <w:rFonts w:cs="Arial"/>
                <w:szCs w:val="20"/>
              </w:rPr>
              <w:t xml:space="preserve"> proportions</w:t>
            </w:r>
            <w:r w:rsidR="00BD5FEC">
              <w:rPr>
                <w:rFonts w:cs="Arial"/>
                <w:szCs w:val="20"/>
              </w:rPr>
              <w:t>,</w:t>
            </w:r>
            <w:r w:rsidR="003768FC">
              <w:rPr>
                <w:rFonts w:cs="Arial"/>
                <w:szCs w:val="20"/>
              </w:rPr>
              <w:t xml:space="preserve"> from </w:t>
            </w:r>
            <w:r w:rsidR="000F6467">
              <w:rPr>
                <w:rFonts w:cs="Arial"/>
                <w:szCs w:val="20"/>
              </w:rPr>
              <w:t xml:space="preserve">the first week of </w:t>
            </w:r>
            <w:r w:rsidR="003768FC">
              <w:rPr>
                <w:rFonts w:cs="Arial"/>
                <w:szCs w:val="20"/>
              </w:rPr>
              <w:t>2017</w:t>
            </w:r>
            <w:r w:rsidR="00BD5FEC">
              <w:rPr>
                <w:rFonts w:cs="Arial"/>
                <w:szCs w:val="20"/>
              </w:rPr>
              <w:t xml:space="preserve"> to the most current week for which data are available</w:t>
            </w:r>
            <w:r w:rsidR="008C103E" w:rsidRPr="00253652">
              <w:rPr>
                <w:rFonts w:cs="Arial"/>
                <w:szCs w:val="20"/>
              </w:rPr>
              <w:t xml:space="preserve">. </w:t>
            </w:r>
          </w:p>
          <w:p w14:paraId="04946F28" w14:textId="133E3F50" w:rsidR="003523B9" w:rsidRPr="00432BBB" w:rsidRDefault="008C103E" w:rsidP="001A69D6">
            <w:pPr>
              <w:spacing w:after="120"/>
              <w:rPr>
                <w:rFonts w:cs="Arial"/>
                <w:szCs w:val="20"/>
              </w:rPr>
            </w:pPr>
            <w:r w:rsidRPr="00253652">
              <w:rPr>
                <w:rFonts w:cs="Arial"/>
                <w:szCs w:val="20"/>
              </w:rPr>
              <w:t xml:space="preserve">We will </w:t>
            </w:r>
            <w:r w:rsidR="00234EA7">
              <w:rPr>
                <w:rFonts w:cs="Arial"/>
                <w:szCs w:val="20"/>
              </w:rPr>
              <w:t>then</w:t>
            </w:r>
            <w:r w:rsidRPr="00253652">
              <w:rPr>
                <w:rFonts w:cs="Arial"/>
                <w:szCs w:val="20"/>
              </w:rPr>
              <w:t xml:space="preserve"> </w:t>
            </w:r>
            <w:r w:rsidR="00681615">
              <w:rPr>
                <w:rFonts w:cs="Arial"/>
                <w:szCs w:val="20"/>
              </w:rPr>
              <w:t xml:space="preserve">formally </w:t>
            </w:r>
            <w:r w:rsidR="00A10E03">
              <w:rPr>
                <w:rFonts w:cs="Arial"/>
                <w:szCs w:val="20"/>
              </w:rPr>
              <w:t xml:space="preserve">compare proportions </w:t>
            </w:r>
            <w:r w:rsidR="00DD2C39">
              <w:rPr>
                <w:rFonts w:cs="Arial"/>
                <w:szCs w:val="20"/>
              </w:rPr>
              <w:t>before and after the pandemic in</w:t>
            </w:r>
            <w:r w:rsidRPr="00253652">
              <w:rPr>
                <w:rFonts w:cs="Arial"/>
                <w:szCs w:val="20"/>
              </w:rPr>
              <w:t xml:space="preserve"> </w:t>
            </w:r>
            <w:r w:rsidRPr="00CE5D57">
              <w:rPr>
                <w:rFonts w:cs="Arial"/>
                <w:b/>
                <w:bCs/>
                <w:szCs w:val="20"/>
              </w:rPr>
              <w:t>interrupted time series analys</w:t>
            </w:r>
            <w:r w:rsidR="00DD2C39">
              <w:rPr>
                <w:rFonts w:cs="Arial"/>
                <w:b/>
                <w:bCs/>
                <w:szCs w:val="20"/>
              </w:rPr>
              <w:t>e</w:t>
            </w:r>
            <w:r w:rsidRPr="00CE5D57">
              <w:rPr>
                <w:rFonts w:cs="Arial"/>
                <w:b/>
                <w:bCs/>
                <w:szCs w:val="20"/>
              </w:rPr>
              <w:t>s</w:t>
            </w:r>
            <w:r w:rsidRPr="00253652">
              <w:rPr>
                <w:rFonts w:cs="Arial"/>
                <w:szCs w:val="20"/>
              </w:rPr>
              <w:t xml:space="preserve"> to </w:t>
            </w:r>
            <w:r w:rsidR="00B216D4" w:rsidRPr="00253652">
              <w:rPr>
                <w:rFonts w:cs="Arial"/>
                <w:szCs w:val="20"/>
              </w:rPr>
              <w:t xml:space="preserve">assess changes in </w:t>
            </w:r>
            <w:r w:rsidR="00B216D4">
              <w:rPr>
                <w:rFonts w:cs="Arial"/>
                <w:szCs w:val="20"/>
              </w:rPr>
              <w:t xml:space="preserve">burden </w:t>
            </w:r>
            <w:r w:rsidR="00D41DBE">
              <w:rPr>
                <w:rFonts w:cs="Arial"/>
                <w:szCs w:val="20"/>
              </w:rPr>
              <w:t xml:space="preserve">of key health outcomes </w:t>
            </w:r>
            <w:r w:rsidR="006D74DD">
              <w:rPr>
                <w:rFonts w:cs="Arial"/>
                <w:szCs w:val="20"/>
              </w:rPr>
              <w:t xml:space="preserve">and </w:t>
            </w:r>
            <w:r w:rsidR="00B45049">
              <w:rPr>
                <w:rFonts w:cs="Arial"/>
                <w:szCs w:val="20"/>
              </w:rPr>
              <w:t>to</w:t>
            </w:r>
            <w:r w:rsidRPr="00253652">
              <w:rPr>
                <w:rFonts w:cs="Arial"/>
                <w:szCs w:val="20"/>
              </w:rPr>
              <w:t xml:space="preserve"> test our hypotheses. </w:t>
            </w:r>
          </w:p>
        </w:tc>
      </w:tr>
      <w:tr w:rsidR="00672602" w:rsidRPr="00CD13D5" w14:paraId="367085E0" w14:textId="77777777" w:rsidTr="001A69D6">
        <w:tc>
          <w:tcPr>
            <w:tcW w:w="10456" w:type="dxa"/>
            <w:tcBorders>
              <w:bottom w:val="single" w:sz="4" w:space="0" w:color="auto"/>
            </w:tcBorders>
            <w:shd w:val="clear" w:color="auto" w:fill="auto"/>
          </w:tcPr>
          <w:p w14:paraId="01DD8B1A" w14:textId="77777777" w:rsidR="00672602" w:rsidRPr="00CD13D5" w:rsidRDefault="00672602" w:rsidP="001A69D6">
            <w:pPr>
              <w:pStyle w:val="Heading2"/>
              <w:numPr>
                <w:ilvl w:val="0"/>
                <w:numId w:val="8"/>
              </w:numPr>
            </w:pPr>
            <w:r w:rsidRPr="00CD13D5">
              <w:t>Feasibility counts</w:t>
            </w:r>
          </w:p>
          <w:p w14:paraId="69673DEB" w14:textId="23EB3613" w:rsidR="00064252" w:rsidRDefault="00064252" w:rsidP="001A69D6">
            <w:r>
              <w:t xml:space="preserve">We have chosen to use CPRD </w:t>
            </w:r>
            <w:proofErr w:type="spellStart"/>
            <w:r>
              <w:t>Aurum</w:t>
            </w:r>
            <w:proofErr w:type="spellEnd"/>
            <w:r>
              <w:t xml:space="preserve"> data for this study as the </w:t>
            </w:r>
            <w:proofErr w:type="spellStart"/>
            <w:r>
              <w:t>Aurum</w:t>
            </w:r>
            <w:proofErr w:type="spellEnd"/>
            <w:r>
              <w:t xml:space="preserve"> population is larger.</w:t>
            </w:r>
            <w:r w:rsidR="004357D6">
              <w:fldChar w:fldCharType="begin" w:fldLock="1"/>
            </w:r>
            <w:r w:rsidR="007A3B21">
              <w:instrText>ADDIN CSL_CITATION {"citationItems":[{"id":"ITEM-1","itemData":{"DOI":"10.1093/ije/dyz034","ISSN":"0300-5771","author":[{"dropping-particle":"","family":"Wolf","given":"Achim","non-dropping-particle":"","parse-names":false,"suffix":""},{"dropping-particle":"","family":"Dedman","given":"Daniel","non-dropping-particle":"","parse-names":false,"suffix":""},{"dropping-particle":"","family":"Campbell","given":"Jennifer","non-dropping-particle":"","parse-names":false,"suffix":""},{"dropping-particle":"","family":"Booth","given":"Helen","non-dropping-particle":"","parse-names":false,"suffix":""},{"dropping-particle":"","family":"Lunn","given":"Darren","non-dropping-particle":"","parse-names":false,"suffix":""},{"dropping-particle":"","family":"Chapman","given":"Jennifer","non-dropping-particle":"","parse-names":false,"suffix":""},{"dropping-particle":"","family":"Myles","given":"Puja","non-dropping-particle":"","parse-names":false,"suffix":""}],"container-title":"International Journal of Epidemiology","id":"ITEM-1","issued":{"date-parts":[["2019"]]},"page":"1-8","title":"Data resource profile: Clinical Practice Research Datalink (CPRD) Aurum","type":"article-journal"},"uris":["http://www.mendeley.com/documents/?uuid=1f914fac-69b7-4bdc-8341-11d705bb3274"]},{"id":"ITEM-2","itemData":{"DOI":"10.1093/ije/dyv098","ISSN":"0300-5771","abstract":"The Clinical Practice Research Datalink (CPRD) is an ongoing primary care database of anonymised medical records from general practitioners, with coverage of over 11.3 million patients from 674 practices in the UK. With 4.4 million active (alive, currently registered) patients meeting quality criteria, approximately 6.9% of the UK population are included and patients are broadly representative of the UK general population in terms of age, sex and ethnicity. General practitioners are the gatekeepers of primary care and specialist referrals in the UK. The CPRD primary care database is therefore a rich source of health data for research, including data on demographics, symptoms, tests, diagnoses, therapies, health-related behaviours and referrals to secondary care. For over half of patients, linkage with datasets from secondary care, disease-specific cohorts and mortality records enhance the range of data available for research. The CPRD is very widely used internationally for epidemiological research and has been used to produce over 1000 research studies, published in peer-reviewed journals across a broad range of health outcomes. However, researchers must be aware of the complexity of routinely collected electronic health records, including ways to manage variable completeness, misclassification and development of disease definitions for research.","author":[{"dropping-particle":"","family":"Herrett","given":"E.","non-dropping-particle":"","parse-names":false,"suffix":""},{"dropping-particle":"","family":"Gallagher","given":"A. M.","non-dropping-particle":"","parse-names":false,"suffix":""},{"dropping-particle":"","family":"Bhaskaran","given":"K.","non-dropping-particle":"","parse-names":false,"suffix":""},{"dropping-particle":"","family":"Forbes","given":"H.","non-dropping-particle":"","parse-names":false,"suffix":""},{"dropping-particle":"","family":"Mathur","given":"R.","non-dropping-particle":"","parse-names":false,"suffix":""},{"dropping-particle":"","family":"Staa","given":"T.","non-dropping-particle":"van","parse-names":false,"suffix":""},{"dropping-particle":"","family":"Smeeth","given":"L.","non-dropping-particle":"","parse-names":false,"suffix":""}],"container-title":"International Journal of Epidemiology","id":"ITEM-2","issue":"3","issued":{"date-parts":[["2015"]]},"page":"1-10","title":"Data Resource Profile: Clinical Practice Research Datalink (CPRD)","type":"article-journal","volume":"44"},"uris":["http://www.mendeley.com/documents/?uuid=b6bfbcd1-577f-47f5-b00a-917f40e55ccc"]}],"mendeley":{"formattedCitation":"&lt;sup&gt;10,11&lt;/sup&gt;","plainTextFormattedCitation":"10,11","previouslyFormattedCitation":"&lt;sup&gt;10,11&lt;/sup&gt;"},"properties":{"noteIndex":0},"schema":"https://github.com/citation-style-language/schema/raw/master/csl-citation.json"}</w:instrText>
            </w:r>
            <w:r w:rsidR="004357D6">
              <w:fldChar w:fldCharType="separate"/>
            </w:r>
            <w:r w:rsidR="003A0F30" w:rsidRPr="003A0F30">
              <w:rPr>
                <w:noProof/>
                <w:vertAlign w:val="superscript"/>
              </w:rPr>
              <w:t>10,11</w:t>
            </w:r>
            <w:r w:rsidR="004357D6">
              <w:fldChar w:fldCharType="end"/>
            </w:r>
            <w:r w:rsidR="00174259">
              <w:t xml:space="preserve"> </w:t>
            </w:r>
            <w:r w:rsidR="00FD2C2D">
              <w:t>For all outcomes, we expect to have substantially more than five outcome events each week for each denominator population</w:t>
            </w:r>
            <w:r w:rsidR="0083285C">
              <w:t xml:space="preserve"> (</w:t>
            </w:r>
            <w:r w:rsidR="0083285C" w:rsidRPr="0083285C">
              <w:rPr>
                <w:b/>
                <w:bCs/>
              </w:rPr>
              <w:t>Table 1</w:t>
            </w:r>
            <w:r w:rsidR="0083285C">
              <w:t>)</w:t>
            </w:r>
            <w:r w:rsidR="00B849E6">
              <w:t>. A</w:t>
            </w:r>
            <w:r w:rsidR="00B849E6" w:rsidRPr="00B849E6">
              <w:t xml:space="preserve"> total of 850 events would equate to an average of 5 events per week over the period considered</w:t>
            </w:r>
            <w:r w:rsidR="00B849E6">
              <w:t xml:space="preserve">, </w:t>
            </w:r>
            <w:r w:rsidR="00B849E6" w:rsidRPr="00B849E6">
              <w:t>Jan</w:t>
            </w:r>
            <w:r w:rsidR="00B849E6">
              <w:t>uary</w:t>
            </w:r>
            <w:r w:rsidR="00B849E6" w:rsidRPr="00B849E6">
              <w:t xml:space="preserve"> 2017 to May 2020 = </w:t>
            </w:r>
            <w:proofErr w:type="spellStart"/>
            <w:r w:rsidR="00B849E6" w:rsidRPr="00B849E6">
              <w:t>approx</w:t>
            </w:r>
            <w:proofErr w:type="spellEnd"/>
            <w:r w:rsidR="00B849E6" w:rsidRPr="00B849E6">
              <w:t xml:space="preserve"> 170 weeks</w:t>
            </w:r>
            <w:r w:rsidR="00B849E6">
              <w:t xml:space="preserve">. </w:t>
            </w:r>
            <w:r w:rsidR="00B849E6" w:rsidRPr="00B849E6">
              <w:t xml:space="preserve">The feasibility counts are considerably higher than </w:t>
            </w:r>
            <w:r w:rsidR="00B849E6">
              <w:t>850 for all outcomes</w:t>
            </w:r>
            <w:r w:rsidR="00B849E6" w:rsidRPr="00B849E6">
              <w:t xml:space="preserve"> except for diabetic emergencies in children</w:t>
            </w:r>
            <w:r w:rsidR="00B849E6">
              <w:t>, where we may need to suppress small event counts or consider aggregating data by months instead of weeks.</w:t>
            </w:r>
          </w:p>
          <w:p w14:paraId="68576B3E" w14:textId="0AB4CF35" w:rsidR="0083285C" w:rsidRDefault="0083285C" w:rsidP="001A69D6"/>
          <w:p w14:paraId="5631C4F8" w14:textId="11A36E7D" w:rsidR="0083285C" w:rsidRDefault="0083285C" w:rsidP="001A69D6">
            <w:r w:rsidRPr="0083285C">
              <w:rPr>
                <w:b/>
                <w:bCs/>
              </w:rPr>
              <w:t>Table 1</w:t>
            </w:r>
            <w:r>
              <w:t>. Feasibility count</w:t>
            </w:r>
            <w:r w:rsidR="00A12A04">
              <w:t>s</w:t>
            </w:r>
            <w:r>
              <w:t xml:space="preserve"> for outcomes of interest in </w:t>
            </w:r>
            <w:r w:rsidR="00A12A04">
              <w:t xml:space="preserve">CPRD </w:t>
            </w:r>
            <w:proofErr w:type="spellStart"/>
            <w:r>
              <w:t>Aurum</w:t>
            </w:r>
            <w:proofErr w:type="spellEnd"/>
            <w:r w:rsidR="00A12A04">
              <w:t xml:space="preserve"> </w:t>
            </w:r>
            <w:r w:rsidR="00147CEA">
              <w:t>January 2017 to May 2020.</w:t>
            </w:r>
          </w:p>
          <w:tbl>
            <w:tblPr>
              <w:tblStyle w:val="TableGrid"/>
              <w:tblW w:w="8505" w:type="dxa"/>
              <w:tblBorders>
                <w:left w:val="none" w:sz="0" w:space="0" w:color="auto"/>
                <w:right w:val="none" w:sz="0" w:space="0" w:color="auto"/>
              </w:tblBorders>
              <w:tblLayout w:type="fixed"/>
              <w:tblLook w:val="04A0" w:firstRow="1" w:lastRow="0" w:firstColumn="1" w:lastColumn="0" w:noHBand="0" w:noVBand="1"/>
            </w:tblPr>
            <w:tblGrid>
              <w:gridCol w:w="3288"/>
              <w:gridCol w:w="1248"/>
              <w:gridCol w:w="1843"/>
              <w:gridCol w:w="2126"/>
            </w:tblGrid>
            <w:tr w:rsidR="0083285C" w:rsidRPr="00432BBB" w14:paraId="60A3A9AA" w14:textId="77777777" w:rsidTr="0058562A">
              <w:tc>
                <w:tcPr>
                  <w:tcW w:w="3288" w:type="dxa"/>
                  <w:tcBorders>
                    <w:bottom w:val="single" w:sz="4" w:space="0" w:color="auto"/>
                  </w:tcBorders>
                  <w:shd w:val="clear" w:color="auto" w:fill="auto"/>
                  <w:vAlign w:val="center"/>
                </w:tcPr>
                <w:p w14:paraId="4E5E4139" w14:textId="41D95F0B" w:rsidR="0083285C" w:rsidRPr="00432BBB" w:rsidRDefault="0083285C" w:rsidP="001A69D6">
                  <w:pPr>
                    <w:rPr>
                      <w:rFonts w:cs="Arial"/>
                      <w:b/>
                      <w:sz w:val="18"/>
                      <w:szCs w:val="18"/>
                    </w:rPr>
                  </w:pPr>
                  <w:r w:rsidRPr="00432BBB">
                    <w:rPr>
                      <w:rFonts w:cs="Arial"/>
                      <w:b/>
                      <w:sz w:val="18"/>
                      <w:szCs w:val="18"/>
                    </w:rPr>
                    <w:t>Outcome of interest</w:t>
                  </w:r>
                </w:p>
              </w:tc>
              <w:tc>
                <w:tcPr>
                  <w:tcW w:w="1248" w:type="dxa"/>
                  <w:tcBorders>
                    <w:bottom w:val="single" w:sz="4" w:space="0" w:color="auto"/>
                  </w:tcBorders>
                  <w:shd w:val="clear" w:color="auto" w:fill="auto"/>
                  <w:vAlign w:val="center"/>
                </w:tcPr>
                <w:p w14:paraId="10F90D76" w14:textId="77777777" w:rsidR="0083285C" w:rsidRPr="00432BBB" w:rsidRDefault="0083285C" w:rsidP="001A69D6">
                  <w:pPr>
                    <w:jc w:val="center"/>
                    <w:rPr>
                      <w:rFonts w:cs="Arial"/>
                      <w:b/>
                      <w:sz w:val="18"/>
                      <w:szCs w:val="18"/>
                    </w:rPr>
                  </w:pPr>
                  <w:r w:rsidRPr="00432BBB">
                    <w:rPr>
                      <w:rFonts w:cs="Arial"/>
                      <w:b/>
                      <w:sz w:val="18"/>
                      <w:szCs w:val="18"/>
                    </w:rPr>
                    <w:t>Age group</w:t>
                  </w:r>
                </w:p>
                <w:p w14:paraId="3D8634F8" w14:textId="77777777" w:rsidR="0083285C" w:rsidRPr="00432BBB" w:rsidRDefault="0083285C" w:rsidP="001A69D6">
                  <w:pPr>
                    <w:jc w:val="center"/>
                    <w:rPr>
                      <w:rFonts w:cs="Arial"/>
                      <w:b/>
                      <w:sz w:val="18"/>
                      <w:szCs w:val="18"/>
                    </w:rPr>
                  </w:pPr>
                  <w:r w:rsidRPr="00432BBB">
                    <w:rPr>
                      <w:rFonts w:cs="Arial"/>
                      <w:b/>
                      <w:sz w:val="18"/>
                      <w:szCs w:val="18"/>
                    </w:rPr>
                    <w:t>(years)</w:t>
                  </w:r>
                </w:p>
              </w:tc>
              <w:tc>
                <w:tcPr>
                  <w:tcW w:w="1843" w:type="dxa"/>
                  <w:tcBorders>
                    <w:bottom w:val="single" w:sz="4" w:space="0" w:color="auto"/>
                  </w:tcBorders>
                  <w:shd w:val="clear" w:color="auto" w:fill="auto"/>
                  <w:vAlign w:val="center"/>
                </w:tcPr>
                <w:p w14:paraId="60AAE469" w14:textId="77777777" w:rsidR="0083285C" w:rsidRPr="00432BBB" w:rsidRDefault="0083285C" w:rsidP="001A69D6">
                  <w:pPr>
                    <w:jc w:val="center"/>
                    <w:rPr>
                      <w:rFonts w:cs="Arial"/>
                      <w:b/>
                      <w:sz w:val="18"/>
                      <w:szCs w:val="18"/>
                    </w:rPr>
                  </w:pPr>
                  <w:r w:rsidRPr="00432BBB">
                    <w:rPr>
                      <w:rFonts w:cs="Arial"/>
                      <w:b/>
                      <w:sz w:val="18"/>
                      <w:szCs w:val="18"/>
                    </w:rPr>
                    <w:t>Number of events (numerator)</w:t>
                  </w:r>
                </w:p>
              </w:tc>
              <w:tc>
                <w:tcPr>
                  <w:tcW w:w="2126" w:type="dxa"/>
                  <w:tcBorders>
                    <w:bottom w:val="single" w:sz="4" w:space="0" w:color="auto"/>
                  </w:tcBorders>
                  <w:shd w:val="clear" w:color="auto" w:fill="auto"/>
                  <w:vAlign w:val="center"/>
                </w:tcPr>
                <w:p w14:paraId="17097394" w14:textId="77777777" w:rsidR="0083285C" w:rsidRPr="00432BBB" w:rsidRDefault="0083285C" w:rsidP="001A69D6">
                  <w:pPr>
                    <w:jc w:val="center"/>
                    <w:rPr>
                      <w:rFonts w:cs="Arial"/>
                      <w:b/>
                      <w:sz w:val="18"/>
                      <w:szCs w:val="18"/>
                    </w:rPr>
                  </w:pPr>
                  <w:r w:rsidRPr="00432BBB">
                    <w:rPr>
                      <w:rFonts w:cs="Arial"/>
                      <w:b/>
                      <w:sz w:val="18"/>
                      <w:szCs w:val="18"/>
                    </w:rPr>
                    <w:t>Number of people (denominator)</w:t>
                  </w:r>
                </w:p>
              </w:tc>
            </w:tr>
            <w:tr w:rsidR="005E42C9" w:rsidRPr="00432BBB" w14:paraId="37A32B68" w14:textId="77777777" w:rsidTr="00432BBB">
              <w:tc>
                <w:tcPr>
                  <w:tcW w:w="3288" w:type="dxa"/>
                  <w:tcBorders>
                    <w:bottom w:val="single" w:sz="4" w:space="0" w:color="auto"/>
                    <w:right w:val="nil"/>
                  </w:tcBorders>
                  <w:shd w:val="clear" w:color="auto" w:fill="F2F2F2" w:themeFill="background1" w:themeFillShade="F2"/>
                </w:tcPr>
                <w:p w14:paraId="5477BFA4" w14:textId="3A985FCA" w:rsidR="005E42C9" w:rsidRPr="00432BBB" w:rsidRDefault="005E42C9" w:rsidP="001A69D6">
                  <w:pPr>
                    <w:rPr>
                      <w:rFonts w:cs="Arial"/>
                      <w:i/>
                      <w:iCs/>
                      <w:sz w:val="18"/>
                      <w:szCs w:val="18"/>
                    </w:rPr>
                  </w:pPr>
                  <w:r w:rsidRPr="00432BBB">
                    <w:rPr>
                      <w:rFonts w:cs="Arial"/>
                      <w:i/>
                      <w:iCs/>
                      <w:sz w:val="18"/>
                      <w:szCs w:val="18"/>
                    </w:rPr>
                    <w:t>Diabetes</w:t>
                  </w:r>
                </w:p>
              </w:tc>
              <w:tc>
                <w:tcPr>
                  <w:tcW w:w="1248" w:type="dxa"/>
                  <w:tcBorders>
                    <w:left w:val="nil"/>
                    <w:bottom w:val="single" w:sz="4" w:space="0" w:color="auto"/>
                    <w:right w:val="nil"/>
                  </w:tcBorders>
                  <w:shd w:val="clear" w:color="auto" w:fill="F2F2F2" w:themeFill="background1" w:themeFillShade="F2"/>
                </w:tcPr>
                <w:p w14:paraId="10FFDE5B" w14:textId="77777777" w:rsidR="005E42C9" w:rsidRPr="00432BBB" w:rsidRDefault="005E42C9" w:rsidP="001A69D6">
                  <w:pPr>
                    <w:jc w:val="center"/>
                    <w:rPr>
                      <w:rFonts w:cs="Arial"/>
                      <w:sz w:val="18"/>
                      <w:szCs w:val="18"/>
                    </w:rPr>
                  </w:pPr>
                </w:p>
              </w:tc>
              <w:tc>
                <w:tcPr>
                  <w:tcW w:w="1843" w:type="dxa"/>
                  <w:tcBorders>
                    <w:left w:val="nil"/>
                    <w:bottom w:val="single" w:sz="4" w:space="0" w:color="auto"/>
                    <w:right w:val="nil"/>
                  </w:tcBorders>
                  <w:shd w:val="clear" w:color="auto" w:fill="F2F2F2" w:themeFill="background1" w:themeFillShade="F2"/>
                  <w:vAlign w:val="center"/>
                </w:tcPr>
                <w:p w14:paraId="4302127D" w14:textId="77777777" w:rsidR="005E42C9" w:rsidRPr="00432BBB" w:rsidRDefault="005E42C9" w:rsidP="001A69D6">
                  <w:pPr>
                    <w:jc w:val="center"/>
                    <w:rPr>
                      <w:rFonts w:cs="Arial"/>
                      <w:sz w:val="18"/>
                      <w:szCs w:val="18"/>
                    </w:rPr>
                  </w:pPr>
                </w:p>
              </w:tc>
              <w:tc>
                <w:tcPr>
                  <w:tcW w:w="2126" w:type="dxa"/>
                  <w:tcBorders>
                    <w:left w:val="nil"/>
                    <w:bottom w:val="single" w:sz="4" w:space="0" w:color="auto"/>
                  </w:tcBorders>
                  <w:shd w:val="clear" w:color="auto" w:fill="F2F2F2" w:themeFill="background1" w:themeFillShade="F2"/>
                  <w:vAlign w:val="center"/>
                </w:tcPr>
                <w:p w14:paraId="418C1F8D" w14:textId="77777777" w:rsidR="005E42C9" w:rsidRPr="00432BBB" w:rsidRDefault="005E42C9" w:rsidP="001A69D6">
                  <w:pPr>
                    <w:jc w:val="center"/>
                    <w:rPr>
                      <w:rFonts w:cs="Arial"/>
                      <w:sz w:val="18"/>
                      <w:szCs w:val="18"/>
                    </w:rPr>
                  </w:pPr>
                </w:p>
              </w:tc>
            </w:tr>
            <w:tr w:rsidR="0083285C" w:rsidRPr="00432BBB" w14:paraId="7F99ADEB" w14:textId="77777777" w:rsidTr="0058562A">
              <w:tc>
                <w:tcPr>
                  <w:tcW w:w="3288" w:type="dxa"/>
                  <w:vMerge w:val="restart"/>
                  <w:tcBorders>
                    <w:top w:val="single" w:sz="4" w:space="0" w:color="auto"/>
                  </w:tcBorders>
                  <w:shd w:val="clear" w:color="auto" w:fill="auto"/>
                  <w:tcMar>
                    <w:left w:w="312" w:type="dxa"/>
                  </w:tcMar>
                </w:tcPr>
                <w:p w14:paraId="01B0C1BE" w14:textId="14E82F89" w:rsidR="0083285C" w:rsidRPr="00432BBB" w:rsidRDefault="0083285C" w:rsidP="001A69D6">
                  <w:pPr>
                    <w:rPr>
                      <w:rFonts w:cs="Arial"/>
                      <w:sz w:val="18"/>
                      <w:szCs w:val="18"/>
                    </w:rPr>
                  </w:pPr>
                  <w:r w:rsidRPr="00432BBB">
                    <w:rPr>
                      <w:rFonts w:cs="Arial"/>
                      <w:sz w:val="18"/>
                      <w:szCs w:val="18"/>
                    </w:rPr>
                    <w:t>Diabetic emergencies</w:t>
                  </w:r>
                </w:p>
              </w:tc>
              <w:tc>
                <w:tcPr>
                  <w:tcW w:w="1248" w:type="dxa"/>
                  <w:tcBorders>
                    <w:top w:val="single" w:sz="4" w:space="0" w:color="auto"/>
                    <w:bottom w:val="nil"/>
                  </w:tcBorders>
                  <w:shd w:val="clear" w:color="auto" w:fill="auto"/>
                </w:tcPr>
                <w:p w14:paraId="75054779" w14:textId="77777777" w:rsidR="0083285C" w:rsidRPr="00432BBB" w:rsidRDefault="0083285C" w:rsidP="001A69D6">
                  <w:pPr>
                    <w:jc w:val="center"/>
                    <w:rPr>
                      <w:rFonts w:cs="Arial"/>
                      <w:sz w:val="18"/>
                      <w:szCs w:val="18"/>
                    </w:rPr>
                  </w:pPr>
                  <w:r w:rsidRPr="00432BBB">
                    <w:rPr>
                      <w:rFonts w:cs="Arial"/>
                      <w:sz w:val="18"/>
                      <w:szCs w:val="18"/>
                    </w:rPr>
                    <w:t>&lt;18</w:t>
                  </w:r>
                </w:p>
              </w:tc>
              <w:tc>
                <w:tcPr>
                  <w:tcW w:w="1843" w:type="dxa"/>
                  <w:tcBorders>
                    <w:top w:val="single" w:sz="4" w:space="0" w:color="auto"/>
                    <w:bottom w:val="nil"/>
                  </w:tcBorders>
                  <w:shd w:val="clear" w:color="auto" w:fill="auto"/>
                  <w:vAlign w:val="center"/>
                </w:tcPr>
                <w:p w14:paraId="6693E8AA" w14:textId="77777777" w:rsidR="0083285C" w:rsidRPr="00432BBB" w:rsidRDefault="0083285C" w:rsidP="001A69D6">
                  <w:pPr>
                    <w:jc w:val="center"/>
                    <w:rPr>
                      <w:rFonts w:cs="Arial"/>
                      <w:sz w:val="18"/>
                      <w:szCs w:val="18"/>
                    </w:rPr>
                  </w:pPr>
                  <w:r w:rsidRPr="00432BBB">
                    <w:rPr>
                      <w:rFonts w:cs="Arial"/>
                      <w:sz w:val="18"/>
                      <w:szCs w:val="18"/>
                    </w:rPr>
                    <w:t>631</w:t>
                  </w:r>
                </w:p>
              </w:tc>
              <w:tc>
                <w:tcPr>
                  <w:tcW w:w="2126" w:type="dxa"/>
                  <w:tcBorders>
                    <w:top w:val="single" w:sz="4" w:space="0" w:color="auto"/>
                    <w:bottom w:val="nil"/>
                  </w:tcBorders>
                  <w:shd w:val="clear" w:color="auto" w:fill="auto"/>
                  <w:vAlign w:val="center"/>
                </w:tcPr>
                <w:p w14:paraId="5351AE54" w14:textId="77777777" w:rsidR="0083285C" w:rsidRPr="00432BBB" w:rsidRDefault="0083285C" w:rsidP="001A69D6">
                  <w:pPr>
                    <w:jc w:val="center"/>
                    <w:rPr>
                      <w:rFonts w:cs="Arial"/>
                      <w:sz w:val="18"/>
                      <w:szCs w:val="18"/>
                    </w:rPr>
                  </w:pPr>
                  <w:r w:rsidRPr="00432BBB">
                    <w:rPr>
                      <w:rFonts w:cs="Arial"/>
                      <w:sz w:val="18"/>
                      <w:szCs w:val="18"/>
                    </w:rPr>
                    <w:t>16,408*</w:t>
                  </w:r>
                </w:p>
              </w:tc>
            </w:tr>
            <w:tr w:rsidR="0083285C" w:rsidRPr="00432BBB" w14:paraId="15448102" w14:textId="77777777" w:rsidTr="0058562A">
              <w:tc>
                <w:tcPr>
                  <w:tcW w:w="3288" w:type="dxa"/>
                  <w:vMerge/>
                  <w:tcBorders>
                    <w:bottom w:val="single" w:sz="4" w:space="0" w:color="auto"/>
                  </w:tcBorders>
                  <w:shd w:val="clear" w:color="auto" w:fill="auto"/>
                  <w:tcMar>
                    <w:left w:w="312" w:type="dxa"/>
                  </w:tcMar>
                </w:tcPr>
                <w:p w14:paraId="45B215AB" w14:textId="77777777" w:rsidR="0083285C" w:rsidRPr="00432BBB" w:rsidRDefault="0083285C" w:rsidP="001A69D6">
                  <w:pPr>
                    <w:rPr>
                      <w:rFonts w:cs="Arial"/>
                      <w:sz w:val="18"/>
                      <w:szCs w:val="18"/>
                    </w:rPr>
                  </w:pPr>
                </w:p>
              </w:tc>
              <w:tc>
                <w:tcPr>
                  <w:tcW w:w="1248" w:type="dxa"/>
                  <w:tcBorders>
                    <w:top w:val="nil"/>
                    <w:bottom w:val="single" w:sz="4" w:space="0" w:color="auto"/>
                  </w:tcBorders>
                  <w:shd w:val="clear" w:color="auto" w:fill="auto"/>
                </w:tcPr>
                <w:p w14:paraId="5BF6205B" w14:textId="77777777" w:rsidR="0083285C" w:rsidRPr="00432BBB" w:rsidRDefault="0083285C"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0C4417BB" w14:textId="77777777" w:rsidR="0083285C" w:rsidRPr="00432BBB" w:rsidRDefault="0083285C" w:rsidP="001A69D6">
                  <w:pPr>
                    <w:jc w:val="center"/>
                    <w:rPr>
                      <w:rFonts w:cs="Arial"/>
                      <w:sz w:val="18"/>
                      <w:szCs w:val="18"/>
                    </w:rPr>
                  </w:pPr>
                  <w:r w:rsidRPr="00432BBB">
                    <w:rPr>
                      <w:rFonts w:cs="Arial"/>
                      <w:sz w:val="18"/>
                      <w:szCs w:val="18"/>
                    </w:rPr>
                    <w:t>5,305</w:t>
                  </w:r>
                </w:p>
              </w:tc>
              <w:tc>
                <w:tcPr>
                  <w:tcW w:w="2126" w:type="dxa"/>
                  <w:tcBorders>
                    <w:top w:val="nil"/>
                    <w:bottom w:val="single" w:sz="4" w:space="0" w:color="auto"/>
                  </w:tcBorders>
                  <w:shd w:val="clear" w:color="auto" w:fill="auto"/>
                  <w:vAlign w:val="center"/>
                </w:tcPr>
                <w:p w14:paraId="2B4F1E27" w14:textId="77777777" w:rsidR="0083285C" w:rsidRPr="00432BBB" w:rsidRDefault="0083285C" w:rsidP="001A69D6">
                  <w:pPr>
                    <w:jc w:val="center"/>
                    <w:rPr>
                      <w:rFonts w:cs="Arial"/>
                      <w:sz w:val="18"/>
                      <w:szCs w:val="18"/>
                    </w:rPr>
                  </w:pPr>
                  <w:r w:rsidRPr="00432BBB">
                    <w:rPr>
                      <w:rFonts w:cs="Arial"/>
                      <w:sz w:val="18"/>
                      <w:szCs w:val="18"/>
                    </w:rPr>
                    <w:t>825,466*</w:t>
                  </w:r>
                </w:p>
              </w:tc>
            </w:tr>
            <w:tr w:rsidR="0083285C" w:rsidRPr="00432BBB" w14:paraId="3E97E95E" w14:textId="77777777" w:rsidTr="00432BBB">
              <w:tc>
                <w:tcPr>
                  <w:tcW w:w="3288" w:type="dxa"/>
                  <w:tcBorders>
                    <w:right w:val="nil"/>
                  </w:tcBorders>
                  <w:shd w:val="clear" w:color="auto" w:fill="F2F2F2" w:themeFill="background1" w:themeFillShade="F2"/>
                  <w:tcMar>
                    <w:left w:w="108" w:type="dxa"/>
                  </w:tcMar>
                </w:tcPr>
                <w:p w14:paraId="0069D6EA" w14:textId="66571A41" w:rsidR="0083285C" w:rsidRPr="00432BBB" w:rsidRDefault="005E42C9" w:rsidP="001A69D6">
                  <w:pPr>
                    <w:rPr>
                      <w:rFonts w:cs="Arial"/>
                      <w:sz w:val="18"/>
                      <w:szCs w:val="18"/>
                    </w:rPr>
                  </w:pPr>
                  <w:r w:rsidRPr="00432BBB">
                    <w:rPr>
                      <w:rFonts w:cs="Arial"/>
                      <w:i/>
                      <w:iCs/>
                      <w:sz w:val="18"/>
                      <w:szCs w:val="18"/>
                    </w:rPr>
                    <w:t>Mental health</w:t>
                  </w:r>
                </w:p>
              </w:tc>
              <w:tc>
                <w:tcPr>
                  <w:tcW w:w="1248" w:type="dxa"/>
                  <w:tcBorders>
                    <w:left w:val="nil"/>
                    <w:bottom w:val="single" w:sz="4" w:space="0" w:color="auto"/>
                    <w:right w:val="nil"/>
                  </w:tcBorders>
                  <w:shd w:val="clear" w:color="auto" w:fill="F2F2F2" w:themeFill="background1" w:themeFillShade="F2"/>
                </w:tcPr>
                <w:p w14:paraId="77667A77" w14:textId="1CD707D9" w:rsidR="0083285C" w:rsidRPr="00432BBB" w:rsidRDefault="0083285C" w:rsidP="001A69D6">
                  <w:pPr>
                    <w:jc w:val="center"/>
                    <w:rPr>
                      <w:rFonts w:cs="Arial"/>
                      <w:sz w:val="18"/>
                      <w:szCs w:val="18"/>
                    </w:rPr>
                  </w:pPr>
                </w:p>
              </w:tc>
              <w:tc>
                <w:tcPr>
                  <w:tcW w:w="1843" w:type="dxa"/>
                  <w:tcBorders>
                    <w:left w:val="nil"/>
                    <w:bottom w:val="single" w:sz="4" w:space="0" w:color="auto"/>
                    <w:right w:val="nil"/>
                  </w:tcBorders>
                  <w:shd w:val="clear" w:color="auto" w:fill="F2F2F2" w:themeFill="background1" w:themeFillShade="F2"/>
                  <w:vAlign w:val="center"/>
                </w:tcPr>
                <w:p w14:paraId="31750E8F" w14:textId="2E8E1C0E" w:rsidR="0083285C" w:rsidRPr="00432BBB" w:rsidRDefault="0083285C" w:rsidP="001A69D6">
                  <w:pPr>
                    <w:jc w:val="center"/>
                    <w:rPr>
                      <w:rFonts w:cs="Arial"/>
                      <w:sz w:val="18"/>
                      <w:szCs w:val="18"/>
                    </w:rPr>
                  </w:pPr>
                </w:p>
              </w:tc>
              <w:tc>
                <w:tcPr>
                  <w:tcW w:w="2126" w:type="dxa"/>
                  <w:tcBorders>
                    <w:left w:val="nil"/>
                    <w:bottom w:val="single" w:sz="4" w:space="0" w:color="auto"/>
                  </w:tcBorders>
                  <w:shd w:val="clear" w:color="auto" w:fill="F2F2F2" w:themeFill="background1" w:themeFillShade="F2"/>
                  <w:vAlign w:val="center"/>
                </w:tcPr>
                <w:p w14:paraId="72BC5864" w14:textId="729A8FDE" w:rsidR="0083285C" w:rsidRPr="00432BBB" w:rsidRDefault="0083285C" w:rsidP="001A69D6">
                  <w:pPr>
                    <w:jc w:val="center"/>
                    <w:rPr>
                      <w:rFonts w:cs="Arial"/>
                      <w:sz w:val="18"/>
                      <w:szCs w:val="18"/>
                    </w:rPr>
                  </w:pPr>
                </w:p>
              </w:tc>
            </w:tr>
            <w:tr w:rsidR="0083285C" w:rsidRPr="00432BBB" w14:paraId="0DC9F498" w14:textId="77777777" w:rsidTr="005E42C9">
              <w:tc>
                <w:tcPr>
                  <w:tcW w:w="3288" w:type="dxa"/>
                  <w:vMerge w:val="restart"/>
                  <w:shd w:val="clear" w:color="auto" w:fill="auto"/>
                  <w:tcMar>
                    <w:left w:w="312" w:type="dxa"/>
                  </w:tcMar>
                </w:tcPr>
                <w:p w14:paraId="64E08A7F" w14:textId="77777777" w:rsidR="0083285C" w:rsidRPr="00432BBB" w:rsidRDefault="0083285C" w:rsidP="001A69D6">
                  <w:pPr>
                    <w:rPr>
                      <w:rFonts w:cs="Arial"/>
                      <w:sz w:val="18"/>
                      <w:szCs w:val="18"/>
                    </w:rPr>
                  </w:pPr>
                  <w:r w:rsidRPr="00432BBB">
                    <w:rPr>
                      <w:rFonts w:cs="Arial"/>
                      <w:sz w:val="18"/>
                      <w:szCs w:val="18"/>
                    </w:rPr>
                    <w:t>Anxiety</w:t>
                  </w:r>
                </w:p>
              </w:tc>
              <w:tc>
                <w:tcPr>
                  <w:tcW w:w="1248" w:type="dxa"/>
                  <w:tcBorders>
                    <w:bottom w:val="nil"/>
                  </w:tcBorders>
                  <w:shd w:val="clear" w:color="auto" w:fill="auto"/>
                </w:tcPr>
                <w:p w14:paraId="152E11B1" w14:textId="77777777" w:rsidR="0083285C" w:rsidRPr="00432BBB" w:rsidRDefault="0083285C" w:rsidP="001A69D6">
                  <w:pPr>
                    <w:jc w:val="center"/>
                    <w:rPr>
                      <w:rFonts w:cs="Arial"/>
                      <w:sz w:val="18"/>
                      <w:szCs w:val="18"/>
                    </w:rPr>
                  </w:pPr>
                  <w:r w:rsidRPr="00432BBB">
                    <w:rPr>
                      <w:rFonts w:cs="Arial"/>
                      <w:sz w:val="18"/>
                      <w:szCs w:val="18"/>
                    </w:rPr>
                    <w:t>5-17</w:t>
                  </w:r>
                </w:p>
              </w:tc>
              <w:tc>
                <w:tcPr>
                  <w:tcW w:w="1843" w:type="dxa"/>
                  <w:tcBorders>
                    <w:bottom w:val="nil"/>
                  </w:tcBorders>
                  <w:shd w:val="clear" w:color="auto" w:fill="auto"/>
                  <w:vAlign w:val="center"/>
                </w:tcPr>
                <w:p w14:paraId="236967D4" w14:textId="77777777" w:rsidR="0083285C" w:rsidRPr="00432BBB" w:rsidRDefault="0083285C" w:rsidP="001A69D6">
                  <w:pPr>
                    <w:jc w:val="center"/>
                    <w:rPr>
                      <w:rFonts w:cs="Arial"/>
                      <w:sz w:val="18"/>
                      <w:szCs w:val="18"/>
                    </w:rPr>
                  </w:pPr>
                  <w:r w:rsidRPr="00432BBB">
                    <w:rPr>
                      <w:rFonts w:cs="Arial"/>
                      <w:sz w:val="18"/>
                      <w:szCs w:val="18"/>
                    </w:rPr>
                    <w:t>123,782</w:t>
                  </w:r>
                </w:p>
              </w:tc>
              <w:tc>
                <w:tcPr>
                  <w:tcW w:w="2126" w:type="dxa"/>
                  <w:tcBorders>
                    <w:bottom w:val="nil"/>
                  </w:tcBorders>
                  <w:shd w:val="clear" w:color="auto" w:fill="auto"/>
                  <w:vAlign w:val="center"/>
                </w:tcPr>
                <w:p w14:paraId="1DC0F028" w14:textId="77777777" w:rsidR="0083285C" w:rsidRPr="00432BBB" w:rsidRDefault="0083285C" w:rsidP="001A69D6">
                  <w:pPr>
                    <w:jc w:val="center"/>
                    <w:rPr>
                      <w:rFonts w:cs="Arial"/>
                      <w:sz w:val="18"/>
                      <w:szCs w:val="18"/>
                    </w:rPr>
                  </w:pPr>
                  <w:r w:rsidRPr="00432BBB">
                    <w:rPr>
                      <w:rFonts w:cs="Arial"/>
                      <w:sz w:val="18"/>
                      <w:szCs w:val="18"/>
                    </w:rPr>
                    <w:t>1,563,804</w:t>
                  </w:r>
                </w:p>
              </w:tc>
            </w:tr>
            <w:tr w:rsidR="0083285C" w:rsidRPr="00432BBB" w14:paraId="25A879A8" w14:textId="77777777" w:rsidTr="0058562A">
              <w:tc>
                <w:tcPr>
                  <w:tcW w:w="3288" w:type="dxa"/>
                  <w:vMerge/>
                  <w:tcBorders>
                    <w:bottom w:val="single" w:sz="4" w:space="0" w:color="auto"/>
                  </w:tcBorders>
                  <w:shd w:val="clear" w:color="auto" w:fill="auto"/>
                  <w:tcMar>
                    <w:left w:w="312" w:type="dxa"/>
                  </w:tcMar>
                </w:tcPr>
                <w:p w14:paraId="17B91854" w14:textId="77777777" w:rsidR="0083285C" w:rsidRPr="00432BBB" w:rsidRDefault="0083285C" w:rsidP="001A69D6">
                  <w:pPr>
                    <w:rPr>
                      <w:rFonts w:cs="Arial"/>
                      <w:sz w:val="18"/>
                      <w:szCs w:val="18"/>
                    </w:rPr>
                  </w:pPr>
                </w:p>
              </w:tc>
              <w:tc>
                <w:tcPr>
                  <w:tcW w:w="1248" w:type="dxa"/>
                  <w:tcBorders>
                    <w:top w:val="nil"/>
                    <w:bottom w:val="single" w:sz="4" w:space="0" w:color="auto"/>
                  </w:tcBorders>
                  <w:shd w:val="clear" w:color="auto" w:fill="auto"/>
                </w:tcPr>
                <w:p w14:paraId="32E70F54" w14:textId="77777777" w:rsidR="0083285C" w:rsidRPr="00432BBB" w:rsidRDefault="0083285C"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6543E7EC" w14:textId="77777777" w:rsidR="0083285C" w:rsidRPr="00432BBB" w:rsidRDefault="0083285C" w:rsidP="001A69D6">
                  <w:pPr>
                    <w:jc w:val="center"/>
                    <w:rPr>
                      <w:rFonts w:cs="Arial"/>
                      <w:sz w:val="18"/>
                      <w:szCs w:val="18"/>
                    </w:rPr>
                  </w:pPr>
                  <w:r w:rsidRPr="00432BBB">
                    <w:rPr>
                      <w:rFonts w:cs="Arial"/>
                      <w:sz w:val="18"/>
                      <w:szCs w:val="18"/>
                    </w:rPr>
                    <w:t>1,822,827</w:t>
                  </w:r>
                </w:p>
              </w:tc>
              <w:tc>
                <w:tcPr>
                  <w:tcW w:w="2126" w:type="dxa"/>
                  <w:tcBorders>
                    <w:top w:val="nil"/>
                    <w:bottom w:val="single" w:sz="4" w:space="0" w:color="auto"/>
                  </w:tcBorders>
                  <w:shd w:val="clear" w:color="auto" w:fill="auto"/>
                  <w:vAlign w:val="center"/>
                </w:tcPr>
                <w:p w14:paraId="792543D7" w14:textId="77777777" w:rsidR="0083285C" w:rsidRPr="00432BBB" w:rsidRDefault="0083285C" w:rsidP="001A69D6">
                  <w:pPr>
                    <w:jc w:val="center"/>
                    <w:rPr>
                      <w:rFonts w:cs="Arial"/>
                      <w:sz w:val="18"/>
                      <w:szCs w:val="18"/>
                    </w:rPr>
                  </w:pPr>
                  <w:r w:rsidRPr="00432BBB">
                    <w:rPr>
                      <w:rFonts w:cs="Arial"/>
                      <w:sz w:val="18"/>
                      <w:szCs w:val="18"/>
                    </w:rPr>
                    <w:t>8,087,715</w:t>
                  </w:r>
                </w:p>
              </w:tc>
            </w:tr>
            <w:tr w:rsidR="005E42C9" w:rsidRPr="00432BBB" w14:paraId="35B27AFB" w14:textId="77777777" w:rsidTr="0058562A">
              <w:tc>
                <w:tcPr>
                  <w:tcW w:w="3288" w:type="dxa"/>
                  <w:tcBorders>
                    <w:bottom w:val="nil"/>
                  </w:tcBorders>
                  <w:shd w:val="clear" w:color="auto" w:fill="auto"/>
                  <w:tcMar>
                    <w:left w:w="312" w:type="dxa"/>
                  </w:tcMar>
                </w:tcPr>
                <w:p w14:paraId="5288417D" w14:textId="79A125C2" w:rsidR="005E42C9" w:rsidRPr="00432BBB" w:rsidRDefault="005E42C9" w:rsidP="001A69D6">
                  <w:pPr>
                    <w:rPr>
                      <w:rFonts w:cs="Arial"/>
                      <w:sz w:val="18"/>
                      <w:szCs w:val="18"/>
                    </w:rPr>
                  </w:pPr>
                  <w:r w:rsidRPr="00432BBB">
                    <w:rPr>
                      <w:rFonts w:cs="Arial"/>
                      <w:sz w:val="18"/>
                      <w:szCs w:val="18"/>
                    </w:rPr>
                    <w:t>OCD</w:t>
                  </w:r>
                </w:p>
              </w:tc>
              <w:tc>
                <w:tcPr>
                  <w:tcW w:w="1248" w:type="dxa"/>
                  <w:tcBorders>
                    <w:bottom w:val="nil"/>
                  </w:tcBorders>
                  <w:shd w:val="clear" w:color="auto" w:fill="auto"/>
                </w:tcPr>
                <w:p w14:paraId="50454B6D" w14:textId="3448D627" w:rsidR="005E42C9" w:rsidRPr="00432BBB" w:rsidRDefault="005E42C9" w:rsidP="001A69D6">
                  <w:pPr>
                    <w:jc w:val="center"/>
                    <w:rPr>
                      <w:rFonts w:cs="Arial"/>
                      <w:sz w:val="18"/>
                      <w:szCs w:val="18"/>
                    </w:rPr>
                  </w:pPr>
                  <w:r w:rsidRPr="00432BBB">
                    <w:rPr>
                      <w:rFonts w:cs="Arial"/>
                      <w:sz w:val="18"/>
                      <w:szCs w:val="18"/>
                    </w:rPr>
                    <w:t>5-17</w:t>
                  </w:r>
                </w:p>
              </w:tc>
              <w:tc>
                <w:tcPr>
                  <w:tcW w:w="1843" w:type="dxa"/>
                  <w:tcBorders>
                    <w:bottom w:val="nil"/>
                  </w:tcBorders>
                  <w:shd w:val="clear" w:color="auto" w:fill="auto"/>
                  <w:vAlign w:val="center"/>
                </w:tcPr>
                <w:p w14:paraId="0D6B6779" w14:textId="694C6F8E" w:rsidR="005E42C9" w:rsidRPr="00432BBB" w:rsidRDefault="005E42C9" w:rsidP="001A69D6">
                  <w:pPr>
                    <w:jc w:val="center"/>
                    <w:rPr>
                      <w:rFonts w:cs="Arial"/>
                      <w:sz w:val="18"/>
                      <w:szCs w:val="18"/>
                    </w:rPr>
                  </w:pPr>
                  <w:r w:rsidRPr="00432BBB">
                    <w:rPr>
                      <w:rFonts w:cs="Arial"/>
                      <w:sz w:val="18"/>
                      <w:szCs w:val="18"/>
                    </w:rPr>
                    <w:t>2,186</w:t>
                  </w:r>
                </w:p>
              </w:tc>
              <w:tc>
                <w:tcPr>
                  <w:tcW w:w="2126" w:type="dxa"/>
                  <w:tcBorders>
                    <w:bottom w:val="nil"/>
                  </w:tcBorders>
                  <w:shd w:val="clear" w:color="auto" w:fill="auto"/>
                  <w:vAlign w:val="center"/>
                </w:tcPr>
                <w:p w14:paraId="6C6D3C62" w14:textId="34608F2D" w:rsidR="005E42C9" w:rsidRPr="00432BBB" w:rsidRDefault="005E42C9" w:rsidP="001A69D6">
                  <w:pPr>
                    <w:jc w:val="center"/>
                    <w:rPr>
                      <w:rFonts w:cs="Arial"/>
                      <w:sz w:val="18"/>
                      <w:szCs w:val="18"/>
                    </w:rPr>
                  </w:pPr>
                  <w:r w:rsidRPr="00432BBB">
                    <w:rPr>
                      <w:rFonts w:cs="Arial"/>
                      <w:sz w:val="18"/>
                      <w:szCs w:val="18"/>
                    </w:rPr>
                    <w:t>1,563,804</w:t>
                  </w:r>
                </w:p>
              </w:tc>
            </w:tr>
            <w:tr w:rsidR="005E42C9" w:rsidRPr="00432BBB" w14:paraId="1A7A7776" w14:textId="77777777" w:rsidTr="0058562A">
              <w:tc>
                <w:tcPr>
                  <w:tcW w:w="3288" w:type="dxa"/>
                  <w:tcBorders>
                    <w:top w:val="nil"/>
                  </w:tcBorders>
                  <w:shd w:val="clear" w:color="auto" w:fill="auto"/>
                  <w:tcMar>
                    <w:left w:w="312" w:type="dxa"/>
                  </w:tcMar>
                </w:tcPr>
                <w:p w14:paraId="7E6B7651" w14:textId="77777777" w:rsidR="005E42C9" w:rsidRPr="00432BBB" w:rsidRDefault="005E42C9" w:rsidP="001A69D6">
                  <w:pPr>
                    <w:rPr>
                      <w:rFonts w:cs="Arial"/>
                      <w:sz w:val="18"/>
                      <w:szCs w:val="18"/>
                    </w:rPr>
                  </w:pPr>
                </w:p>
              </w:tc>
              <w:tc>
                <w:tcPr>
                  <w:tcW w:w="1248" w:type="dxa"/>
                  <w:tcBorders>
                    <w:top w:val="nil"/>
                    <w:bottom w:val="single" w:sz="4" w:space="0" w:color="auto"/>
                  </w:tcBorders>
                  <w:shd w:val="clear" w:color="auto" w:fill="auto"/>
                </w:tcPr>
                <w:p w14:paraId="7BA6EAB2" w14:textId="77617D19" w:rsidR="005E42C9" w:rsidRPr="00432BBB" w:rsidRDefault="005E42C9"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4D86B6CF" w14:textId="72091A6B" w:rsidR="005E42C9" w:rsidRPr="00432BBB" w:rsidRDefault="005E42C9" w:rsidP="001A69D6">
                  <w:pPr>
                    <w:jc w:val="center"/>
                    <w:rPr>
                      <w:rFonts w:cs="Arial"/>
                      <w:sz w:val="18"/>
                      <w:szCs w:val="18"/>
                    </w:rPr>
                  </w:pPr>
                  <w:r w:rsidRPr="00432BBB">
                    <w:rPr>
                      <w:rFonts w:cs="Arial"/>
                      <w:sz w:val="18"/>
                      <w:szCs w:val="18"/>
                    </w:rPr>
                    <w:t>76,169</w:t>
                  </w:r>
                </w:p>
              </w:tc>
              <w:tc>
                <w:tcPr>
                  <w:tcW w:w="2126" w:type="dxa"/>
                  <w:tcBorders>
                    <w:top w:val="nil"/>
                    <w:bottom w:val="single" w:sz="4" w:space="0" w:color="auto"/>
                  </w:tcBorders>
                  <w:shd w:val="clear" w:color="auto" w:fill="auto"/>
                  <w:vAlign w:val="center"/>
                </w:tcPr>
                <w:p w14:paraId="441FFEB0" w14:textId="62478244" w:rsidR="005E42C9" w:rsidRPr="00432BBB" w:rsidRDefault="005E42C9" w:rsidP="001A69D6">
                  <w:pPr>
                    <w:jc w:val="center"/>
                    <w:rPr>
                      <w:rFonts w:cs="Arial"/>
                      <w:sz w:val="18"/>
                      <w:szCs w:val="18"/>
                    </w:rPr>
                  </w:pPr>
                  <w:r w:rsidRPr="00432BBB">
                    <w:rPr>
                      <w:rFonts w:cs="Arial"/>
                      <w:sz w:val="18"/>
                      <w:szCs w:val="18"/>
                    </w:rPr>
                    <w:t>8,087,715</w:t>
                  </w:r>
                </w:p>
              </w:tc>
            </w:tr>
            <w:tr w:rsidR="0083285C" w:rsidRPr="00432BBB" w14:paraId="4C28CBEB" w14:textId="77777777" w:rsidTr="0058562A">
              <w:tc>
                <w:tcPr>
                  <w:tcW w:w="3288" w:type="dxa"/>
                  <w:vMerge w:val="restart"/>
                  <w:shd w:val="clear" w:color="auto" w:fill="auto"/>
                  <w:tcMar>
                    <w:left w:w="312" w:type="dxa"/>
                  </w:tcMar>
                </w:tcPr>
                <w:p w14:paraId="4B4FE0E5" w14:textId="77777777" w:rsidR="0083285C" w:rsidRPr="00432BBB" w:rsidRDefault="0083285C" w:rsidP="001A69D6">
                  <w:pPr>
                    <w:rPr>
                      <w:rFonts w:cs="Arial"/>
                      <w:sz w:val="18"/>
                      <w:szCs w:val="18"/>
                    </w:rPr>
                  </w:pPr>
                  <w:r w:rsidRPr="00432BBB">
                    <w:rPr>
                      <w:rFonts w:cs="Arial"/>
                      <w:sz w:val="18"/>
                      <w:szCs w:val="18"/>
                    </w:rPr>
                    <w:t>Depression</w:t>
                  </w:r>
                </w:p>
              </w:tc>
              <w:tc>
                <w:tcPr>
                  <w:tcW w:w="1248" w:type="dxa"/>
                  <w:tcBorders>
                    <w:top w:val="single" w:sz="4" w:space="0" w:color="auto"/>
                    <w:bottom w:val="nil"/>
                  </w:tcBorders>
                  <w:shd w:val="clear" w:color="auto" w:fill="auto"/>
                </w:tcPr>
                <w:p w14:paraId="52739A3D" w14:textId="77777777" w:rsidR="0083285C" w:rsidRPr="00432BBB" w:rsidRDefault="0083285C" w:rsidP="001A69D6">
                  <w:pPr>
                    <w:jc w:val="center"/>
                    <w:rPr>
                      <w:rFonts w:cs="Arial"/>
                      <w:sz w:val="18"/>
                      <w:szCs w:val="18"/>
                    </w:rPr>
                  </w:pPr>
                  <w:r w:rsidRPr="00432BBB">
                    <w:rPr>
                      <w:rFonts w:cs="Arial"/>
                      <w:sz w:val="18"/>
                      <w:szCs w:val="18"/>
                    </w:rPr>
                    <w:t>5-17</w:t>
                  </w:r>
                </w:p>
              </w:tc>
              <w:tc>
                <w:tcPr>
                  <w:tcW w:w="1843" w:type="dxa"/>
                  <w:tcBorders>
                    <w:top w:val="single" w:sz="4" w:space="0" w:color="auto"/>
                    <w:bottom w:val="nil"/>
                  </w:tcBorders>
                  <w:shd w:val="clear" w:color="auto" w:fill="auto"/>
                  <w:vAlign w:val="center"/>
                </w:tcPr>
                <w:p w14:paraId="37F10953" w14:textId="77777777" w:rsidR="0083285C" w:rsidRPr="00432BBB" w:rsidRDefault="0083285C" w:rsidP="001A69D6">
                  <w:pPr>
                    <w:jc w:val="center"/>
                    <w:rPr>
                      <w:rFonts w:cs="Arial"/>
                      <w:sz w:val="18"/>
                      <w:szCs w:val="18"/>
                    </w:rPr>
                  </w:pPr>
                  <w:r w:rsidRPr="00432BBB">
                    <w:rPr>
                      <w:rFonts w:cs="Arial"/>
                      <w:sz w:val="18"/>
                      <w:szCs w:val="18"/>
                    </w:rPr>
                    <w:t>78,332</w:t>
                  </w:r>
                </w:p>
              </w:tc>
              <w:tc>
                <w:tcPr>
                  <w:tcW w:w="2126" w:type="dxa"/>
                  <w:tcBorders>
                    <w:top w:val="single" w:sz="4" w:space="0" w:color="auto"/>
                    <w:bottom w:val="nil"/>
                  </w:tcBorders>
                  <w:shd w:val="clear" w:color="auto" w:fill="auto"/>
                  <w:vAlign w:val="center"/>
                </w:tcPr>
                <w:p w14:paraId="34FF95F6" w14:textId="77777777" w:rsidR="0083285C" w:rsidRPr="00432BBB" w:rsidRDefault="0083285C" w:rsidP="001A69D6">
                  <w:pPr>
                    <w:jc w:val="center"/>
                    <w:rPr>
                      <w:rFonts w:cs="Arial"/>
                      <w:sz w:val="18"/>
                      <w:szCs w:val="18"/>
                    </w:rPr>
                  </w:pPr>
                  <w:r w:rsidRPr="00432BBB">
                    <w:rPr>
                      <w:rFonts w:cs="Arial"/>
                      <w:sz w:val="18"/>
                      <w:szCs w:val="18"/>
                    </w:rPr>
                    <w:t>1,563,804</w:t>
                  </w:r>
                </w:p>
              </w:tc>
            </w:tr>
            <w:tr w:rsidR="0083285C" w:rsidRPr="00432BBB" w14:paraId="65762D6A" w14:textId="77777777" w:rsidTr="005E42C9">
              <w:tc>
                <w:tcPr>
                  <w:tcW w:w="3288" w:type="dxa"/>
                  <w:vMerge/>
                  <w:shd w:val="clear" w:color="auto" w:fill="auto"/>
                  <w:tcMar>
                    <w:left w:w="312" w:type="dxa"/>
                  </w:tcMar>
                </w:tcPr>
                <w:p w14:paraId="5423D022" w14:textId="77777777" w:rsidR="0083285C" w:rsidRPr="00432BBB" w:rsidRDefault="0083285C" w:rsidP="001A69D6">
                  <w:pPr>
                    <w:rPr>
                      <w:rFonts w:cs="Arial"/>
                      <w:sz w:val="18"/>
                      <w:szCs w:val="18"/>
                    </w:rPr>
                  </w:pPr>
                </w:p>
              </w:tc>
              <w:tc>
                <w:tcPr>
                  <w:tcW w:w="1248" w:type="dxa"/>
                  <w:tcBorders>
                    <w:top w:val="nil"/>
                    <w:bottom w:val="single" w:sz="4" w:space="0" w:color="auto"/>
                  </w:tcBorders>
                  <w:shd w:val="clear" w:color="auto" w:fill="auto"/>
                </w:tcPr>
                <w:p w14:paraId="7CF4996A" w14:textId="77777777" w:rsidR="0083285C" w:rsidRPr="00432BBB" w:rsidRDefault="0083285C"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4EAE7B62" w14:textId="77777777" w:rsidR="0083285C" w:rsidRPr="00432BBB" w:rsidRDefault="0083285C" w:rsidP="001A69D6">
                  <w:pPr>
                    <w:jc w:val="center"/>
                    <w:rPr>
                      <w:rFonts w:cs="Arial"/>
                      <w:sz w:val="18"/>
                      <w:szCs w:val="18"/>
                    </w:rPr>
                  </w:pPr>
                  <w:r w:rsidRPr="00432BBB">
                    <w:rPr>
                      <w:rFonts w:cs="Arial"/>
                      <w:sz w:val="18"/>
                      <w:szCs w:val="18"/>
                    </w:rPr>
                    <w:t>1,547,307</w:t>
                  </w:r>
                </w:p>
              </w:tc>
              <w:tc>
                <w:tcPr>
                  <w:tcW w:w="2126" w:type="dxa"/>
                  <w:tcBorders>
                    <w:top w:val="nil"/>
                    <w:bottom w:val="single" w:sz="4" w:space="0" w:color="auto"/>
                  </w:tcBorders>
                  <w:shd w:val="clear" w:color="auto" w:fill="auto"/>
                  <w:vAlign w:val="center"/>
                </w:tcPr>
                <w:p w14:paraId="16C02C74" w14:textId="77777777" w:rsidR="0083285C" w:rsidRPr="00432BBB" w:rsidRDefault="0083285C" w:rsidP="001A69D6">
                  <w:pPr>
                    <w:jc w:val="center"/>
                    <w:rPr>
                      <w:rFonts w:cs="Arial"/>
                      <w:sz w:val="18"/>
                      <w:szCs w:val="18"/>
                    </w:rPr>
                  </w:pPr>
                  <w:r w:rsidRPr="00432BBB">
                    <w:rPr>
                      <w:rFonts w:cs="Arial"/>
                      <w:sz w:val="18"/>
                      <w:szCs w:val="18"/>
                    </w:rPr>
                    <w:t>8,087,715</w:t>
                  </w:r>
                </w:p>
              </w:tc>
            </w:tr>
            <w:tr w:rsidR="0083285C" w:rsidRPr="00432BBB" w14:paraId="07A3BADE" w14:textId="77777777" w:rsidTr="005E42C9">
              <w:tc>
                <w:tcPr>
                  <w:tcW w:w="3288" w:type="dxa"/>
                  <w:vMerge w:val="restart"/>
                  <w:shd w:val="clear" w:color="auto" w:fill="auto"/>
                  <w:tcMar>
                    <w:left w:w="312" w:type="dxa"/>
                  </w:tcMar>
                </w:tcPr>
                <w:p w14:paraId="01B91C18" w14:textId="13DF27D8" w:rsidR="0083285C" w:rsidRPr="00432BBB" w:rsidRDefault="0083285C" w:rsidP="001A69D6">
                  <w:pPr>
                    <w:rPr>
                      <w:rFonts w:cs="Arial"/>
                      <w:sz w:val="18"/>
                      <w:szCs w:val="18"/>
                    </w:rPr>
                  </w:pPr>
                  <w:r w:rsidRPr="00432BBB">
                    <w:rPr>
                      <w:rFonts w:cs="Arial"/>
                      <w:sz w:val="18"/>
                      <w:szCs w:val="18"/>
                    </w:rPr>
                    <w:t>Anorexia, bulimia, and other feeding disorders</w:t>
                  </w:r>
                </w:p>
              </w:tc>
              <w:tc>
                <w:tcPr>
                  <w:tcW w:w="1248" w:type="dxa"/>
                  <w:tcBorders>
                    <w:bottom w:val="nil"/>
                  </w:tcBorders>
                  <w:shd w:val="clear" w:color="auto" w:fill="auto"/>
                </w:tcPr>
                <w:p w14:paraId="35777D5E" w14:textId="77777777" w:rsidR="0083285C" w:rsidRPr="00432BBB" w:rsidRDefault="0083285C" w:rsidP="001A69D6">
                  <w:pPr>
                    <w:jc w:val="center"/>
                    <w:rPr>
                      <w:rFonts w:cs="Arial"/>
                      <w:sz w:val="18"/>
                      <w:szCs w:val="18"/>
                    </w:rPr>
                  </w:pPr>
                  <w:r w:rsidRPr="00432BBB">
                    <w:rPr>
                      <w:rFonts w:cs="Arial"/>
                      <w:sz w:val="18"/>
                      <w:szCs w:val="18"/>
                    </w:rPr>
                    <w:t>5-17</w:t>
                  </w:r>
                </w:p>
              </w:tc>
              <w:tc>
                <w:tcPr>
                  <w:tcW w:w="1843" w:type="dxa"/>
                  <w:tcBorders>
                    <w:bottom w:val="nil"/>
                  </w:tcBorders>
                  <w:shd w:val="clear" w:color="auto" w:fill="auto"/>
                  <w:vAlign w:val="center"/>
                </w:tcPr>
                <w:p w14:paraId="44113EEA" w14:textId="3DB96CEB" w:rsidR="0083285C" w:rsidRPr="00432BBB" w:rsidRDefault="0083285C" w:rsidP="001A69D6">
                  <w:pPr>
                    <w:jc w:val="center"/>
                    <w:rPr>
                      <w:rFonts w:cs="Arial"/>
                      <w:sz w:val="18"/>
                      <w:szCs w:val="18"/>
                    </w:rPr>
                  </w:pPr>
                  <w:r w:rsidRPr="00432BBB">
                    <w:rPr>
                      <w:rFonts w:cs="Arial"/>
                      <w:sz w:val="18"/>
                      <w:szCs w:val="18"/>
                    </w:rPr>
                    <w:t>14,358</w:t>
                  </w:r>
                </w:p>
              </w:tc>
              <w:tc>
                <w:tcPr>
                  <w:tcW w:w="2126" w:type="dxa"/>
                  <w:tcBorders>
                    <w:bottom w:val="nil"/>
                  </w:tcBorders>
                  <w:shd w:val="clear" w:color="auto" w:fill="auto"/>
                  <w:vAlign w:val="center"/>
                </w:tcPr>
                <w:p w14:paraId="64A77797" w14:textId="77777777" w:rsidR="0083285C" w:rsidRPr="00432BBB" w:rsidRDefault="0083285C" w:rsidP="001A69D6">
                  <w:pPr>
                    <w:jc w:val="center"/>
                    <w:rPr>
                      <w:rFonts w:cs="Arial"/>
                      <w:sz w:val="18"/>
                      <w:szCs w:val="18"/>
                    </w:rPr>
                  </w:pPr>
                  <w:r w:rsidRPr="00432BBB">
                    <w:rPr>
                      <w:rFonts w:cs="Arial"/>
                      <w:sz w:val="18"/>
                      <w:szCs w:val="18"/>
                    </w:rPr>
                    <w:t>1,563,804</w:t>
                  </w:r>
                </w:p>
              </w:tc>
            </w:tr>
            <w:tr w:rsidR="0083285C" w:rsidRPr="00432BBB" w14:paraId="5DE8CB35" w14:textId="77777777" w:rsidTr="005E42C9">
              <w:tc>
                <w:tcPr>
                  <w:tcW w:w="3288" w:type="dxa"/>
                  <w:vMerge/>
                  <w:shd w:val="clear" w:color="auto" w:fill="auto"/>
                  <w:tcMar>
                    <w:left w:w="312" w:type="dxa"/>
                  </w:tcMar>
                </w:tcPr>
                <w:p w14:paraId="2F44966A" w14:textId="77777777" w:rsidR="0083285C" w:rsidRPr="00432BBB" w:rsidRDefault="0083285C" w:rsidP="001A69D6">
                  <w:pPr>
                    <w:rPr>
                      <w:rFonts w:cs="Arial"/>
                      <w:sz w:val="18"/>
                      <w:szCs w:val="18"/>
                    </w:rPr>
                  </w:pPr>
                </w:p>
              </w:tc>
              <w:tc>
                <w:tcPr>
                  <w:tcW w:w="1248" w:type="dxa"/>
                  <w:tcBorders>
                    <w:top w:val="nil"/>
                    <w:bottom w:val="single" w:sz="4" w:space="0" w:color="auto"/>
                  </w:tcBorders>
                  <w:shd w:val="clear" w:color="auto" w:fill="auto"/>
                </w:tcPr>
                <w:p w14:paraId="754B2A16" w14:textId="77777777" w:rsidR="0083285C" w:rsidRPr="00432BBB" w:rsidRDefault="0083285C"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5F9A7611" w14:textId="723A8042" w:rsidR="0083285C" w:rsidRPr="00432BBB" w:rsidRDefault="0083285C" w:rsidP="001A69D6">
                  <w:pPr>
                    <w:jc w:val="center"/>
                    <w:rPr>
                      <w:rFonts w:cs="Arial"/>
                      <w:sz w:val="18"/>
                      <w:szCs w:val="18"/>
                    </w:rPr>
                  </w:pPr>
                  <w:r w:rsidRPr="00432BBB">
                    <w:rPr>
                      <w:rFonts w:cs="Arial"/>
                      <w:sz w:val="18"/>
                      <w:szCs w:val="18"/>
                    </w:rPr>
                    <w:t>32,346</w:t>
                  </w:r>
                </w:p>
              </w:tc>
              <w:tc>
                <w:tcPr>
                  <w:tcW w:w="2126" w:type="dxa"/>
                  <w:tcBorders>
                    <w:top w:val="nil"/>
                    <w:bottom w:val="single" w:sz="4" w:space="0" w:color="auto"/>
                  </w:tcBorders>
                  <w:shd w:val="clear" w:color="auto" w:fill="auto"/>
                  <w:vAlign w:val="center"/>
                </w:tcPr>
                <w:p w14:paraId="43B04F8E" w14:textId="77777777" w:rsidR="0083285C" w:rsidRPr="00432BBB" w:rsidRDefault="0083285C" w:rsidP="001A69D6">
                  <w:pPr>
                    <w:jc w:val="center"/>
                    <w:rPr>
                      <w:rFonts w:cs="Arial"/>
                      <w:sz w:val="18"/>
                      <w:szCs w:val="18"/>
                    </w:rPr>
                  </w:pPr>
                  <w:r w:rsidRPr="00432BBB">
                    <w:rPr>
                      <w:rFonts w:cs="Arial"/>
                      <w:sz w:val="18"/>
                      <w:szCs w:val="18"/>
                    </w:rPr>
                    <w:t>8,087,715</w:t>
                  </w:r>
                </w:p>
              </w:tc>
            </w:tr>
            <w:tr w:rsidR="0083285C" w:rsidRPr="00432BBB" w14:paraId="0FDC846D" w14:textId="77777777" w:rsidTr="00673DB8">
              <w:trPr>
                <w:trHeight w:val="67"/>
              </w:trPr>
              <w:tc>
                <w:tcPr>
                  <w:tcW w:w="3288" w:type="dxa"/>
                  <w:vMerge w:val="restart"/>
                  <w:shd w:val="clear" w:color="auto" w:fill="auto"/>
                  <w:tcMar>
                    <w:left w:w="312" w:type="dxa"/>
                  </w:tcMar>
                </w:tcPr>
                <w:p w14:paraId="46C89B2D" w14:textId="75809ACA" w:rsidR="0083285C" w:rsidRPr="00432BBB" w:rsidRDefault="0083285C" w:rsidP="001A69D6">
                  <w:pPr>
                    <w:rPr>
                      <w:rFonts w:cs="Arial"/>
                      <w:sz w:val="18"/>
                      <w:szCs w:val="18"/>
                    </w:rPr>
                  </w:pPr>
                  <w:r w:rsidRPr="00432BBB">
                    <w:rPr>
                      <w:rFonts w:cs="Arial"/>
                      <w:sz w:val="18"/>
                      <w:szCs w:val="18"/>
                    </w:rPr>
                    <w:t xml:space="preserve">Schizophrenia, </w:t>
                  </w:r>
                  <w:r w:rsidR="00EE1B75" w:rsidRPr="00432BBB">
                    <w:rPr>
                      <w:rFonts w:cs="Arial"/>
                      <w:sz w:val="18"/>
                      <w:szCs w:val="18"/>
                    </w:rPr>
                    <w:t xml:space="preserve">other </w:t>
                  </w:r>
                  <w:r w:rsidRPr="00432BBB">
                    <w:rPr>
                      <w:rFonts w:cs="Arial"/>
                      <w:sz w:val="18"/>
                      <w:szCs w:val="18"/>
                    </w:rPr>
                    <w:t>psychos</w:t>
                  </w:r>
                  <w:r w:rsidR="00EE1B75" w:rsidRPr="00432BBB">
                    <w:rPr>
                      <w:rFonts w:cs="Arial"/>
                      <w:sz w:val="18"/>
                      <w:szCs w:val="18"/>
                    </w:rPr>
                    <w:t>es</w:t>
                  </w:r>
                  <w:r w:rsidRPr="00432BBB">
                    <w:rPr>
                      <w:rFonts w:cs="Arial"/>
                      <w:sz w:val="18"/>
                      <w:szCs w:val="18"/>
                    </w:rPr>
                    <w:t>, and bipolar disorder</w:t>
                  </w:r>
                </w:p>
              </w:tc>
              <w:tc>
                <w:tcPr>
                  <w:tcW w:w="1248" w:type="dxa"/>
                  <w:tcBorders>
                    <w:bottom w:val="nil"/>
                  </w:tcBorders>
                  <w:shd w:val="clear" w:color="auto" w:fill="auto"/>
                  <w:vAlign w:val="center"/>
                </w:tcPr>
                <w:p w14:paraId="18F5EEE8" w14:textId="5025B709" w:rsidR="0083285C" w:rsidRPr="00432BBB" w:rsidRDefault="0083285C" w:rsidP="001A69D6">
                  <w:pPr>
                    <w:jc w:val="center"/>
                    <w:rPr>
                      <w:rFonts w:cs="Arial"/>
                      <w:sz w:val="18"/>
                      <w:szCs w:val="18"/>
                    </w:rPr>
                  </w:pPr>
                  <w:r w:rsidRPr="00432BBB">
                    <w:rPr>
                      <w:rFonts w:cs="Arial"/>
                      <w:sz w:val="18"/>
                      <w:szCs w:val="18"/>
                    </w:rPr>
                    <w:t>5-17</w:t>
                  </w:r>
                </w:p>
              </w:tc>
              <w:tc>
                <w:tcPr>
                  <w:tcW w:w="1843" w:type="dxa"/>
                  <w:tcBorders>
                    <w:bottom w:val="nil"/>
                  </w:tcBorders>
                  <w:shd w:val="clear" w:color="auto" w:fill="auto"/>
                  <w:vAlign w:val="center"/>
                </w:tcPr>
                <w:p w14:paraId="2DDB00CA" w14:textId="6F0A1FC9" w:rsidR="0083285C" w:rsidRPr="00432BBB" w:rsidRDefault="0083285C" w:rsidP="001A69D6">
                  <w:pPr>
                    <w:jc w:val="center"/>
                    <w:rPr>
                      <w:rFonts w:cs="Arial"/>
                      <w:sz w:val="18"/>
                      <w:szCs w:val="18"/>
                    </w:rPr>
                  </w:pPr>
                  <w:r w:rsidRPr="00432BBB">
                    <w:rPr>
                      <w:rFonts w:cs="Arial"/>
                      <w:sz w:val="18"/>
                      <w:szCs w:val="18"/>
                    </w:rPr>
                    <w:t>2,198</w:t>
                  </w:r>
                </w:p>
              </w:tc>
              <w:tc>
                <w:tcPr>
                  <w:tcW w:w="2126" w:type="dxa"/>
                  <w:tcBorders>
                    <w:bottom w:val="nil"/>
                  </w:tcBorders>
                  <w:shd w:val="clear" w:color="auto" w:fill="auto"/>
                  <w:vAlign w:val="center"/>
                </w:tcPr>
                <w:p w14:paraId="45BA1C4D" w14:textId="27DD6385" w:rsidR="0083285C" w:rsidRPr="00432BBB" w:rsidRDefault="0083285C" w:rsidP="001A69D6">
                  <w:pPr>
                    <w:jc w:val="center"/>
                    <w:rPr>
                      <w:rFonts w:cs="Arial"/>
                      <w:sz w:val="18"/>
                      <w:szCs w:val="18"/>
                    </w:rPr>
                  </w:pPr>
                  <w:r w:rsidRPr="00432BBB">
                    <w:rPr>
                      <w:rFonts w:cs="Arial"/>
                      <w:sz w:val="18"/>
                      <w:szCs w:val="18"/>
                    </w:rPr>
                    <w:t>1,563,804</w:t>
                  </w:r>
                </w:p>
              </w:tc>
            </w:tr>
            <w:tr w:rsidR="0083285C" w:rsidRPr="00432BBB" w14:paraId="18D235CB" w14:textId="77777777" w:rsidTr="005E42C9">
              <w:trPr>
                <w:trHeight w:val="257"/>
              </w:trPr>
              <w:tc>
                <w:tcPr>
                  <w:tcW w:w="3288" w:type="dxa"/>
                  <w:vMerge/>
                  <w:shd w:val="clear" w:color="auto" w:fill="auto"/>
                  <w:tcMar>
                    <w:left w:w="312" w:type="dxa"/>
                  </w:tcMar>
                </w:tcPr>
                <w:p w14:paraId="19D103E5" w14:textId="77777777" w:rsidR="0083285C" w:rsidRPr="00432BBB" w:rsidRDefault="0083285C" w:rsidP="001A69D6">
                  <w:pPr>
                    <w:rPr>
                      <w:rFonts w:cs="Arial"/>
                      <w:sz w:val="18"/>
                      <w:szCs w:val="18"/>
                    </w:rPr>
                  </w:pPr>
                </w:p>
              </w:tc>
              <w:tc>
                <w:tcPr>
                  <w:tcW w:w="1248" w:type="dxa"/>
                  <w:tcBorders>
                    <w:top w:val="nil"/>
                    <w:bottom w:val="single" w:sz="4" w:space="0" w:color="auto"/>
                  </w:tcBorders>
                  <w:shd w:val="clear" w:color="auto" w:fill="auto"/>
                  <w:vAlign w:val="center"/>
                </w:tcPr>
                <w:p w14:paraId="028F27CF" w14:textId="6EF15A92" w:rsidR="0083285C" w:rsidRPr="00432BBB" w:rsidRDefault="0083285C"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48F6EBD8" w14:textId="0D1D41B5" w:rsidR="0083285C" w:rsidRPr="00432BBB" w:rsidRDefault="0083285C" w:rsidP="001A69D6">
                  <w:pPr>
                    <w:jc w:val="center"/>
                    <w:rPr>
                      <w:rFonts w:cs="Arial"/>
                      <w:sz w:val="18"/>
                      <w:szCs w:val="18"/>
                    </w:rPr>
                  </w:pPr>
                  <w:r w:rsidRPr="00432BBB">
                    <w:rPr>
                      <w:rFonts w:cs="Arial"/>
                      <w:sz w:val="18"/>
                      <w:szCs w:val="18"/>
                    </w:rPr>
                    <w:t>246,625</w:t>
                  </w:r>
                </w:p>
              </w:tc>
              <w:tc>
                <w:tcPr>
                  <w:tcW w:w="2126" w:type="dxa"/>
                  <w:tcBorders>
                    <w:top w:val="nil"/>
                    <w:bottom w:val="single" w:sz="4" w:space="0" w:color="auto"/>
                  </w:tcBorders>
                  <w:shd w:val="clear" w:color="auto" w:fill="auto"/>
                  <w:vAlign w:val="center"/>
                </w:tcPr>
                <w:p w14:paraId="43C2876D" w14:textId="0AC1CC16" w:rsidR="0083285C" w:rsidRPr="00432BBB" w:rsidRDefault="0083285C" w:rsidP="001A69D6">
                  <w:pPr>
                    <w:jc w:val="center"/>
                    <w:rPr>
                      <w:rFonts w:cs="Arial"/>
                      <w:sz w:val="18"/>
                      <w:szCs w:val="18"/>
                    </w:rPr>
                  </w:pPr>
                  <w:r w:rsidRPr="00432BBB">
                    <w:rPr>
                      <w:rFonts w:cs="Arial"/>
                      <w:sz w:val="18"/>
                      <w:szCs w:val="18"/>
                    </w:rPr>
                    <w:t>8,087,715</w:t>
                  </w:r>
                </w:p>
              </w:tc>
            </w:tr>
            <w:tr w:rsidR="0083285C" w:rsidRPr="00432BBB" w14:paraId="76E97FC1" w14:textId="77777777" w:rsidTr="005E42C9">
              <w:tc>
                <w:tcPr>
                  <w:tcW w:w="3288" w:type="dxa"/>
                  <w:vMerge w:val="restart"/>
                  <w:shd w:val="clear" w:color="auto" w:fill="auto"/>
                  <w:tcMar>
                    <w:left w:w="312" w:type="dxa"/>
                  </w:tcMar>
                </w:tcPr>
                <w:p w14:paraId="16BE3279" w14:textId="3E8E13AA" w:rsidR="0083285C" w:rsidRPr="00432BBB" w:rsidRDefault="0083285C" w:rsidP="001A69D6">
                  <w:pPr>
                    <w:rPr>
                      <w:rFonts w:cs="Arial"/>
                      <w:sz w:val="18"/>
                      <w:szCs w:val="18"/>
                    </w:rPr>
                  </w:pPr>
                  <w:r w:rsidRPr="00432BBB">
                    <w:rPr>
                      <w:rFonts w:cs="Arial"/>
                      <w:sz w:val="18"/>
                      <w:szCs w:val="18"/>
                    </w:rPr>
                    <w:t>Self-harm</w:t>
                  </w:r>
                </w:p>
              </w:tc>
              <w:tc>
                <w:tcPr>
                  <w:tcW w:w="1248" w:type="dxa"/>
                  <w:tcBorders>
                    <w:bottom w:val="nil"/>
                  </w:tcBorders>
                  <w:shd w:val="clear" w:color="auto" w:fill="auto"/>
                </w:tcPr>
                <w:p w14:paraId="19A31098" w14:textId="56D352CE" w:rsidR="0083285C" w:rsidRPr="00432BBB" w:rsidRDefault="0083285C" w:rsidP="001A69D6">
                  <w:pPr>
                    <w:jc w:val="center"/>
                    <w:rPr>
                      <w:rFonts w:cs="Arial"/>
                      <w:sz w:val="18"/>
                      <w:szCs w:val="18"/>
                    </w:rPr>
                  </w:pPr>
                  <w:r w:rsidRPr="00432BBB">
                    <w:rPr>
                      <w:rFonts w:cs="Arial"/>
                      <w:sz w:val="18"/>
                      <w:szCs w:val="18"/>
                    </w:rPr>
                    <w:t>5-17</w:t>
                  </w:r>
                </w:p>
              </w:tc>
              <w:tc>
                <w:tcPr>
                  <w:tcW w:w="1843" w:type="dxa"/>
                  <w:tcBorders>
                    <w:bottom w:val="nil"/>
                  </w:tcBorders>
                  <w:shd w:val="clear" w:color="auto" w:fill="auto"/>
                  <w:vAlign w:val="center"/>
                </w:tcPr>
                <w:p w14:paraId="1FC067C0" w14:textId="566BE5E5" w:rsidR="0083285C" w:rsidRPr="00432BBB" w:rsidRDefault="0083285C" w:rsidP="001A69D6">
                  <w:pPr>
                    <w:jc w:val="center"/>
                    <w:rPr>
                      <w:rFonts w:cs="Arial"/>
                      <w:sz w:val="18"/>
                      <w:szCs w:val="18"/>
                    </w:rPr>
                  </w:pPr>
                  <w:r w:rsidRPr="00432BBB">
                    <w:rPr>
                      <w:rFonts w:cs="Arial"/>
                      <w:sz w:val="18"/>
                      <w:szCs w:val="18"/>
                    </w:rPr>
                    <w:t>37,145</w:t>
                  </w:r>
                </w:p>
              </w:tc>
              <w:tc>
                <w:tcPr>
                  <w:tcW w:w="2126" w:type="dxa"/>
                  <w:tcBorders>
                    <w:bottom w:val="nil"/>
                  </w:tcBorders>
                  <w:shd w:val="clear" w:color="auto" w:fill="auto"/>
                </w:tcPr>
                <w:p w14:paraId="3358F631" w14:textId="5C570E2D" w:rsidR="0083285C" w:rsidRPr="00432BBB" w:rsidRDefault="0083285C" w:rsidP="001A69D6">
                  <w:pPr>
                    <w:jc w:val="center"/>
                    <w:rPr>
                      <w:rFonts w:cs="Arial"/>
                      <w:sz w:val="18"/>
                      <w:szCs w:val="18"/>
                    </w:rPr>
                  </w:pPr>
                  <w:r w:rsidRPr="00432BBB">
                    <w:rPr>
                      <w:rFonts w:cs="Arial"/>
                      <w:sz w:val="18"/>
                      <w:szCs w:val="18"/>
                    </w:rPr>
                    <w:t>1,563,804</w:t>
                  </w:r>
                </w:p>
              </w:tc>
            </w:tr>
            <w:tr w:rsidR="0083285C" w:rsidRPr="00432BBB" w14:paraId="3EBA021D" w14:textId="77777777" w:rsidTr="005E42C9">
              <w:tc>
                <w:tcPr>
                  <w:tcW w:w="3288" w:type="dxa"/>
                  <w:vMerge/>
                  <w:tcBorders>
                    <w:bottom w:val="single" w:sz="4" w:space="0" w:color="auto"/>
                  </w:tcBorders>
                  <w:shd w:val="clear" w:color="auto" w:fill="auto"/>
                </w:tcPr>
                <w:p w14:paraId="76D6F3AA" w14:textId="77777777" w:rsidR="0083285C" w:rsidRPr="00432BBB" w:rsidRDefault="0083285C" w:rsidP="001A69D6">
                  <w:pPr>
                    <w:rPr>
                      <w:rFonts w:cs="Arial"/>
                      <w:sz w:val="18"/>
                      <w:szCs w:val="18"/>
                    </w:rPr>
                  </w:pPr>
                </w:p>
              </w:tc>
              <w:tc>
                <w:tcPr>
                  <w:tcW w:w="1248" w:type="dxa"/>
                  <w:tcBorders>
                    <w:top w:val="nil"/>
                    <w:bottom w:val="single" w:sz="4" w:space="0" w:color="auto"/>
                  </w:tcBorders>
                  <w:shd w:val="clear" w:color="auto" w:fill="auto"/>
                </w:tcPr>
                <w:p w14:paraId="2F4EB7F8" w14:textId="13D39DB2" w:rsidR="0083285C" w:rsidRPr="00432BBB" w:rsidRDefault="0083285C" w:rsidP="001A69D6">
                  <w:pPr>
                    <w:jc w:val="center"/>
                    <w:rPr>
                      <w:rFonts w:cs="Arial"/>
                      <w:sz w:val="18"/>
                      <w:szCs w:val="18"/>
                    </w:rPr>
                  </w:pPr>
                  <w:r w:rsidRPr="00432BBB">
                    <w:rPr>
                      <w:rFonts w:cs="Arial"/>
                      <w:sz w:val="18"/>
                      <w:szCs w:val="18"/>
                    </w:rPr>
                    <w:t>18+</w:t>
                  </w:r>
                </w:p>
              </w:tc>
              <w:tc>
                <w:tcPr>
                  <w:tcW w:w="1843" w:type="dxa"/>
                  <w:tcBorders>
                    <w:top w:val="nil"/>
                    <w:bottom w:val="single" w:sz="4" w:space="0" w:color="auto"/>
                  </w:tcBorders>
                  <w:shd w:val="clear" w:color="auto" w:fill="auto"/>
                  <w:vAlign w:val="center"/>
                </w:tcPr>
                <w:p w14:paraId="79F47EA1" w14:textId="40EB8D86" w:rsidR="0083285C" w:rsidRPr="00432BBB" w:rsidRDefault="0083285C" w:rsidP="001A69D6">
                  <w:pPr>
                    <w:jc w:val="center"/>
                    <w:rPr>
                      <w:rFonts w:cs="Arial"/>
                      <w:sz w:val="18"/>
                      <w:szCs w:val="18"/>
                    </w:rPr>
                  </w:pPr>
                  <w:r w:rsidRPr="00432BBB">
                    <w:rPr>
                      <w:rFonts w:cs="Arial"/>
                      <w:sz w:val="18"/>
                      <w:szCs w:val="18"/>
                    </w:rPr>
                    <w:t>219,154</w:t>
                  </w:r>
                </w:p>
              </w:tc>
              <w:tc>
                <w:tcPr>
                  <w:tcW w:w="2126" w:type="dxa"/>
                  <w:tcBorders>
                    <w:top w:val="nil"/>
                    <w:bottom w:val="single" w:sz="4" w:space="0" w:color="auto"/>
                  </w:tcBorders>
                  <w:shd w:val="clear" w:color="auto" w:fill="auto"/>
                </w:tcPr>
                <w:p w14:paraId="33AAE904" w14:textId="6D72DF9B" w:rsidR="0083285C" w:rsidRPr="00432BBB" w:rsidRDefault="0083285C" w:rsidP="001A69D6">
                  <w:pPr>
                    <w:jc w:val="center"/>
                    <w:rPr>
                      <w:rFonts w:cs="Arial"/>
                      <w:sz w:val="18"/>
                      <w:szCs w:val="18"/>
                    </w:rPr>
                  </w:pPr>
                  <w:r w:rsidRPr="00432BBB">
                    <w:rPr>
                      <w:rFonts w:cs="Arial"/>
                      <w:sz w:val="18"/>
                      <w:szCs w:val="18"/>
                    </w:rPr>
                    <w:t>8,087,715</w:t>
                  </w:r>
                </w:p>
              </w:tc>
            </w:tr>
            <w:tr w:rsidR="005E42C9" w:rsidRPr="00432BBB" w14:paraId="037133FA" w14:textId="77777777" w:rsidTr="00432BBB">
              <w:tc>
                <w:tcPr>
                  <w:tcW w:w="3288" w:type="dxa"/>
                  <w:tcBorders>
                    <w:bottom w:val="single" w:sz="4" w:space="0" w:color="auto"/>
                    <w:right w:val="nil"/>
                  </w:tcBorders>
                  <w:shd w:val="clear" w:color="auto" w:fill="F2F2F2" w:themeFill="background1" w:themeFillShade="F2"/>
                </w:tcPr>
                <w:p w14:paraId="1FF9F178" w14:textId="3BE9BEE4" w:rsidR="005E42C9" w:rsidRPr="00432BBB" w:rsidRDefault="005E42C9" w:rsidP="001A69D6">
                  <w:pPr>
                    <w:rPr>
                      <w:rFonts w:cs="Arial"/>
                      <w:i/>
                      <w:iCs/>
                      <w:sz w:val="18"/>
                      <w:szCs w:val="18"/>
                    </w:rPr>
                  </w:pPr>
                  <w:r w:rsidRPr="00432BBB">
                    <w:rPr>
                      <w:rFonts w:cs="Arial"/>
                      <w:i/>
                      <w:iCs/>
                      <w:sz w:val="18"/>
                      <w:szCs w:val="18"/>
                    </w:rPr>
                    <w:t>Respiratory</w:t>
                  </w:r>
                </w:p>
              </w:tc>
              <w:tc>
                <w:tcPr>
                  <w:tcW w:w="1248" w:type="dxa"/>
                  <w:tcBorders>
                    <w:left w:val="nil"/>
                    <w:bottom w:val="single" w:sz="4" w:space="0" w:color="auto"/>
                    <w:right w:val="nil"/>
                  </w:tcBorders>
                  <w:shd w:val="clear" w:color="auto" w:fill="F2F2F2" w:themeFill="background1" w:themeFillShade="F2"/>
                </w:tcPr>
                <w:p w14:paraId="52B13A92" w14:textId="77777777" w:rsidR="005E42C9" w:rsidRPr="00432BBB" w:rsidRDefault="005E42C9" w:rsidP="001A69D6">
                  <w:pPr>
                    <w:jc w:val="center"/>
                    <w:rPr>
                      <w:rFonts w:cs="Arial"/>
                      <w:sz w:val="18"/>
                      <w:szCs w:val="18"/>
                    </w:rPr>
                  </w:pPr>
                </w:p>
              </w:tc>
              <w:tc>
                <w:tcPr>
                  <w:tcW w:w="1843" w:type="dxa"/>
                  <w:tcBorders>
                    <w:left w:val="nil"/>
                    <w:bottom w:val="single" w:sz="4" w:space="0" w:color="auto"/>
                    <w:right w:val="nil"/>
                  </w:tcBorders>
                  <w:shd w:val="clear" w:color="auto" w:fill="F2F2F2" w:themeFill="background1" w:themeFillShade="F2"/>
                  <w:vAlign w:val="center"/>
                </w:tcPr>
                <w:p w14:paraId="7420D2CB" w14:textId="77777777" w:rsidR="005E42C9" w:rsidRPr="00432BBB" w:rsidRDefault="005E42C9" w:rsidP="001A69D6">
                  <w:pPr>
                    <w:jc w:val="center"/>
                    <w:rPr>
                      <w:rFonts w:cs="Arial"/>
                      <w:sz w:val="18"/>
                      <w:szCs w:val="18"/>
                    </w:rPr>
                  </w:pPr>
                </w:p>
              </w:tc>
              <w:tc>
                <w:tcPr>
                  <w:tcW w:w="2126" w:type="dxa"/>
                  <w:tcBorders>
                    <w:left w:val="nil"/>
                    <w:bottom w:val="single" w:sz="4" w:space="0" w:color="auto"/>
                  </w:tcBorders>
                  <w:shd w:val="clear" w:color="auto" w:fill="F2F2F2" w:themeFill="background1" w:themeFillShade="F2"/>
                </w:tcPr>
                <w:p w14:paraId="2A43BB32" w14:textId="77777777" w:rsidR="005E42C9" w:rsidRPr="00432BBB" w:rsidRDefault="005E42C9" w:rsidP="001A69D6">
                  <w:pPr>
                    <w:jc w:val="center"/>
                    <w:rPr>
                      <w:rFonts w:cs="Arial"/>
                      <w:sz w:val="18"/>
                      <w:szCs w:val="18"/>
                    </w:rPr>
                  </w:pPr>
                </w:p>
              </w:tc>
            </w:tr>
            <w:tr w:rsidR="005E42C9" w:rsidRPr="00432BBB" w14:paraId="03E5935B" w14:textId="77777777" w:rsidTr="0058562A">
              <w:tc>
                <w:tcPr>
                  <w:tcW w:w="3288" w:type="dxa"/>
                  <w:tcBorders>
                    <w:bottom w:val="nil"/>
                  </w:tcBorders>
                  <w:shd w:val="clear" w:color="auto" w:fill="auto"/>
                  <w:tcMar>
                    <w:left w:w="312" w:type="dxa"/>
                  </w:tcMar>
                </w:tcPr>
                <w:p w14:paraId="20D2BBA6" w14:textId="647C652E" w:rsidR="005E42C9" w:rsidRPr="00432BBB" w:rsidRDefault="005E42C9" w:rsidP="001A69D6">
                  <w:pPr>
                    <w:rPr>
                      <w:rFonts w:cs="Arial"/>
                      <w:sz w:val="18"/>
                      <w:szCs w:val="18"/>
                    </w:rPr>
                  </w:pPr>
                  <w:r w:rsidRPr="00432BBB">
                    <w:rPr>
                      <w:rFonts w:cs="Arial"/>
                      <w:sz w:val="18"/>
                      <w:szCs w:val="18"/>
                    </w:rPr>
                    <w:t>Asthma exacerbation</w:t>
                  </w:r>
                </w:p>
              </w:tc>
              <w:tc>
                <w:tcPr>
                  <w:tcW w:w="1248" w:type="dxa"/>
                  <w:tcBorders>
                    <w:bottom w:val="nil"/>
                  </w:tcBorders>
                  <w:shd w:val="clear" w:color="auto" w:fill="auto"/>
                </w:tcPr>
                <w:p w14:paraId="4F759237" w14:textId="4B374B1D" w:rsidR="005E42C9" w:rsidRPr="00432BBB" w:rsidRDefault="005E42C9" w:rsidP="001A69D6">
                  <w:pPr>
                    <w:jc w:val="center"/>
                    <w:rPr>
                      <w:rFonts w:cs="Arial"/>
                      <w:sz w:val="18"/>
                      <w:szCs w:val="18"/>
                    </w:rPr>
                  </w:pPr>
                  <w:r w:rsidRPr="00432BBB">
                    <w:rPr>
                      <w:rFonts w:cs="Arial"/>
                      <w:sz w:val="18"/>
                      <w:szCs w:val="18"/>
                    </w:rPr>
                    <w:t>&lt;18</w:t>
                  </w:r>
                </w:p>
              </w:tc>
              <w:tc>
                <w:tcPr>
                  <w:tcW w:w="1843" w:type="dxa"/>
                  <w:tcBorders>
                    <w:bottom w:val="nil"/>
                  </w:tcBorders>
                  <w:shd w:val="clear" w:color="auto" w:fill="auto"/>
                  <w:vAlign w:val="center"/>
                </w:tcPr>
                <w:p w14:paraId="6C7729AF" w14:textId="23496DEE" w:rsidR="005E42C9" w:rsidRPr="00432BBB" w:rsidRDefault="005E42C9" w:rsidP="001A69D6">
                  <w:pPr>
                    <w:jc w:val="center"/>
                    <w:rPr>
                      <w:rFonts w:cs="Arial"/>
                      <w:sz w:val="18"/>
                      <w:szCs w:val="18"/>
                    </w:rPr>
                  </w:pPr>
                  <w:r w:rsidRPr="00432BBB">
                    <w:rPr>
                      <w:rFonts w:cs="Arial"/>
                      <w:sz w:val="18"/>
                      <w:szCs w:val="18"/>
                    </w:rPr>
                    <w:t>31,016</w:t>
                  </w:r>
                </w:p>
              </w:tc>
              <w:tc>
                <w:tcPr>
                  <w:tcW w:w="2126" w:type="dxa"/>
                  <w:tcBorders>
                    <w:bottom w:val="nil"/>
                  </w:tcBorders>
                  <w:shd w:val="clear" w:color="auto" w:fill="auto"/>
                  <w:vAlign w:val="center"/>
                </w:tcPr>
                <w:p w14:paraId="32871962" w14:textId="530B077F" w:rsidR="005E42C9" w:rsidRPr="00432BBB" w:rsidRDefault="005E42C9" w:rsidP="001A69D6">
                  <w:pPr>
                    <w:jc w:val="center"/>
                    <w:rPr>
                      <w:rFonts w:cs="Arial"/>
                      <w:sz w:val="18"/>
                      <w:szCs w:val="18"/>
                    </w:rPr>
                  </w:pPr>
                  <w:r w:rsidRPr="00432BBB">
                    <w:rPr>
                      <w:rFonts w:cs="Arial"/>
                      <w:sz w:val="18"/>
                      <w:szCs w:val="18"/>
                    </w:rPr>
                    <w:t>243,736</w:t>
                  </w:r>
                  <w:r w:rsidRPr="00432BBB">
                    <w:rPr>
                      <w:rFonts w:cs="Arial"/>
                      <w:sz w:val="18"/>
                      <w:szCs w:val="18"/>
                      <w:vertAlign w:val="superscript"/>
                    </w:rPr>
                    <w:t>a</w:t>
                  </w:r>
                </w:p>
              </w:tc>
            </w:tr>
            <w:tr w:rsidR="005E42C9" w:rsidRPr="00432BBB" w14:paraId="5A2648E6" w14:textId="77777777" w:rsidTr="0058562A">
              <w:tc>
                <w:tcPr>
                  <w:tcW w:w="3288" w:type="dxa"/>
                  <w:tcBorders>
                    <w:top w:val="nil"/>
                  </w:tcBorders>
                  <w:shd w:val="clear" w:color="auto" w:fill="auto"/>
                  <w:tcMar>
                    <w:left w:w="312" w:type="dxa"/>
                  </w:tcMar>
                </w:tcPr>
                <w:p w14:paraId="3344B38B" w14:textId="77777777" w:rsidR="005E42C9" w:rsidRPr="00432BBB" w:rsidRDefault="005E42C9" w:rsidP="001A69D6">
                  <w:pPr>
                    <w:rPr>
                      <w:rFonts w:cs="Arial"/>
                      <w:sz w:val="18"/>
                      <w:szCs w:val="18"/>
                    </w:rPr>
                  </w:pPr>
                </w:p>
              </w:tc>
              <w:tc>
                <w:tcPr>
                  <w:tcW w:w="1248" w:type="dxa"/>
                  <w:tcBorders>
                    <w:top w:val="nil"/>
                  </w:tcBorders>
                  <w:shd w:val="clear" w:color="auto" w:fill="auto"/>
                </w:tcPr>
                <w:p w14:paraId="6DA898B6" w14:textId="692B6A47" w:rsidR="005E42C9" w:rsidRPr="00432BBB" w:rsidRDefault="005E42C9" w:rsidP="001A69D6">
                  <w:pPr>
                    <w:jc w:val="center"/>
                    <w:rPr>
                      <w:rFonts w:cs="Arial"/>
                      <w:sz w:val="18"/>
                      <w:szCs w:val="18"/>
                    </w:rPr>
                  </w:pPr>
                  <w:r w:rsidRPr="00432BBB">
                    <w:rPr>
                      <w:rFonts w:cs="Arial"/>
                      <w:sz w:val="18"/>
                      <w:szCs w:val="18"/>
                    </w:rPr>
                    <w:t>18+</w:t>
                  </w:r>
                </w:p>
              </w:tc>
              <w:tc>
                <w:tcPr>
                  <w:tcW w:w="1843" w:type="dxa"/>
                  <w:tcBorders>
                    <w:top w:val="nil"/>
                  </w:tcBorders>
                  <w:shd w:val="clear" w:color="auto" w:fill="auto"/>
                  <w:vAlign w:val="center"/>
                </w:tcPr>
                <w:p w14:paraId="77F76750" w14:textId="41990926" w:rsidR="005E42C9" w:rsidRPr="00432BBB" w:rsidRDefault="005E42C9" w:rsidP="001A69D6">
                  <w:pPr>
                    <w:jc w:val="center"/>
                    <w:rPr>
                      <w:rFonts w:cs="Arial"/>
                      <w:sz w:val="18"/>
                      <w:szCs w:val="18"/>
                    </w:rPr>
                  </w:pPr>
                  <w:r w:rsidRPr="00432BBB">
                    <w:rPr>
                      <w:rFonts w:cs="Arial"/>
                      <w:sz w:val="18"/>
                      <w:szCs w:val="18"/>
                    </w:rPr>
                    <w:t>173,743</w:t>
                  </w:r>
                </w:p>
              </w:tc>
              <w:tc>
                <w:tcPr>
                  <w:tcW w:w="2126" w:type="dxa"/>
                  <w:tcBorders>
                    <w:top w:val="nil"/>
                  </w:tcBorders>
                  <w:shd w:val="clear" w:color="auto" w:fill="auto"/>
                  <w:vAlign w:val="center"/>
                </w:tcPr>
                <w:p w14:paraId="69436929" w14:textId="2700CB1A" w:rsidR="005E42C9" w:rsidRPr="00432BBB" w:rsidRDefault="005E42C9" w:rsidP="001A69D6">
                  <w:pPr>
                    <w:jc w:val="center"/>
                    <w:rPr>
                      <w:rFonts w:cs="Arial"/>
                      <w:sz w:val="18"/>
                      <w:szCs w:val="18"/>
                    </w:rPr>
                  </w:pPr>
                  <w:r w:rsidRPr="00432BBB">
                    <w:rPr>
                      <w:rFonts w:cs="Arial"/>
                      <w:sz w:val="18"/>
                      <w:szCs w:val="18"/>
                    </w:rPr>
                    <w:t>2,339,488</w:t>
                  </w:r>
                  <w:r w:rsidRPr="00432BBB">
                    <w:rPr>
                      <w:rFonts w:cs="Arial"/>
                      <w:sz w:val="18"/>
                      <w:szCs w:val="18"/>
                      <w:vertAlign w:val="superscript"/>
                    </w:rPr>
                    <w:t>a</w:t>
                  </w:r>
                </w:p>
              </w:tc>
            </w:tr>
            <w:tr w:rsidR="005E42C9" w:rsidRPr="00432BBB" w14:paraId="2B93401D" w14:textId="77777777" w:rsidTr="005E42C9">
              <w:tc>
                <w:tcPr>
                  <w:tcW w:w="3288" w:type="dxa"/>
                  <w:tcBorders>
                    <w:bottom w:val="single" w:sz="4" w:space="0" w:color="auto"/>
                  </w:tcBorders>
                  <w:shd w:val="clear" w:color="auto" w:fill="auto"/>
                  <w:tcMar>
                    <w:left w:w="312" w:type="dxa"/>
                  </w:tcMar>
                </w:tcPr>
                <w:p w14:paraId="1479161E" w14:textId="19021125" w:rsidR="005E42C9" w:rsidRPr="00432BBB" w:rsidRDefault="005E42C9" w:rsidP="001A69D6">
                  <w:pPr>
                    <w:rPr>
                      <w:rFonts w:cs="Arial"/>
                      <w:sz w:val="18"/>
                      <w:szCs w:val="18"/>
                    </w:rPr>
                  </w:pPr>
                  <w:r w:rsidRPr="00432BBB">
                    <w:rPr>
                      <w:rFonts w:cs="Arial"/>
                      <w:sz w:val="18"/>
                      <w:szCs w:val="18"/>
                    </w:rPr>
                    <w:t>COPD acute exacerbation</w:t>
                  </w:r>
                </w:p>
              </w:tc>
              <w:tc>
                <w:tcPr>
                  <w:tcW w:w="1248" w:type="dxa"/>
                  <w:tcBorders>
                    <w:bottom w:val="single" w:sz="4" w:space="0" w:color="auto"/>
                  </w:tcBorders>
                  <w:shd w:val="clear" w:color="auto" w:fill="auto"/>
                </w:tcPr>
                <w:p w14:paraId="0452315A" w14:textId="7F5866AB" w:rsidR="005E42C9" w:rsidRPr="00432BBB" w:rsidRDefault="005E42C9" w:rsidP="001A69D6">
                  <w:pPr>
                    <w:jc w:val="center"/>
                    <w:rPr>
                      <w:rFonts w:cs="Arial"/>
                      <w:sz w:val="18"/>
                      <w:szCs w:val="18"/>
                    </w:rPr>
                  </w:pPr>
                  <w:r w:rsidRPr="00432BBB">
                    <w:rPr>
                      <w:rFonts w:cs="Arial"/>
                      <w:sz w:val="18"/>
                      <w:szCs w:val="18"/>
                    </w:rPr>
                    <w:t>40+</w:t>
                  </w:r>
                </w:p>
              </w:tc>
              <w:tc>
                <w:tcPr>
                  <w:tcW w:w="1843" w:type="dxa"/>
                  <w:tcBorders>
                    <w:bottom w:val="single" w:sz="4" w:space="0" w:color="auto"/>
                  </w:tcBorders>
                  <w:shd w:val="clear" w:color="auto" w:fill="auto"/>
                  <w:vAlign w:val="center"/>
                </w:tcPr>
                <w:p w14:paraId="603C02DD" w14:textId="7D67B118" w:rsidR="005E42C9" w:rsidRPr="00432BBB" w:rsidRDefault="005E42C9" w:rsidP="001A69D6">
                  <w:pPr>
                    <w:jc w:val="center"/>
                    <w:rPr>
                      <w:rFonts w:cs="Arial"/>
                      <w:sz w:val="18"/>
                      <w:szCs w:val="18"/>
                    </w:rPr>
                  </w:pPr>
                  <w:r w:rsidRPr="00432BBB">
                    <w:rPr>
                      <w:rFonts w:cs="Arial"/>
                      <w:sz w:val="18"/>
                      <w:szCs w:val="18"/>
                    </w:rPr>
                    <w:t>152,918</w:t>
                  </w:r>
                </w:p>
              </w:tc>
              <w:tc>
                <w:tcPr>
                  <w:tcW w:w="2126" w:type="dxa"/>
                  <w:tcBorders>
                    <w:bottom w:val="single" w:sz="4" w:space="0" w:color="auto"/>
                  </w:tcBorders>
                  <w:shd w:val="clear" w:color="auto" w:fill="auto"/>
                  <w:vAlign w:val="center"/>
                </w:tcPr>
                <w:p w14:paraId="7946C8D3" w14:textId="0E01D30B" w:rsidR="005E42C9" w:rsidRPr="00432BBB" w:rsidRDefault="005E42C9" w:rsidP="001A69D6">
                  <w:pPr>
                    <w:jc w:val="center"/>
                    <w:rPr>
                      <w:rFonts w:cs="Arial"/>
                      <w:sz w:val="18"/>
                      <w:szCs w:val="18"/>
                    </w:rPr>
                  </w:pPr>
                  <w:r w:rsidRPr="00432BBB">
                    <w:rPr>
                      <w:rFonts w:cs="Arial"/>
                      <w:sz w:val="18"/>
                      <w:szCs w:val="18"/>
                    </w:rPr>
                    <w:t>232,833</w:t>
                  </w:r>
                  <w:r w:rsidRPr="00432BBB">
                    <w:rPr>
                      <w:rFonts w:cs="Arial"/>
                      <w:sz w:val="18"/>
                      <w:szCs w:val="18"/>
                      <w:vertAlign w:val="superscript"/>
                    </w:rPr>
                    <w:t>b</w:t>
                  </w:r>
                </w:p>
              </w:tc>
            </w:tr>
            <w:tr w:rsidR="005E42C9" w:rsidRPr="00432BBB" w14:paraId="58D26FDB" w14:textId="77777777" w:rsidTr="00432BBB">
              <w:tc>
                <w:tcPr>
                  <w:tcW w:w="3288" w:type="dxa"/>
                  <w:tcBorders>
                    <w:right w:val="nil"/>
                  </w:tcBorders>
                  <w:shd w:val="clear" w:color="auto" w:fill="F2F2F2" w:themeFill="background1" w:themeFillShade="F2"/>
                </w:tcPr>
                <w:p w14:paraId="7229CCCC" w14:textId="0CEE82F0" w:rsidR="005E42C9" w:rsidRPr="00432BBB" w:rsidRDefault="005E42C9" w:rsidP="001A69D6">
                  <w:pPr>
                    <w:rPr>
                      <w:rFonts w:cs="Arial"/>
                      <w:i/>
                      <w:iCs/>
                      <w:sz w:val="18"/>
                      <w:szCs w:val="18"/>
                    </w:rPr>
                  </w:pPr>
                  <w:r w:rsidRPr="00432BBB">
                    <w:rPr>
                      <w:rFonts w:cs="Arial"/>
                      <w:i/>
                      <w:iCs/>
                      <w:sz w:val="18"/>
                      <w:szCs w:val="18"/>
                    </w:rPr>
                    <w:t>Cardiovascular</w:t>
                  </w:r>
                </w:p>
              </w:tc>
              <w:tc>
                <w:tcPr>
                  <w:tcW w:w="1248" w:type="dxa"/>
                  <w:tcBorders>
                    <w:left w:val="nil"/>
                    <w:right w:val="nil"/>
                  </w:tcBorders>
                  <w:shd w:val="clear" w:color="auto" w:fill="F2F2F2" w:themeFill="background1" w:themeFillShade="F2"/>
                </w:tcPr>
                <w:p w14:paraId="48A2A386" w14:textId="77777777" w:rsidR="005E42C9" w:rsidRPr="00432BBB" w:rsidRDefault="005E42C9" w:rsidP="001A69D6">
                  <w:pPr>
                    <w:jc w:val="center"/>
                    <w:rPr>
                      <w:rFonts w:cs="Arial"/>
                      <w:sz w:val="18"/>
                      <w:szCs w:val="18"/>
                    </w:rPr>
                  </w:pPr>
                </w:p>
              </w:tc>
              <w:tc>
                <w:tcPr>
                  <w:tcW w:w="1843" w:type="dxa"/>
                  <w:tcBorders>
                    <w:left w:val="nil"/>
                    <w:right w:val="nil"/>
                  </w:tcBorders>
                  <w:shd w:val="clear" w:color="auto" w:fill="F2F2F2" w:themeFill="background1" w:themeFillShade="F2"/>
                  <w:vAlign w:val="center"/>
                </w:tcPr>
                <w:p w14:paraId="2268176F" w14:textId="77777777" w:rsidR="005E42C9" w:rsidRPr="00432BBB" w:rsidRDefault="005E42C9" w:rsidP="001A69D6">
                  <w:pPr>
                    <w:jc w:val="center"/>
                    <w:rPr>
                      <w:rFonts w:cs="Arial"/>
                      <w:sz w:val="18"/>
                      <w:szCs w:val="18"/>
                    </w:rPr>
                  </w:pPr>
                </w:p>
              </w:tc>
              <w:tc>
                <w:tcPr>
                  <w:tcW w:w="2126" w:type="dxa"/>
                  <w:tcBorders>
                    <w:left w:val="nil"/>
                  </w:tcBorders>
                  <w:shd w:val="clear" w:color="auto" w:fill="F2F2F2" w:themeFill="background1" w:themeFillShade="F2"/>
                </w:tcPr>
                <w:p w14:paraId="0E57C94E" w14:textId="77777777" w:rsidR="005E42C9" w:rsidRPr="00432BBB" w:rsidRDefault="005E42C9" w:rsidP="001A69D6">
                  <w:pPr>
                    <w:jc w:val="center"/>
                    <w:rPr>
                      <w:rFonts w:cs="Arial"/>
                      <w:sz w:val="18"/>
                      <w:szCs w:val="18"/>
                    </w:rPr>
                  </w:pPr>
                </w:p>
              </w:tc>
            </w:tr>
            <w:tr w:rsidR="005E42C9" w:rsidRPr="00432BBB" w14:paraId="143945CA" w14:textId="77777777" w:rsidTr="005E42C9">
              <w:tc>
                <w:tcPr>
                  <w:tcW w:w="3288" w:type="dxa"/>
                  <w:shd w:val="clear" w:color="auto" w:fill="auto"/>
                  <w:tcMar>
                    <w:left w:w="312" w:type="dxa"/>
                  </w:tcMar>
                </w:tcPr>
                <w:p w14:paraId="4A8C38D5" w14:textId="67B91947" w:rsidR="005E42C9" w:rsidRPr="00432BBB" w:rsidRDefault="005E42C9" w:rsidP="001A69D6">
                  <w:pPr>
                    <w:rPr>
                      <w:rFonts w:cs="Arial"/>
                      <w:sz w:val="18"/>
                      <w:szCs w:val="18"/>
                    </w:rPr>
                  </w:pPr>
                  <w:r w:rsidRPr="00432BBB">
                    <w:rPr>
                      <w:rFonts w:cs="Arial"/>
                      <w:sz w:val="18"/>
                      <w:szCs w:val="18"/>
                    </w:rPr>
                    <w:t>Myocardial infarction</w:t>
                  </w:r>
                </w:p>
              </w:tc>
              <w:tc>
                <w:tcPr>
                  <w:tcW w:w="1248" w:type="dxa"/>
                  <w:shd w:val="clear" w:color="auto" w:fill="auto"/>
                </w:tcPr>
                <w:p w14:paraId="006D1BF3" w14:textId="5D048133" w:rsidR="005E42C9" w:rsidRPr="00432BBB" w:rsidRDefault="005E42C9" w:rsidP="001A69D6">
                  <w:pPr>
                    <w:jc w:val="center"/>
                    <w:rPr>
                      <w:rFonts w:cs="Arial"/>
                      <w:sz w:val="18"/>
                      <w:szCs w:val="18"/>
                    </w:rPr>
                  </w:pPr>
                  <w:r w:rsidRPr="00432BBB">
                    <w:rPr>
                      <w:rFonts w:cs="Arial"/>
                      <w:sz w:val="18"/>
                      <w:szCs w:val="18"/>
                    </w:rPr>
                    <w:t>30+</w:t>
                  </w:r>
                </w:p>
              </w:tc>
              <w:tc>
                <w:tcPr>
                  <w:tcW w:w="1843" w:type="dxa"/>
                  <w:shd w:val="clear" w:color="auto" w:fill="auto"/>
                  <w:vAlign w:val="center"/>
                </w:tcPr>
                <w:p w14:paraId="74D5E136" w14:textId="10DD7598" w:rsidR="005E42C9" w:rsidRPr="00432BBB" w:rsidRDefault="005E42C9" w:rsidP="001A69D6">
                  <w:pPr>
                    <w:jc w:val="center"/>
                    <w:rPr>
                      <w:rFonts w:cs="Arial"/>
                      <w:sz w:val="18"/>
                      <w:szCs w:val="18"/>
                    </w:rPr>
                  </w:pPr>
                  <w:r w:rsidRPr="00432BBB">
                    <w:rPr>
                      <w:rFonts w:cs="Arial"/>
                      <w:sz w:val="18"/>
                      <w:szCs w:val="18"/>
                    </w:rPr>
                    <w:t>114,145</w:t>
                  </w:r>
                </w:p>
              </w:tc>
              <w:tc>
                <w:tcPr>
                  <w:tcW w:w="2126" w:type="dxa"/>
                  <w:shd w:val="clear" w:color="auto" w:fill="auto"/>
                </w:tcPr>
                <w:p w14:paraId="4C2DCDB4" w14:textId="1AF5098F" w:rsidR="005E42C9" w:rsidRPr="00432BBB" w:rsidRDefault="005E42C9" w:rsidP="001A69D6">
                  <w:pPr>
                    <w:jc w:val="center"/>
                    <w:rPr>
                      <w:rFonts w:cs="Arial"/>
                      <w:sz w:val="18"/>
                      <w:szCs w:val="18"/>
                    </w:rPr>
                  </w:pPr>
                  <w:r w:rsidRPr="00432BBB">
                    <w:rPr>
                      <w:rFonts w:cs="Arial"/>
                      <w:sz w:val="18"/>
                      <w:szCs w:val="18"/>
                    </w:rPr>
                    <w:t>6,601,211</w:t>
                  </w:r>
                </w:p>
              </w:tc>
            </w:tr>
            <w:tr w:rsidR="005E42C9" w:rsidRPr="00432BBB" w14:paraId="116BAB83" w14:textId="77777777" w:rsidTr="005E42C9">
              <w:tc>
                <w:tcPr>
                  <w:tcW w:w="3288" w:type="dxa"/>
                  <w:shd w:val="clear" w:color="auto" w:fill="auto"/>
                  <w:tcMar>
                    <w:left w:w="312" w:type="dxa"/>
                  </w:tcMar>
                </w:tcPr>
                <w:p w14:paraId="74371039" w14:textId="7277FEBE" w:rsidR="005E42C9" w:rsidRPr="00432BBB" w:rsidRDefault="005E42C9" w:rsidP="001A69D6">
                  <w:pPr>
                    <w:rPr>
                      <w:rFonts w:cs="Arial"/>
                      <w:sz w:val="18"/>
                      <w:szCs w:val="18"/>
                    </w:rPr>
                  </w:pPr>
                  <w:r w:rsidRPr="00432BBB">
                    <w:rPr>
                      <w:rFonts w:cs="Arial"/>
                      <w:sz w:val="18"/>
                      <w:szCs w:val="18"/>
                    </w:rPr>
                    <w:t>Unstable angina</w:t>
                  </w:r>
                </w:p>
              </w:tc>
              <w:tc>
                <w:tcPr>
                  <w:tcW w:w="1248" w:type="dxa"/>
                  <w:shd w:val="clear" w:color="auto" w:fill="auto"/>
                </w:tcPr>
                <w:p w14:paraId="7F766399" w14:textId="457C7569" w:rsidR="005E42C9" w:rsidRPr="00432BBB" w:rsidRDefault="005E42C9" w:rsidP="001A69D6">
                  <w:pPr>
                    <w:jc w:val="center"/>
                    <w:rPr>
                      <w:rFonts w:cs="Arial"/>
                      <w:sz w:val="18"/>
                      <w:szCs w:val="18"/>
                    </w:rPr>
                  </w:pPr>
                  <w:r w:rsidRPr="00432BBB">
                    <w:rPr>
                      <w:rFonts w:cs="Arial"/>
                      <w:sz w:val="18"/>
                      <w:szCs w:val="18"/>
                    </w:rPr>
                    <w:t>30+</w:t>
                  </w:r>
                </w:p>
              </w:tc>
              <w:tc>
                <w:tcPr>
                  <w:tcW w:w="1843" w:type="dxa"/>
                  <w:shd w:val="clear" w:color="auto" w:fill="auto"/>
                  <w:vAlign w:val="center"/>
                </w:tcPr>
                <w:p w14:paraId="7BD7DF63" w14:textId="52B11B67" w:rsidR="005E42C9" w:rsidRPr="00432BBB" w:rsidRDefault="005E42C9" w:rsidP="001A69D6">
                  <w:pPr>
                    <w:jc w:val="center"/>
                    <w:rPr>
                      <w:rFonts w:cs="Arial"/>
                      <w:sz w:val="18"/>
                      <w:szCs w:val="18"/>
                    </w:rPr>
                  </w:pPr>
                  <w:r w:rsidRPr="00432BBB">
                    <w:rPr>
                      <w:rFonts w:cs="Arial"/>
                      <w:sz w:val="18"/>
                      <w:szCs w:val="18"/>
                    </w:rPr>
                    <w:t>7,926</w:t>
                  </w:r>
                </w:p>
              </w:tc>
              <w:tc>
                <w:tcPr>
                  <w:tcW w:w="2126" w:type="dxa"/>
                  <w:shd w:val="clear" w:color="auto" w:fill="auto"/>
                </w:tcPr>
                <w:p w14:paraId="23A1CE14" w14:textId="6F752B96" w:rsidR="005E42C9" w:rsidRPr="00432BBB" w:rsidRDefault="005E42C9" w:rsidP="001A69D6">
                  <w:pPr>
                    <w:jc w:val="center"/>
                    <w:rPr>
                      <w:rFonts w:cs="Arial"/>
                      <w:sz w:val="18"/>
                      <w:szCs w:val="18"/>
                    </w:rPr>
                  </w:pPr>
                  <w:r w:rsidRPr="00432BBB">
                    <w:rPr>
                      <w:rFonts w:cs="Arial"/>
                      <w:sz w:val="18"/>
                      <w:szCs w:val="18"/>
                    </w:rPr>
                    <w:t>6,601,211</w:t>
                  </w:r>
                </w:p>
              </w:tc>
            </w:tr>
            <w:tr w:rsidR="005E42C9" w:rsidRPr="00432BBB" w14:paraId="306F0570" w14:textId="77777777" w:rsidTr="005E42C9">
              <w:tc>
                <w:tcPr>
                  <w:tcW w:w="3288" w:type="dxa"/>
                  <w:shd w:val="clear" w:color="auto" w:fill="auto"/>
                  <w:tcMar>
                    <w:left w:w="312" w:type="dxa"/>
                  </w:tcMar>
                </w:tcPr>
                <w:p w14:paraId="2E096A4C" w14:textId="417F66E3" w:rsidR="005E42C9" w:rsidRPr="00432BBB" w:rsidRDefault="005E42C9" w:rsidP="001A69D6">
                  <w:pPr>
                    <w:rPr>
                      <w:rFonts w:cs="Arial"/>
                      <w:sz w:val="18"/>
                      <w:szCs w:val="18"/>
                    </w:rPr>
                  </w:pPr>
                  <w:r w:rsidRPr="00432BBB">
                    <w:rPr>
                      <w:rFonts w:cs="Arial"/>
                      <w:sz w:val="18"/>
                      <w:szCs w:val="18"/>
                    </w:rPr>
                    <w:t>Cerebrovascular accident</w:t>
                  </w:r>
                </w:p>
              </w:tc>
              <w:tc>
                <w:tcPr>
                  <w:tcW w:w="1248" w:type="dxa"/>
                  <w:shd w:val="clear" w:color="auto" w:fill="auto"/>
                </w:tcPr>
                <w:p w14:paraId="3A3FA97F" w14:textId="35D2FEBE" w:rsidR="005E42C9" w:rsidRPr="00432BBB" w:rsidRDefault="005E42C9" w:rsidP="001A69D6">
                  <w:pPr>
                    <w:jc w:val="center"/>
                    <w:rPr>
                      <w:rFonts w:cs="Arial"/>
                      <w:sz w:val="18"/>
                      <w:szCs w:val="18"/>
                    </w:rPr>
                  </w:pPr>
                  <w:r w:rsidRPr="00432BBB">
                    <w:rPr>
                      <w:rFonts w:cs="Arial"/>
                      <w:sz w:val="18"/>
                      <w:szCs w:val="18"/>
                    </w:rPr>
                    <w:t>30+</w:t>
                  </w:r>
                </w:p>
              </w:tc>
              <w:tc>
                <w:tcPr>
                  <w:tcW w:w="1843" w:type="dxa"/>
                  <w:shd w:val="clear" w:color="auto" w:fill="auto"/>
                  <w:vAlign w:val="center"/>
                </w:tcPr>
                <w:p w14:paraId="37563658" w14:textId="7A839C4E" w:rsidR="005E42C9" w:rsidRPr="00432BBB" w:rsidRDefault="005E42C9" w:rsidP="001A69D6">
                  <w:pPr>
                    <w:jc w:val="center"/>
                    <w:rPr>
                      <w:rFonts w:cs="Arial"/>
                      <w:sz w:val="18"/>
                      <w:szCs w:val="18"/>
                    </w:rPr>
                  </w:pPr>
                  <w:r w:rsidRPr="00432BBB">
                    <w:rPr>
                      <w:rFonts w:cs="Arial"/>
                      <w:sz w:val="18"/>
                      <w:szCs w:val="18"/>
                    </w:rPr>
                    <w:t>207,348</w:t>
                  </w:r>
                </w:p>
              </w:tc>
              <w:tc>
                <w:tcPr>
                  <w:tcW w:w="2126" w:type="dxa"/>
                  <w:shd w:val="clear" w:color="auto" w:fill="auto"/>
                </w:tcPr>
                <w:p w14:paraId="016F9335" w14:textId="26106203" w:rsidR="005E42C9" w:rsidRPr="00432BBB" w:rsidRDefault="005E42C9" w:rsidP="001A69D6">
                  <w:pPr>
                    <w:jc w:val="center"/>
                    <w:rPr>
                      <w:rFonts w:cs="Arial"/>
                      <w:sz w:val="18"/>
                      <w:szCs w:val="18"/>
                    </w:rPr>
                  </w:pPr>
                  <w:r w:rsidRPr="00432BBB">
                    <w:rPr>
                      <w:rFonts w:cs="Arial"/>
                      <w:sz w:val="18"/>
                      <w:szCs w:val="18"/>
                    </w:rPr>
                    <w:t>6,601,211</w:t>
                  </w:r>
                </w:p>
              </w:tc>
            </w:tr>
            <w:tr w:rsidR="005E42C9" w:rsidRPr="00432BBB" w14:paraId="2D954826" w14:textId="77777777" w:rsidTr="005E42C9">
              <w:tc>
                <w:tcPr>
                  <w:tcW w:w="3288" w:type="dxa"/>
                  <w:shd w:val="clear" w:color="auto" w:fill="auto"/>
                  <w:tcMar>
                    <w:left w:w="312" w:type="dxa"/>
                  </w:tcMar>
                </w:tcPr>
                <w:p w14:paraId="2E306179" w14:textId="188F05AC" w:rsidR="005E42C9" w:rsidRPr="00432BBB" w:rsidRDefault="005E42C9" w:rsidP="001A69D6">
                  <w:pPr>
                    <w:rPr>
                      <w:rFonts w:cs="Arial"/>
                      <w:sz w:val="18"/>
                      <w:szCs w:val="18"/>
                    </w:rPr>
                  </w:pPr>
                  <w:r w:rsidRPr="00432BBB">
                    <w:rPr>
                      <w:rFonts w:cs="Arial"/>
                      <w:sz w:val="18"/>
                      <w:szCs w:val="18"/>
                    </w:rPr>
                    <w:t>Transient ischaemic attack</w:t>
                  </w:r>
                </w:p>
              </w:tc>
              <w:tc>
                <w:tcPr>
                  <w:tcW w:w="1248" w:type="dxa"/>
                  <w:shd w:val="clear" w:color="auto" w:fill="auto"/>
                </w:tcPr>
                <w:p w14:paraId="11181E63" w14:textId="5D8CC25D" w:rsidR="005E42C9" w:rsidRPr="00432BBB" w:rsidRDefault="005E42C9" w:rsidP="001A69D6">
                  <w:pPr>
                    <w:jc w:val="center"/>
                    <w:rPr>
                      <w:rFonts w:cs="Arial"/>
                      <w:sz w:val="18"/>
                      <w:szCs w:val="18"/>
                    </w:rPr>
                  </w:pPr>
                  <w:r w:rsidRPr="00432BBB">
                    <w:rPr>
                      <w:rFonts w:cs="Arial"/>
                      <w:sz w:val="18"/>
                      <w:szCs w:val="18"/>
                    </w:rPr>
                    <w:t>30+</w:t>
                  </w:r>
                </w:p>
              </w:tc>
              <w:tc>
                <w:tcPr>
                  <w:tcW w:w="1843" w:type="dxa"/>
                  <w:shd w:val="clear" w:color="auto" w:fill="auto"/>
                  <w:vAlign w:val="center"/>
                </w:tcPr>
                <w:p w14:paraId="6552795E" w14:textId="7C09493E" w:rsidR="005E42C9" w:rsidRPr="00432BBB" w:rsidRDefault="005E42C9" w:rsidP="001A69D6">
                  <w:pPr>
                    <w:jc w:val="center"/>
                    <w:rPr>
                      <w:rFonts w:cs="Arial"/>
                      <w:sz w:val="18"/>
                      <w:szCs w:val="18"/>
                    </w:rPr>
                  </w:pPr>
                  <w:r w:rsidRPr="00432BBB">
                    <w:rPr>
                      <w:rFonts w:cs="Arial"/>
                      <w:sz w:val="18"/>
                      <w:szCs w:val="18"/>
                    </w:rPr>
                    <w:t>68,333</w:t>
                  </w:r>
                </w:p>
              </w:tc>
              <w:tc>
                <w:tcPr>
                  <w:tcW w:w="2126" w:type="dxa"/>
                  <w:shd w:val="clear" w:color="auto" w:fill="auto"/>
                </w:tcPr>
                <w:p w14:paraId="2806F297" w14:textId="0B4BB91A" w:rsidR="005E42C9" w:rsidRPr="00432BBB" w:rsidRDefault="005E42C9" w:rsidP="001A69D6">
                  <w:pPr>
                    <w:jc w:val="center"/>
                    <w:rPr>
                      <w:rFonts w:cs="Arial"/>
                      <w:sz w:val="18"/>
                      <w:szCs w:val="18"/>
                    </w:rPr>
                  </w:pPr>
                  <w:r w:rsidRPr="00432BBB">
                    <w:rPr>
                      <w:rFonts w:cs="Arial"/>
                      <w:sz w:val="18"/>
                      <w:szCs w:val="18"/>
                    </w:rPr>
                    <w:t>6,601,211</w:t>
                  </w:r>
                </w:p>
              </w:tc>
            </w:tr>
            <w:tr w:rsidR="005E42C9" w:rsidRPr="00432BBB" w14:paraId="29675271" w14:textId="77777777" w:rsidTr="005E42C9">
              <w:tc>
                <w:tcPr>
                  <w:tcW w:w="3288" w:type="dxa"/>
                  <w:shd w:val="clear" w:color="auto" w:fill="auto"/>
                  <w:tcMar>
                    <w:left w:w="312" w:type="dxa"/>
                  </w:tcMar>
                </w:tcPr>
                <w:p w14:paraId="52FDA39C" w14:textId="2B91FF66" w:rsidR="005E42C9" w:rsidRPr="00432BBB" w:rsidRDefault="005E42C9" w:rsidP="001A69D6">
                  <w:pPr>
                    <w:rPr>
                      <w:rFonts w:cs="Arial"/>
                      <w:sz w:val="18"/>
                      <w:szCs w:val="18"/>
                    </w:rPr>
                  </w:pPr>
                  <w:r w:rsidRPr="00432BBB">
                    <w:rPr>
                      <w:rFonts w:cs="Arial"/>
                      <w:sz w:val="18"/>
                      <w:szCs w:val="18"/>
                    </w:rPr>
                    <w:t>Heart failure</w:t>
                  </w:r>
                </w:p>
              </w:tc>
              <w:tc>
                <w:tcPr>
                  <w:tcW w:w="1248" w:type="dxa"/>
                  <w:shd w:val="clear" w:color="auto" w:fill="auto"/>
                </w:tcPr>
                <w:p w14:paraId="677A6E49" w14:textId="1AFFACDF" w:rsidR="005E42C9" w:rsidRPr="00432BBB" w:rsidRDefault="005E42C9" w:rsidP="001A69D6">
                  <w:pPr>
                    <w:jc w:val="center"/>
                    <w:rPr>
                      <w:rFonts w:cs="Arial"/>
                      <w:sz w:val="18"/>
                      <w:szCs w:val="18"/>
                    </w:rPr>
                  </w:pPr>
                  <w:r w:rsidRPr="00432BBB">
                    <w:rPr>
                      <w:rFonts w:cs="Arial"/>
                      <w:sz w:val="18"/>
                      <w:szCs w:val="18"/>
                    </w:rPr>
                    <w:t>30+</w:t>
                  </w:r>
                </w:p>
              </w:tc>
              <w:tc>
                <w:tcPr>
                  <w:tcW w:w="1843" w:type="dxa"/>
                  <w:shd w:val="clear" w:color="auto" w:fill="auto"/>
                  <w:vAlign w:val="center"/>
                </w:tcPr>
                <w:p w14:paraId="5EE5E5D2" w14:textId="5D979F0E" w:rsidR="005E42C9" w:rsidRPr="00432BBB" w:rsidRDefault="005E42C9" w:rsidP="001A69D6">
                  <w:pPr>
                    <w:jc w:val="center"/>
                    <w:rPr>
                      <w:rFonts w:cs="Arial"/>
                      <w:sz w:val="18"/>
                      <w:szCs w:val="18"/>
                    </w:rPr>
                  </w:pPr>
                  <w:r w:rsidRPr="00432BBB">
                    <w:rPr>
                      <w:rFonts w:cs="Arial"/>
                      <w:sz w:val="18"/>
                      <w:szCs w:val="18"/>
                    </w:rPr>
                    <w:t>288,430</w:t>
                  </w:r>
                </w:p>
              </w:tc>
              <w:tc>
                <w:tcPr>
                  <w:tcW w:w="2126" w:type="dxa"/>
                  <w:shd w:val="clear" w:color="auto" w:fill="auto"/>
                </w:tcPr>
                <w:p w14:paraId="34AE9A6F" w14:textId="1CBDD732" w:rsidR="005E42C9" w:rsidRPr="00432BBB" w:rsidRDefault="005E42C9" w:rsidP="001A69D6">
                  <w:pPr>
                    <w:jc w:val="center"/>
                    <w:rPr>
                      <w:rFonts w:cs="Arial"/>
                      <w:sz w:val="18"/>
                      <w:szCs w:val="18"/>
                    </w:rPr>
                  </w:pPr>
                  <w:r w:rsidRPr="00432BBB">
                    <w:rPr>
                      <w:rFonts w:cs="Arial"/>
                      <w:sz w:val="18"/>
                      <w:szCs w:val="18"/>
                    </w:rPr>
                    <w:t>6,601,211</w:t>
                  </w:r>
                </w:p>
              </w:tc>
            </w:tr>
            <w:tr w:rsidR="005E42C9" w:rsidRPr="00432BBB" w14:paraId="7C09808B" w14:textId="77777777" w:rsidTr="005E42C9">
              <w:tc>
                <w:tcPr>
                  <w:tcW w:w="3288" w:type="dxa"/>
                  <w:tcBorders>
                    <w:bottom w:val="single" w:sz="4" w:space="0" w:color="auto"/>
                  </w:tcBorders>
                  <w:shd w:val="clear" w:color="auto" w:fill="auto"/>
                  <w:tcMar>
                    <w:left w:w="312" w:type="dxa"/>
                  </w:tcMar>
                </w:tcPr>
                <w:p w14:paraId="7BD282C7" w14:textId="39F55D59" w:rsidR="005E42C9" w:rsidRPr="00432BBB" w:rsidRDefault="005E42C9" w:rsidP="001A69D6">
                  <w:pPr>
                    <w:rPr>
                      <w:rFonts w:cs="Arial"/>
                      <w:sz w:val="18"/>
                      <w:szCs w:val="18"/>
                    </w:rPr>
                  </w:pPr>
                  <w:r w:rsidRPr="00432BBB">
                    <w:rPr>
                      <w:rFonts w:cs="Arial"/>
                      <w:sz w:val="18"/>
                      <w:szCs w:val="18"/>
                    </w:rPr>
                    <w:t>Venous thromboembolism</w:t>
                  </w:r>
                </w:p>
              </w:tc>
              <w:tc>
                <w:tcPr>
                  <w:tcW w:w="1248" w:type="dxa"/>
                  <w:tcBorders>
                    <w:bottom w:val="single" w:sz="4" w:space="0" w:color="auto"/>
                  </w:tcBorders>
                  <w:shd w:val="clear" w:color="auto" w:fill="auto"/>
                </w:tcPr>
                <w:p w14:paraId="55F0024E" w14:textId="150B046A" w:rsidR="005E42C9" w:rsidRPr="00432BBB" w:rsidRDefault="005E42C9" w:rsidP="001A69D6">
                  <w:pPr>
                    <w:jc w:val="center"/>
                    <w:rPr>
                      <w:rFonts w:cs="Arial"/>
                      <w:sz w:val="18"/>
                      <w:szCs w:val="18"/>
                    </w:rPr>
                  </w:pPr>
                  <w:r w:rsidRPr="00432BBB">
                    <w:rPr>
                      <w:rFonts w:cs="Arial"/>
                      <w:sz w:val="18"/>
                      <w:szCs w:val="18"/>
                    </w:rPr>
                    <w:t>30+</w:t>
                  </w:r>
                </w:p>
              </w:tc>
              <w:tc>
                <w:tcPr>
                  <w:tcW w:w="1843" w:type="dxa"/>
                  <w:tcBorders>
                    <w:bottom w:val="single" w:sz="4" w:space="0" w:color="auto"/>
                  </w:tcBorders>
                  <w:shd w:val="clear" w:color="auto" w:fill="auto"/>
                  <w:vAlign w:val="center"/>
                </w:tcPr>
                <w:p w14:paraId="73954778" w14:textId="62B50B41" w:rsidR="005E42C9" w:rsidRPr="00432BBB" w:rsidRDefault="005E42C9" w:rsidP="001A69D6">
                  <w:pPr>
                    <w:jc w:val="center"/>
                    <w:rPr>
                      <w:rFonts w:cs="Arial"/>
                      <w:sz w:val="18"/>
                      <w:szCs w:val="18"/>
                    </w:rPr>
                  </w:pPr>
                  <w:r w:rsidRPr="00432BBB">
                    <w:rPr>
                      <w:rFonts w:cs="Arial"/>
                      <w:sz w:val="18"/>
                      <w:szCs w:val="18"/>
                    </w:rPr>
                    <w:t>150,116</w:t>
                  </w:r>
                </w:p>
              </w:tc>
              <w:tc>
                <w:tcPr>
                  <w:tcW w:w="2126" w:type="dxa"/>
                  <w:tcBorders>
                    <w:bottom w:val="single" w:sz="4" w:space="0" w:color="auto"/>
                  </w:tcBorders>
                  <w:shd w:val="clear" w:color="auto" w:fill="auto"/>
                </w:tcPr>
                <w:p w14:paraId="40E3BE54" w14:textId="567DB805" w:rsidR="005E42C9" w:rsidRPr="00432BBB" w:rsidRDefault="005E42C9" w:rsidP="001A69D6">
                  <w:pPr>
                    <w:jc w:val="center"/>
                    <w:rPr>
                      <w:rFonts w:cs="Arial"/>
                      <w:sz w:val="18"/>
                      <w:szCs w:val="18"/>
                    </w:rPr>
                  </w:pPr>
                  <w:r w:rsidRPr="00432BBB">
                    <w:rPr>
                      <w:rFonts w:cs="Arial"/>
                      <w:sz w:val="18"/>
                      <w:szCs w:val="18"/>
                    </w:rPr>
                    <w:t>6,601,211</w:t>
                  </w:r>
                </w:p>
              </w:tc>
            </w:tr>
            <w:tr w:rsidR="005E42C9" w:rsidRPr="00432BBB" w14:paraId="56F6C03D" w14:textId="77777777" w:rsidTr="00432BBB">
              <w:tc>
                <w:tcPr>
                  <w:tcW w:w="3288" w:type="dxa"/>
                  <w:tcBorders>
                    <w:right w:val="nil"/>
                  </w:tcBorders>
                  <w:shd w:val="clear" w:color="auto" w:fill="F2F2F2" w:themeFill="background1" w:themeFillShade="F2"/>
                </w:tcPr>
                <w:p w14:paraId="51318811" w14:textId="67EE0885" w:rsidR="005E42C9" w:rsidRPr="00432BBB" w:rsidRDefault="005E42C9" w:rsidP="001A69D6">
                  <w:pPr>
                    <w:rPr>
                      <w:rFonts w:cs="Arial"/>
                      <w:i/>
                      <w:iCs/>
                      <w:sz w:val="18"/>
                      <w:szCs w:val="18"/>
                    </w:rPr>
                  </w:pPr>
                  <w:r w:rsidRPr="00432BBB">
                    <w:rPr>
                      <w:rFonts w:cs="Arial"/>
                      <w:i/>
                      <w:iCs/>
                      <w:sz w:val="18"/>
                      <w:szCs w:val="18"/>
                    </w:rPr>
                    <w:t>Alcohol</w:t>
                  </w:r>
                </w:p>
              </w:tc>
              <w:tc>
                <w:tcPr>
                  <w:tcW w:w="1248" w:type="dxa"/>
                  <w:tcBorders>
                    <w:left w:val="nil"/>
                    <w:right w:val="nil"/>
                  </w:tcBorders>
                  <w:shd w:val="clear" w:color="auto" w:fill="F2F2F2" w:themeFill="background1" w:themeFillShade="F2"/>
                </w:tcPr>
                <w:p w14:paraId="743DD967" w14:textId="77777777" w:rsidR="005E42C9" w:rsidRPr="00432BBB" w:rsidRDefault="005E42C9" w:rsidP="001A69D6">
                  <w:pPr>
                    <w:jc w:val="center"/>
                    <w:rPr>
                      <w:rFonts w:cs="Arial"/>
                      <w:sz w:val="18"/>
                      <w:szCs w:val="18"/>
                    </w:rPr>
                  </w:pPr>
                </w:p>
              </w:tc>
              <w:tc>
                <w:tcPr>
                  <w:tcW w:w="1843" w:type="dxa"/>
                  <w:tcBorders>
                    <w:left w:val="nil"/>
                    <w:right w:val="nil"/>
                  </w:tcBorders>
                  <w:shd w:val="clear" w:color="auto" w:fill="F2F2F2" w:themeFill="background1" w:themeFillShade="F2"/>
                  <w:vAlign w:val="center"/>
                </w:tcPr>
                <w:p w14:paraId="03CA2D79" w14:textId="77777777" w:rsidR="005E42C9" w:rsidRPr="00432BBB" w:rsidRDefault="005E42C9" w:rsidP="001A69D6">
                  <w:pPr>
                    <w:jc w:val="center"/>
                    <w:rPr>
                      <w:rFonts w:cs="Arial"/>
                      <w:sz w:val="18"/>
                      <w:szCs w:val="18"/>
                    </w:rPr>
                  </w:pPr>
                </w:p>
              </w:tc>
              <w:tc>
                <w:tcPr>
                  <w:tcW w:w="2126" w:type="dxa"/>
                  <w:tcBorders>
                    <w:left w:val="nil"/>
                  </w:tcBorders>
                  <w:shd w:val="clear" w:color="auto" w:fill="F2F2F2" w:themeFill="background1" w:themeFillShade="F2"/>
                </w:tcPr>
                <w:p w14:paraId="7E3F218B" w14:textId="77777777" w:rsidR="005E42C9" w:rsidRPr="00432BBB" w:rsidRDefault="005E42C9" w:rsidP="001A69D6">
                  <w:pPr>
                    <w:jc w:val="center"/>
                    <w:rPr>
                      <w:rFonts w:cs="Arial"/>
                      <w:sz w:val="18"/>
                      <w:szCs w:val="18"/>
                    </w:rPr>
                  </w:pPr>
                </w:p>
              </w:tc>
            </w:tr>
            <w:tr w:rsidR="005E42C9" w:rsidRPr="00432BBB" w14:paraId="08BCBDE2" w14:textId="77777777" w:rsidTr="0058562A">
              <w:tc>
                <w:tcPr>
                  <w:tcW w:w="3288" w:type="dxa"/>
                  <w:shd w:val="clear" w:color="auto" w:fill="auto"/>
                  <w:tcMar>
                    <w:left w:w="312" w:type="dxa"/>
                  </w:tcMar>
                </w:tcPr>
                <w:p w14:paraId="18BAE9B6" w14:textId="52EED8D3" w:rsidR="005E42C9" w:rsidRPr="00432BBB" w:rsidRDefault="005E42C9" w:rsidP="001A69D6">
                  <w:pPr>
                    <w:rPr>
                      <w:rFonts w:cs="Arial"/>
                      <w:sz w:val="18"/>
                      <w:szCs w:val="18"/>
                    </w:rPr>
                  </w:pPr>
                  <w:r w:rsidRPr="00432BBB">
                    <w:rPr>
                      <w:rFonts w:cs="Arial"/>
                      <w:sz w:val="18"/>
                      <w:szCs w:val="18"/>
                    </w:rPr>
                    <w:t>Alcohol-related harms</w:t>
                  </w:r>
                </w:p>
              </w:tc>
              <w:tc>
                <w:tcPr>
                  <w:tcW w:w="1248" w:type="dxa"/>
                  <w:shd w:val="clear" w:color="auto" w:fill="auto"/>
                </w:tcPr>
                <w:p w14:paraId="55A49C1F" w14:textId="3000F477" w:rsidR="005E42C9" w:rsidRPr="00432BBB" w:rsidRDefault="005E42C9" w:rsidP="001A69D6">
                  <w:pPr>
                    <w:jc w:val="center"/>
                    <w:rPr>
                      <w:rFonts w:cs="Arial"/>
                      <w:sz w:val="18"/>
                      <w:szCs w:val="18"/>
                    </w:rPr>
                  </w:pPr>
                  <w:r w:rsidRPr="00432BBB">
                    <w:rPr>
                      <w:rFonts w:cs="Arial"/>
                      <w:sz w:val="18"/>
                      <w:szCs w:val="18"/>
                    </w:rPr>
                    <w:t>18+</w:t>
                  </w:r>
                </w:p>
              </w:tc>
              <w:tc>
                <w:tcPr>
                  <w:tcW w:w="1843" w:type="dxa"/>
                  <w:shd w:val="clear" w:color="auto" w:fill="auto"/>
                  <w:vAlign w:val="center"/>
                </w:tcPr>
                <w:p w14:paraId="27062329" w14:textId="2FAF3C98" w:rsidR="005E42C9" w:rsidRPr="00432BBB" w:rsidRDefault="005E42C9" w:rsidP="001A69D6">
                  <w:pPr>
                    <w:jc w:val="center"/>
                    <w:rPr>
                      <w:rFonts w:cs="Arial"/>
                      <w:sz w:val="18"/>
                      <w:szCs w:val="18"/>
                    </w:rPr>
                  </w:pPr>
                  <w:r w:rsidRPr="00432BBB">
                    <w:rPr>
                      <w:rFonts w:cs="Arial"/>
                      <w:sz w:val="18"/>
                      <w:szCs w:val="18"/>
                    </w:rPr>
                    <w:t>28,497</w:t>
                  </w:r>
                </w:p>
              </w:tc>
              <w:tc>
                <w:tcPr>
                  <w:tcW w:w="2126" w:type="dxa"/>
                  <w:shd w:val="clear" w:color="auto" w:fill="auto"/>
                  <w:vAlign w:val="center"/>
                </w:tcPr>
                <w:p w14:paraId="317FA3D4" w14:textId="70B45202" w:rsidR="005E42C9" w:rsidRPr="00432BBB" w:rsidRDefault="005E42C9" w:rsidP="001A69D6">
                  <w:pPr>
                    <w:jc w:val="center"/>
                    <w:rPr>
                      <w:rFonts w:cs="Arial"/>
                      <w:sz w:val="18"/>
                      <w:szCs w:val="18"/>
                    </w:rPr>
                  </w:pPr>
                  <w:r w:rsidRPr="00432BBB">
                    <w:rPr>
                      <w:rFonts w:cs="Arial"/>
                      <w:sz w:val="18"/>
                      <w:szCs w:val="18"/>
                    </w:rPr>
                    <w:t>8,087,715</w:t>
                  </w:r>
                </w:p>
              </w:tc>
            </w:tr>
          </w:tbl>
          <w:p w14:paraId="33EECB9A" w14:textId="77777777" w:rsidR="0083285C" w:rsidRPr="00F5119F" w:rsidRDefault="0083285C" w:rsidP="001A69D6">
            <w:pPr>
              <w:rPr>
                <w:rFonts w:cs="Arial"/>
                <w:sz w:val="16"/>
                <w:szCs w:val="16"/>
              </w:rPr>
            </w:pPr>
            <w:r w:rsidRPr="00F5119F">
              <w:rPr>
                <w:rFonts w:cs="Arial"/>
                <w:sz w:val="16"/>
                <w:szCs w:val="16"/>
              </w:rPr>
              <w:t>The number of events recorded since 1</w:t>
            </w:r>
            <w:r w:rsidRPr="00F5119F">
              <w:rPr>
                <w:rFonts w:cs="Arial"/>
                <w:sz w:val="16"/>
                <w:szCs w:val="16"/>
                <w:vertAlign w:val="superscript"/>
              </w:rPr>
              <w:t>st</w:t>
            </w:r>
            <w:r w:rsidRPr="00F5119F">
              <w:rPr>
                <w:rFonts w:cs="Arial"/>
                <w:sz w:val="16"/>
                <w:szCs w:val="16"/>
              </w:rPr>
              <w:t xml:space="preserve"> January 2017 were estimated as numerator for different outcomes of interest. The number of people who were alive and registered with GP for at least 1 year in the practice with latest date of data collection on or after 1</w:t>
            </w:r>
            <w:r w:rsidRPr="00F5119F">
              <w:rPr>
                <w:rFonts w:cs="Arial"/>
                <w:sz w:val="16"/>
                <w:szCs w:val="16"/>
                <w:vertAlign w:val="superscript"/>
              </w:rPr>
              <w:t>st</w:t>
            </w:r>
            <w:r w:rsidRPr="00F5119F">
              <w:rPr>
                <w:rFonts w:cs="Arial"/>
                <w:sz w:val="16"/>
                <w:szCs w:val="16"/>
              </w:rPr>
              <w:t xml:space="preserve"> Jan 2017 were estimated as denominator except diabetes emergency, asthma acute exacerbation and COPD acute exacerbation.</w:t>
            </w:r>
          </w:p>
          <w:p w14:paraId="6B05B46D" w14:textId="77777777" w:rsidR="0083285C" w:rsidRPr="00F5119F" w:rsidRDefault="0083285C" w:rsidP="001A69D6">
            <w:pPr>
              <w:rPr>
                <w:rFonts w:cs="Arial"/>
                <w:sz w:val="16"/>
                <w:szCs w:val="16"/>
              </w:rPr>
            </w:pPr>
            <w:r w:rsidRPr="00F5119F">
              <w:rPr>
                <w:rFonts w:cs="Arial"/>
                <w:sz w:val="16"/>
                <w:szCs w:val="16"/>
              </w:rPr>
              <w:lastRenderedPageBreak/>
              <w:t>*Number of people who had a record of diabetes before 1</w:t>
            </w:r>
            <w:r w:rsidRPr="00F5119F">
              <w:rPr>
                <w:rFonts w:cs="Arial"/>
                <w:sz w:val="16"/>
                <w:szCs w:val="16"/>
                <w:vertAlign w:val="superscript"/>
              </w:rPr>
              <w:t>st</w:t>
            </w:r>
            <w:r w:rsidRPr="00F5119F">
              <w:rPr>
                <w:rFonts w:cs="Arial"/>
                <w:sz w:val="16"/>
                <w:szCs w:val="16"/>
              </w:rPr>
              <w:t xml:space="preserve"> January 2017.</w:t>
            </w:r>
          </w:p>
          <w:p w14:paraId="54E79F80" w14:textId="77777777" w:rsidR="0083285C" w:rsidRPr="00F5119F" w:rsidRDefault="0083285C" w:rsidP="001A69D6">
            <w:pPr>
              <w:rPr>
                <w:rFonts w:cs="Arial"/>
                <w:sz w:val="16"/>
                <w:szCs w:val="16"/>
              </w:rPr>
            </w:pPr>
            <w:proofErr w:type="spellStart"/>
            <w:r w:rsidRPr="00F5119F">
              <w:rPr>
                <w:rFonts w:cs="Arial"/>
                <w:sz w:val="16"/>
                <w:szCs w:val="16"/>
                <w:vertAlign w:val="superscript"/>
              </w:rPr>
              <w:t>a</w:t>
            </w:r>
            <w:r w:rsidRPr="00F5119F">
              <w:rPr>
                <w:rFonts w:cs="Arial"/>
                <w:sz w:val="16"/>
                <w:szCs w:val="16"/>
              </w:rPr>
              <w:t>Number</w:t>
            </w:r>
            <w:proofErr w:type="spellEnd"/>
            <w:r w:rsidRPr="00F5119F">
              <w:rPr>
                <w:rFonts w:cs="Arial"/>
                <w:sz w:val="16"/>
                <w:szCs w:val="16"/>
              </w:rPr>
              <w:t xml:space="preserve"> of people who had a record of asthma before 1</w:t>
            </w:r>
            <w:r w:rsidRPr="00F5119F">
              <w:rPr>
                <w:rFonts w:cs="Arial"/>
                <w:sz w:val="16"/>
                <w:szCs w:val="16"/>
                <w:vertAlign w:val="superscript"/>
              </w:rPr>
              <w:t>st</w:t>
            </w:r>
            <w:r w:rsidRPr="00F5119F">
              <w:rPr>
                <w:rFonts w:cs="Arial"/>
                <w:sz w:val="16"/>
                <w:szCs w:val="16"/>
              </w:rPr>
              <w:t xml:space="preserve"> January 2017.</w:t>
            </w:r>
          </w:p>
          <w:p w14:paraId="666B1E26" w14:textId="73EA80E8" w:rsidR="00064252" w:rsidRPr="005B6E36" w:rsidRDefault="0083285C" w:rsidP="001A69D6">
            <w:pPr>
              <w:spacing w:after="120"/>
              <w:rPr>
                <w:rFonts w:cs="Arial"/>
                <w:sz w:val="16"/>
                <w:szCs w:val="16"/>
              </w:rPr>
            </w:pPr>
            <w:proofErr w:type="spellStart"/>
            <w:r w:rsidRPr="00F5119F">
              <w:rPr>
                <w:rFonts w:cs="Arial"/>
                <w:sz w:val="16"/>
                <w:szCs w:val="16"/>
                <w:vertAlign w:val="superscript"/>
              </w:rPr>
              <w:t>b</w:t>
            </w:r>
            <w:r w:rsidRPr="00F5119F">
              <w:rPr>
                <w:rFonts w:cs="Arial"/>
                <w:sz w:val="16"/>
                <w:szCs w:val="16"/>
              </w:rPr>
              <w:t>Number</w:t>
            </w:r>
            <w:proofErr w:type="spellEnd"/>
            <w:r w:rsidRPr="00F5119F">
              <w:rPr>
                <w:rFonts w:cs="Arial"/>
                <w:sz w:val="16"/>
                <w:szCs w:val="16"/>
              </w:rPr>
              <w:t xml:space="preserve"> of people who had a record of COPD before 1</w:t>
            </w:r>
            <w:r w:rsidRPr="00F5119F">
              <w:rPr>
                <w:rFonts w:cs="Arial"/>
                <w:sz w:val="16"/>
                <w:szCs w:val="16"/>
                <w:vertAlign w:val="superscript"/>
              </w:rPr>
              <w:t>st</w:t>
            </w:r>
            <w:r w:rsidRPr="00F5119F">
              <w:rPr>
                <w:rFonts w:cs="Arial"/>
                <w:sz w:val="16"/>
                <w:szCs w:val="16"/>
              </w:rPr>
              <w:t xml:space="preserve"> January 2017.</w:t>
            </w:r>
          </w:p>
        </w:tc>
      </w:tr>
      <w:tr w:rsidR="00672602" w:rsidRPr="00CD13D5" w14:paraId="20A3F292" w14:textId="77777777" w:rsidTr="001A69D6">
        <w:trPr>
          <w:cantSplit/>
        </w:trPr>
        <w:tc>
          <w:tcPr>
            <w:tcW w:w="10456" w:type="dxa"/>
            <w:tcBorders>
              <w:bottom w:val="single" w:sz="4" w:space="0" w:color="auto"/>
            </w:tcBorders>
            <w:shd w:val="clear" w:color="auto" w:fill="auto"/>
          </w:tcPr>
          <w:p w14:paraId="7E2B0B8B" w14:textId="77777777" w:rsidR="00672602" w:rsidRPr="00CD13D5" w:rsidRDefault="00672602" w:rsidP="001A69D6">
            <w:pPr>
              <w:pStyle w:val="Heading2"/>
              <w:numPr>
                <w:ilvl w:val="0"/>
                <w:numId w:val="8"/>
              </w:numPr>
            </w:pPr>
            <w:r w:rsidRPr="00CD13D5">
              <w:lastRenderedPageBreak/>
              <w:t>Sample size considerations</w:t>
            </w:r>
          </w:p>
          <w:p w14:paraId="2ADC489D" w14:textId="6E371980" w:rsidR="00CB1AFA" w:rsidRDefault="00D2364F" w:rsidP="001A69D6">
            <w:pPr>
              <w:spacing w:after="120"/>
            </w:pPr>
            <w:r>
              <w:t xml:space="preserve">Our initial </w:t>
            </w:r>
            <w:r w:rsidR="00CB1AFA">
              <w:t xml:space="preserve">analyses will be descriptive only and therefore </w:t>
            </w:r>
            <w:r w:rsidR="00742516">
              <w:t>un</w:t>
            </w:r>
            <w:r w:rsidR="00CB1AFA">
              <w:t xml:space="preserve">affected by statistical power concerns. However, to preserve confidentiality, we will supress any estimates </w:t>
            </w:r>
            <w:r w:rsidR="00FD2C2D">
              <w:t>of</w:t>
            </w:r>
            <w:r w:rsidR="00CB1AFA">
              <w:t xml:space="preserve"> weekly proportions of individuals </w:t>
            </w:r>
            <w:r w:rsidR="00EE36CF">
              <w:t>experiencing</w:t>
            </w:r>
            <w:r w:rsidR="00CB1AFA">
              <w:t xml:space="preserve"> </w:t>
            </w:r>
            <w:r w:rsidR="00FD2C2D">
              <w:t>an</w:t>
            </w:r>
            <w:r w:rsidR="00CB1AFA">
              <w:t xml:space="preserve"> outcome where</w:t>
            </w:r>
            <w:r w:rsidR="00FD2C2D">
              <w:t xml:space="preserve"> outcome</w:t>
            </w:r>
            <w:r w:rsidR="00CB1AFA">
              <w:t xml:space="preserve"> event counts are less than five. We do not expect </w:t>
            </w:r>
            <w:r w:rsidR="00742516">
              <w:t>that we will need</w:t>
            </w:r>
            <w:r w:rsidR="00511D98">
              <w:t xml:space="preserve"> to suppress any event counts</w:t>
            </w:r>
            <w:r w:rsidR="0069502D">
              <w:t xml:space="preserve"> </w:t>
            </w:r>
            <w:r w:rsidR="00742516">
              <w:t xml:space="preserve">for estimates of </w:t>
            </w:r>
            <w:r w:rsidR="00511D98">
              <w:t xml:space="preserve">weekly outcomes </w:t>
            </w:r>
            <w:r w:rsidR="00A551C7">
              <w:t>in the whole study population</w:t>
            </w:r>
            <w:r w:rsidR="00CB1AFA">
              <w:t xml:space="preserve">, </w:t>
            </w:r>
            <w:r w:rsidR="00A551C7">
              <w:t xml:space="preserve">since </w:t>
            </w:r>
            <w:r w:rsidR="00CB1AFA">
              <w:t>as outlined above (</w:t>
            </w:r>
            <w:r w:rsidR="00CB1AFA" w:rsidRPr="00A551C7">
              <w:rPr>
                <w:b/>
                <w:bCs/>
              </w:rPr>
              <w:t>Section I</w:t>
            </w:r>
            <w:r w:rsidR="00CB1AFA">
              <w:t>) we expect to have more than five outcome events each week for all outcomes under investigation. However, in subsequent analyses</w:t>
            </w:r>
            <w:r w:rsidR="00461D65">
              <w:t>,</w:t>
            </w:r>
            <w:r w:rsidR="00CB1AFA">
              <w:t xml:space="preserve"> where we stratify results by </w:t>
            </w:r>
            <w:r w:rsidR="00A551C7">
              <w:t>age, sex, ethnicity, etc</w:t>
            </w:r>
            <w:r w:rsidR="00461D65">
              <w:t xml:space="preserve"> (see </w:t>
            </w:r>
            <w:r w:rsidR="00461D65" w:rsidRPr="00461D65">
              <w:rPr>
                <w:b/>
                <w:bCs/>
              </w:rPr>
              <w:t>Section N</w:t>
            </w:r>
            <w:r w:rsidR="00461D65">
              <w:t>)</w:t>
            </w:r>
            <w:r w:rsidR="00A551C7">
              <w:t>, we may need to sup</w:t>
            </w:r>
            <w:r w:rsidR="00461D65">
              <w:t>press some stratum-specific event counts</w:t>
            </w:r>
            <w:r w:rsidR="003709A2">
              <w:t xml:space="preserve">. We may also </w:t>
            </w:r>
            <w:r w:rsidR="00F753BE">
              <w:t>consider aggregating data by months (instead of weeks) for less common outcomes</w:t>
            </w:r>
            <w:r w:rsidR="00461D65">
              <w:t>.</w:t>
            </w:r>
          </w:p>
          <w:p w14:paraId="696346E7" w14:textId="52DA23C8" w:rsidR="004F4727" w:rsidRPr="00CD13D5" w:rsidRDefault="004F4727" w:rsidP="001A69D6">
            <w:pPr>
              <w:spacing w:after="120"/>
            </w:pPr>
            <w:r w:rsidRPr="004F4727">
              <w:t>Interrupted time series designs require a sample size per time point, but exact formulae to calculate them do not exist, as they require specification of the total number of time points, the location of the ‘interruption’ (</w:t>
            </w:r>
            <w:r>
              <w:t>i.e. when lockdown measures introduced for this study</w:t>
            </w:r>
            <w:r w:rsidRPr="004F4727">
              <w:t>) within the series, the nature of the interruption (for example as a step change or slope change) and the prevalence of the pre-interruption outcome in addition to the anticipated effect size, precision, power and alpha. These extra parameters vary across our planned analyses. Recent work using simulations gives some insight on the effect of these extra parameters, and suggests that in a linear regression model with 48 time points, a late interruption (i.e. beyond the halfway time point), a step change and a pre-interruption prevalence of 3.5%, 3</w:t>
            </w:r>
            <w:r w:rsidR="004E202D">
              <w:t>,</w:t>
            </w:r>
            <w:r w:rsidRPr="004F4727">
              <w:t>000 individuals</w:t>
            </w:r>
            <w:r w:rsidR="00E43CF6">
              <w:t xml:space="preserve"> (i.e. denominator population)</w:t>
            </w:r>
            <w:r w:rsidR="004E202D">
              <w:t xml:space="preserve"> </w:t>
            </w:r>
            <w:r w:rsidRPr="004F4727">
              <w:t>per time point would have nearly 100% power to detect a two-fold change at the 5% level.</w:t>
            </w:r>
            <w:r w:rsidR="00100D0E">
              <w:fldChar w:fldCharType="begin" w:fldLock="1"/>
            </w:r>
            <w:r w:rsidR="006C4DC9">
              <w:instrText>ADDIN CSL_CITATION {"citationItems":[{"id":"ITEM-1","itemData":{"DOI":"10.2147/CLEP.S176723","ISSN":"11791349","abstract":"Interrupted time series (ITS) analysis is being increasingly used in epidemiology. Despite its growing popularity, there is a scarcity of guidance on power and sample size considerations within the ITS framework. Our aim of this study was to assess the statistical power to detect an intervention effect under various real-life ITS scenarios. ITS datasets were created using Monte Carlo simulations to generate cumulative incidence (outcome) values over time. We generated 1,000 datasets per scenario, varying the number of time points, average sample size per time point, average relative reduction post intervention, location of intervention in the time series, and reduction mediated via a 1) slope change and 2) step change. Performance measures included power and percentage bias. We found that sample size per time point had a large impact on power. Even in scenarios with 12 pre-intervention and 12 post-intervention time points with moderate intervention effect sizes, most analyses were underpowered if the sample size per time point was low. We conclude that various factors need to be collectively considered to ensure adequate power for an ITS study. We demonstrate a means of providing insight into underlying sample size requirements in ordinary least squares (OLS) ITS analysis of cumulative incidence measures, based on prespecified parameters and have developed Stata code to estimate this.","author":[{"dropping-particle":"","family":"Hawley","given":"Samuel","non-dropping-particle":"","parse-names":false,"suffix":""},{"dropping-particle":"","family":"Ali","given":"M. Sanni","non-dropping-particle":"","parse-names":false,"suffix":""},{"dropping-particle":"","family":"Berencsi","given":"Klara","non-dropping-particle":"","parse-names":false,"suffix":""},{"dropping-particle":"","family":"Judge","given":"Andrew","non-dropping-particle":"","parse-names":false,"suffix":""},{"dropping-particle":"","family":"Prieto-Alhambra","given":"Daniel","non-dropping-particle":"","parse-names":false,"suffix":""}],"container-title":"Clinical Epidemiology","id":"ITEM-1","issued":{"date-parts":[["2019"]]},"title":"Sample size and power considerations for ordinary least squares interrupted time series analysis: A simulation study","type":"article-journal"},"uris":["http://www.mendeley.com/documents/?uuid=f68d466d-7006-4995-aabd-3247479dee33"]}],"mendeley":{"formattedCitation":"&lt;sup&gt;14&lt;/sup&gt;","plainTextFormattedCitation":"14","previouslyFormattedCitation":"&lt;sup&gt;14&lt;/sup&gt;"},"properties":{"noteIndex":0},"schema":"https://github.com/citation-style-language/schema/raw/master/csl-citation.json"}</w:instrText>
            </w:r>
            <w:r w:rsidR="00100D0E">
              <w:fldChar w:fldCharType="separate"/>
            </w:r>
            <w:r w:rsidR="002349E3" w:rsidRPr="002349E3">
              <w:rPr>
                <w:noProof/>
                <w:vertAlign w:val="superscript"/>
              </w:rPr>
              <w:t>14</w:t>
            </w:r>
            <w:r w:rsidR="00100D0E">
              <w:fldChar w:fldCharType="end"/>
            </w:r>
            <w:r w:rsidRPr="004F4727">
              <w:t xml:space="preserve"> Practically, we would extract data from all people experiencing the outcome of interest in a given time period and calculate the proportion they represent of </w:t>
            </w:r>
            <w:r w:rsidR="00D74B19">
              <w:t xml:space="preserve">the denominator </w:t>
            </w:r>
            <w:r w:rsidRPr="004F4727">
              <w:t>population</w:t>
            </w:r>
            <w:r w:rsidR="00D74B19">
              <w:t xml:space="preserve"> (vary depending on outcome, see </w:t>
            </w:r>
            <w:r w:rsidR="00D74B19" w:rsidRPr="00D74B19">
              <w:rPr>
                <w:b/>
                <w:bCs/>
              </w:rPr>
              <w:t>Section L</w:t>
            </w:r>
            <w:r w:rsidR="00D74B19">
              <w:t>)</w:t>
            </w:r>
            <w:r w:rsidRPr="004F4727">
              <w:t xml:space="preserve">. As detailed in </w:t>
            </w:r>
            <w:r w:rsidRPr="00100D0E">
              <w:rPr>
                <w:b/>
                <w:bCs/>
              </w:rPr>
              <w:t xml:space="preserve">Section </w:t>
            </w:r>
            <w:r w:rsidR="00D74B19">
              <w:rPr>
                <w:b/>
                <w:bCs/>
              </w:rPr>
              <w:t>I</w:t>
            </w:r>
            <w:r w:rsidRPr="004F4727">
              <w:t>, for our study outcomes, sample size will be higher than 3,000 individuals per time point.</w:t>
            </w:r>
          </w:p>
        </w:tc>
      </w:tr>
      <w:tr w:rsidR="00672602" w:rsidRPr="00CD13D5" w14:paraId="2FBFDB10" w14:textId="77777777" w:rsidTr="001A69D6">
        <w:tc>
          <w:tcPr>
            <w:tcW w:w="10456" w:type="dxa"/>
            <w:shd w:val="clear" w:color="auto" w:fill="auto"/>
          </w:tcPr>
          <w:p w14:paraId="62432A7B" w14:textId="77777777" w:rsidR="00672602" w:rsidRPr="00CD13D5" w:rsidRDefault="00672602" w:rsidP="001A69D6">
            <w:pPr>
              <w:pStyle w:val="Heading2"/>
              <w:numPr>
                <w:ilvl w:val="0"/>
                <w:numId w:val="8"/>
              </w:numPr>
            </w:pPr>
            <w:r w:rsidRPr="00CD13D5">
              <w:t>Planned use of linked data (if applicable):</w:t>
            </w:r>
          </w:p>
          <w:p w14:paraId="318F51C1" w14:textId="1FF253DF" w:rsidR="00E10B80" w:rsidRDefault="00E10B80" w:rsidP="001A69D6">
            <w:pPr>
              <w:spacing w:after="120"/>
            </w:pPr>
            <w:r>
              <w:t>D</w:t>
            </w:r>
            <w:r w:rsidRPr="00E10B80">
              <w:t xml:space="preserve">emonstrating and quantifying </w:t>
            </w:r>
            <w:r>
              <w:t>the key</w:t>
            </w:r>
            <w:r w:rsidRPr="00E10B80">
              <w:t xml:space="preserve"> </w:t>
            </w:r>
            <w:r>
              <w:t xml:space="preserve">acute </w:t>
            </w:r>
            <w:r w:rsidRPr="00E10B80">
              <w:t xml:space="preserve">physical and mental health </w:t>
            </w:r>
            <w:r>
              <w:t>outcomes that we have chosen to study</w:t>
            </w:r>
            <w:r w:rsidRPr="00E10B80">
              <w:t xml:space="preserve"> at population-level is important for public health planning and policy implementation during the pandemic and when/if the COVID-19 pandemic is under control. Evidence for urgent need will immediately help policymakers reallocate healthcare resources after the lockdown is lifted. Using linked data is essential to help us better answer </w:t>
            </w:r>
            <w:r w:rsidR="002D49C3">
              <w:t>our research</w:t>
            </w:r>
            <w:r w:rsidRPr="00E10B80">
              <w:t xml:space="preserve"> questions</w:t>
            </w:r>
            <w:r>
              <w:t xml:space="preserve">, we outline </w:t>
            </w:r>
            <w:r w:rsidRPr="00E10B80">
              <w:t xml:space="preserve">specific justifications </w:t>
            </w:r>
            <w:r>
              <w:t>for each linkage requested</w:t>
            </w:r>
            <w:r w:rsidRPr="00E10B80">
              <w:t xml:space="preserve"> below.</w:t>
            </w:r>
          </w:p>
          <w:p w14:paraId="025A6C37" w14:textId="63BB18AA" w:rsidR="00E10B80" w:rsidRPr="00E10B80" w:rsidRDefault="00E10B80" w:rsidP="001A69D6">
            <w:pPr>
              <w:rPr>
                <w:b/>
                <w:bCs/>
              </w:rPr>
            </w:pPr>
            <w:r w:rsidRPr="00E10B80">
              <w:rPr>
                <w:b/>
                <w:bCs/>
              </w:rPr>
              <w:t>Hospital Episode Statistics – admitted patient care (HES APC)</w:t>
            </w:r>
            <w:r w:rsidR="000C1879">
              <w:rPr>
                <w:b/>
                <w:bCs/>
              </w:rPr>
              <w:t xml:space="preserve"> </w:t>
            </w:r>
          </w:p>
          <w:p w14:paraId="7A5B0119" w14:textId="352157C7" w:rsidR="00804A89" w:rsidRDefault="00E10B80" w:rsidP="001A69D6">
            <w:pPr>
              <w:spacing w:after="120"/>
            </w:pPr>
            <w:r>
              <w:t>We will only use hospital admissions</w:t>
            </w:r>
            <w:r w:rsidR="00856A6F">
              <w:t xml:space="preserve"> data</w:t>
            </w:r>
            <w:r w:rsidR="000C1879">
              <w:t xml:space="preserve"> </w:t>
            </w:r>
            <w:r>
              <w:t>in sensitivity analyses where we will restrict to those eligible for HES linkage to more completely capture and accurately date acute outcomes. We will conduct our initial analyses using primary care data only, in order to deliver answers to our research questions rapidly. HES data will be included in sensitivity analyses, once the current lag in HES data is resolved.</w:t>
            </w:r>
          </w:p>
          <w:p w14:paraId="5F105166" w14:textId="4DB69B86" w:rsidR="00E10B80" w:rsidRDefault="00804A89" w:rsidP="001A69D6">
            <w:pPr>
              <w:spacing w:after="120"/>
            </w:pPr>
            <w:r>
              <w:t>If funding permits, we will also explore the use of HES Accident and Emergency data to more fully capture and date outcome events</w:t>
            </w:r>
            <w:r w:rsidR="00253C18">
              <w:t xml:space="preserve"> in follow-up sensitivity analyses</w:t>
            </w:r>
            <w:r>
              <w:t>.</w:t>
            </w:r>
          </w:p>
          <w:p w14:paraId="288AFA7A" w14:textId="182CCA09" w:rsidR="00E10B80" w:rsidRPr="00E10B80" w:rsidRDefault="00E10B80" w:rsidP="001A69D6">
            <w:pPr>
              <w:rPr>
                <w:b/>
                <w:bCs/>
              </w:rPr>
            </w:pPr>
            <w:r w:rsidRPr="00E10B80">
              <w:rPr>
                <w:b/>
                <w:bCs/>
              </w:rPr>
              <w:t>ONS – death data</w:t>
            </w:r>
          </w:p>
          <w:p w14:paraId="1B692470" w14:textId="7192EF83" w:rsidR="00E10B80" w:rsidRDefault="00E10B80" w:rsidP="001A69D6">
            <w:pPr>
              <w:spacing w:after="120"/>
            </w:pPr>
            <w:r>
              <w:t xml:space="preserve">We will use </w:t>
            </w:r>
            <w:r w:rsidR="00C1394E">
              <w:t>up to date</w:t>
            </w:r>
            <w:r w:rsidR="005B65E7">
              <w:t xml:space="preserve"> </w:t>
            </w:r>
            <w:r>
              <w:t xml:space="preserve">ONS death data when it </w:t>
            </w:r>
            <w:r w:rsidR="005B65E7">
              <w:t>becomes</w:t>
            </w:r>
            <w:r>
              <w:t xml:space="preserve"> available</w:t>
            </w:r>
            <w:r w:rsidR="009A0091">
              <w:t xml:space="preserve"> in </w:t>
            </w:r>
            <w:r w:rsidR="00A9088B">
              <w:t>secondary</w:t>
            </w:r>
            <w:r w:rsidR="009A0091">
              <w:t xml:space="preserve"> analyses</w:t>
            </w:r>
            <w:r>
              <w:t xml:space="preserve"> to capture instances where our outcomes of interest have resulted in death</w:t>
            </w:r>
            <w:r w:rsidR="00E8681B">
              <w:t xml:space="preserve"> (</w:t>
            </w:r>
            <w:r w:rsidR="00E8681B" w:rsidRPr="00031154">
              <w:rPr>
                <w:b/>
                <w:bCs/>
              </w:rPr>
              <w:t>Section O</w:t>
            </w:r>
            <w:r w:rsidR="00E8681B">
              <w:t>)</w:t>
            </w:r>
            <w:r>
              <w:t xml:space="preserve">. </w:t>
            </w:r>
          </w:p>
          <w:p w14:paraId="011C467C" w14:textId="0D442700" w:rsidR="00E10B80" w:rsidRPr="00C1394E" w:rsidRDefault="00E10B80" w:rsidP="001A69D6">
            <w:pPr>
              <w:rPr>
                <w:b/>
                <w:bCs/>
              </w:rPr>
            </w:pPr>
            <w:r w:rsidRPr="00C1394E">
              <w:rPr>
                <w:b/>
                <w:bCs/>
              </w:rPr>
              <w:t xml:space="preserve">Carstairs </w:t>
            </w:r>
            <w:r w:rsidR="00D277ED">
              <w:rPr>
                <w:b/>
                <w:bCs/>
              </w:rPr>
              <w:t>i</w:t>
            </w:r>
            <w:r w:rsidRPr="00C1394E">
              <w:rPr>
                <w:b/>
                <w:bCs/>
              </w:rPr>
              <w:t>ndex</w:t>
            </w:r>
          </w:p>
          <w:p w14:paraId="023427C8" w14:textId="47F7BBC4" w:rsidR="00C1394E" w:rsidRDefault="00C1394E" w:rsidP="001A69D6">
            <w:pPr>
              <w:spacing w:after="120"/>
            </w:pPr>
            <w:r>
              <w:t>We will use quintiles of practice-level Carstairs as a measure of socioeconomic deprivation (</w:t>
            </w:r>
            <w:r w:rsidR="00E10B80">
              <w:t>scores are comparable between the different countries of the UK</w:t>
            </w:r>
            <w:r>
              <w:t>)</w:t>
            </w:r>
            <w:r w:rsidR="00D277ED">
              <w:t xml:space="preserve"> to explore whether the changes in the burden of outcome measures are different when stratified by </w:t>
            </w:r>
            <w:r w:rsidR="009C241E">
              <w:t>deprivation</w:t>
            </w:r>
            <w:r w:rsidR="00D277ED">
              <w:t xml:space="preserve">. </w:t>
            </w:r>
          </w:p>
          <w:p w14:paraId="15118D35" w14:textId="2350C534" w:rsidR="00E10B80" w:rsidRPr="00D277ED" w:rsidRDefault="00E10B80" w:rsidP="001A69D6">
            <w:pPr>
              <w:rPr>
                <w:b/>
                <w:bCs/>
              </w:rPr>
            </w:pPr>
            <w:r w:rsidRPr="00D277ED">
              <w:rPr>
                <w:b/>
                <w:bCs/>
              </w:rPr>
              <w:t>Rural-</w:t>
            </w:r>
            <w:r w:rsidR="00D277ED">
              <w:rPr>
                <w:b/>
                <w:bCs/>
              </w:rPr>
              <w:t>u</w:t>
            </w:r>
            <w:r w:rsidRPr="00D277ED">
              <w:rPr>
                <w:b/>
                <w:bCs/>
              </w:rPr>
              <w:t xml:space="preserve">rban </w:t>
            </w:r>
            <w:r w:rsidR="00D277ED">
              <w:rPr>
                <w:b/>
                <w:bCs/>
              </w:rPr>
              <w:t>c</w:t>
            </w:r>
            <w:r w:rsidRPr="00D277ED">
              <w:rPr>
                <w:b/>
                <w:bCs/>
              </w:rPr>
              <w:t>lassification</w:t>
            </w:r>
          </w:p>
          <w:p w14:paraId="1641D0FB" w14:textId="77777777" w:rsidR="00100D0E" w:rsidRDefault="00E10B80" w:rsidP="001A69D6">
            <w:pPr>
              <w:spacing w:after="120"/>
            </w:pPr>
            <w:r>
              <w:t>We will use the location of the GP practice in a rural or urban area</w:t>
            </w:r>
            <w:r w:rsidR="00D277ED">
              <w:t xml:space="preserve"> to explore whether the changes in the burden of outcome measures are different in rural and urban areas. </w:t>
            </w:r>
            <w:r>
              <w:t xml:space="preserve">In the context of this study, we believe rural-urban practice location and Carstairs </w:t>
            </w:r>
            <w:r w:rsidR="00D81EC3">
              <w:t>will</w:t>
            </w:r>
            <w:r>
              <w:t xml:space="preserve"> capture distinct </w:t>
            </w:r>
            <w:r w:rsidR="00D81EC3">
              <w:t>aspect</w:t>
            </w:r>
            <w:r>
              <w:t>s.</w:t>
            </w:r>
            <w:r w:rsidR="00100D0E">
              <w:fldChar w:fldCharType="begin" w:fldLock="1"/>
            </w:r>
            <w:r w:rsidR="006C4DC9">
              <w:instrText>ADDIN CSL_CITATION {"citationItems":[{"id":"ITEM-1","itemData":{"DOI":"10.1192/bjp.bp.105.008714","ISSN":"00071250","abstract":"Background: Some UK studies have reported an urban excess in the prevalence of the most common mental disorders of anxiety and depression. Aims: To investigate rural/non-rural differences in the onset and maintenance of episodes of common mental disorders, after adjusting for the characteristics of respondents and their households. Method: A 12-month cohort study of 7659 adults aged 16-74 years living in 4338 private households, nested within 626 electoral wards in England. Wales and Scotland. Common mental disorders were assessed using the General Health Questionnaire (GHQ). Electoral wards were characterised by Office for National Statistics classification and by population density. Data were analysed using multilevel statistical modelling. Results: Rural residents had slightly better mental health than non-rural counter parts. The effects of geographical location on the mental health of participants were neither significantly confounded nor modified by socioeconomic status, employment status or household income. Conclusions: There are small but statistically significant differences in rates of common mental disorders between urban and rural residents. Quantifying between-place differences using population density alone risks missing important contextual effects on mental health.","author":[{"dropping-particle":"","family":"Weich","given":"Scott","non-dropping-particle":"","parse-names":false,"suffix":""},{"dropping-particle":"","family":"Twigg","given":"Liz","non-dropping-particle":"","parse-names":false,"suffix":""},{"dropping-particle":"","family":"Lewis","given":"Glyn","non-dropping-particle":"","parse-names":false,"suffix":""}],"container-title":"British Journal of Psychiatry","id":"ITEM-1","issue":"JAN.","issued":{"date-parts":[["2006"]]},"page":"51-57","title":"Rural/non-rural differences in rates of common mental disorders in Britain: Prospective multilevel cohort study","type":"article-journal","volume":"188"},"uris":["http://www.mendeley.com/documents/?uuid=ad7c1766-80d5-47bb-aa2c-5f6859d8db67"]},{"id":"ITEM-2","itemData":{"DOI":"10.1016/j.socscimed.2008.11.024","abstract":"Studies of inequalities in health between rural and urban settings have produced mixed and sometimes conflicting results, depending on the national setting of the study, the level of geographic detail used to define rural areas and the health indicators studied. By focusing on morbidity data from a national sample of individuals, this study aims to examine the extent of inequalities in health between urban and rural areas, as well as inequalities in health across rural areas of England. Multilevel analyses for poor self-rated health, overweight and obesity, and common mental disorders are reported for a sample of 30,776 individuals aged 18 years and older (obtained from the Health Survey for England years 2000-2003 combined) and distributed across 3645 small areas classed in four categories: two groups of urban areas (Greater London area or 'other cities') and two types of rural settings (semi-rural areas or villages). Results show that rural dwellers were significantly less likely than residents of urban areas to report their health as being fair or poor and to report common mental disorders, independent of their socio-demographic characteristics. However, as for urban settlements, there were significant variations in health across semi-rural areas and across villages, indicating the presence of health inequalities within rural settings in England. These inequalities were not fully explained by the individual composition of the areas or by the available measures of area socioeconomic conditions, indicating that in rural contexts more specific factors may have significance for health. Different policies and services for health promotion and care may need to be targeted to different types of rural areas.","author":[{"dropping-particle":"","family":"Riva","given":"Mylene","non-dropping-particle":"","parse-names":false,"suffix":""},{"dropping-particle":"","family":"Curtis","given":"Sarah","non-dropping-particle":"","parse-names":false,"suffix":""},{"dropping-particle":"","family":"Gauvin","given":"Lise","non-dropping-particle":"","parse-names":false,"suffix":""},{"dropping-particle":"","family":"Fagg","given":"James","non-dropping-particle":"","parse-names":false,"suffix":""}],"container-title":"Soc Sci Med","id":"ITEM-2","issue":"4","issued":{"date-parts":[["2009"]]},"page":"654-663","title":"Research Centre on Inequalities in Health in Montreal, Canada, and by the Joint International Internship Program from AnEIS Strategic Formation Program and Health Promotion Research team","type":"article-journal","volume":"68"},"uris":["http://www.mendeley.com/documents/?uuid=65ed3e0f-2d33-4fef-9e72-7b11442a28ea"]},{"id":"ITEM-3","itemData":{"DOI":"10.1093/eurpub/ckq064","ISSN":"11011262","abstract":"Background: In England, although some studies report better health among rural populations, few have examined social inequalities in health within rural areas and how they compare to inequalities observed in urban settings. The objectives of this study are to examine (i) whether living in rural, in more affluent and in more socially cohesive areas is associated with better mental health; and (ii) whether being in employment is more protective for mental health in rural than in urban areas. Methods: Data on common mental disorders (CMD) and socio-demographic characteristics of 12 962 adults are from the Health Survey for England. Individuals resided in 892 areas categorized as urban or rural. Area deprivation is measured using the employment deprivation domain from the 2004 Index of Multiple Deprivation. Area social cohesion is derived from individuals' perceptions using ecometric procedures. Data are analysed using multilevel logistic models. Results: Living in rural areas is significantly associated with lower risk of reporting CMD [odds ratio (OR): 0.81; 95% confidence interval (CI): 0.71-0.92], independently of individuals' characteristics, and of area deprivation and social cohesion. The mental health advantage of being in employment is more important in rural areas (OR: 0.74; 95% CI: 0.58-0.95) than in urban settings. Conclusion: Living in rural areas is associated with better overall mental health. Yet inequalities in mental health between people in the workforce and those who are not are more important in rural settings. More studies are needed to understand the patterning of social inequalities in health in rural communities. © The Author 2010.","author":[{"dropping-particle":"","family":"Riva","given":"Mylne","non-dropping-particle":"","parse-names":false,"suffix":""},{"dropping-particle":"","family":"Bambra","given":"Clare","non-dropping-particle":"","parse-names":false,"suffix":""},{"dropping-particle":"","family":"Curtis","given":"Sarah","non-dropping-particle":"","parse-names":false,"suffix":""},{"dropping-particle":"","family":"Gauvin","given":"Lise","non-dropping-particle":"","parse-names":false,"suffix":""}],"container-title":"European Journal of Public Health","id":"ITEM-3","issue":"2","issued":{"date-parts":[["2011"]]},"page":"197-203","title":"Collective resources or local social inequalities? Examining the social determinants of mental health in rural areas","type":"article-journal","volume":"21"},"uris":["http://www.mendeley.com/documents/?uuid=0939e476-2dfd-4d4d-a046-9ee712c01a11"]},{"id":"ITEM-4","itemData":{"DOI":"10.1016/j.jad.2013.05.032.The","abstract":"Background: The present total population study aimed to investigate whether there is an association between type of living environment (urban versus rural) and anxiety, depression and psychosis in the Scottish population. Methods: Data were obtained from the Scottish Neighbourhood Statistics database on Scottish Index of Multiple Deprivation and Urban-Rural Classifications for 6505 data zones across Scotland. Multiple regression was used to test the association between prescriptions for psychotropic medication for anxiety, depression and psychosis, and type of living environment according to urban-rural classification, controlling for a range of socio- economic factors. Results:Urban-rural classification significantly predicted poorer mental health both before (β=-.29) and after (β=-.20) controlling for a large number of socio-economic variables, with more urban areas having higher rates of prescription for psychotropic medication for anxiety, depression and psychosis. Limitations: The current study focussed on macro-level variables and did not include individual level data. As such, the study did not include data on individual diagnoses, but instead used drug prescriptions for anxiety, depression and psychosis as a proxy for level of affective disorders within data zones.Conclusion: More urban living environments in Scotland are associated with higher rates of prescription for psychotropic medication for anxiety, depression and psychosis.","author":[{"dropping-particle":"","family":"McKenzie","given":"K","non-dropping-particle":"","parse-names":false,"suffix":""},{"dropping-particle":"","family":"Murray","given":"A L","non-dropping-particle":"","parse-names":false,"suffix":""},{"dropping-particle":"","family":"Booth","given":"T","non-dropping-particle":"","parse-names":false,"suffix":""}],"container-title":"Journal of Affective Disorders","id":"ITEM-4","issue":"3","issued":{"date-parts":[["2013"]]},"page":"1019-1024","title":"Do urban environments increase the risk of anxiety , depression and psychosis? An epidemiological study","type":"article-journal","volume":"150"},"uris":["http://www.mendeley.com/documents/?uuid=c8ee6a0b-dc13-4705-8fb8-1e4b52d0fc4c"]}],"mendeley":{"formattedCitation":"&lt;sup&gt;15–18&lt;/sup&gt;","plainTextFormattedCitation":"15–18","previouslyFormattedCitation":"&lt;sup&gt;15–18&lt;/sup&gt;"},"properties":{"noteIndex":0},"schema":"https://github.com/citation-style-language/schema/raw/master/csl-citation.json"}</w:instrText>
            </w:r>
            <w:r w:rsidR="00100D0E">
              <w:fldChar w:fldCharType="separate"/>
            </w:r>
            <w:r w:rsidR="002349E3" w:rsidRPr="002349E3">
              <w:rPr>
                <w:noProof/>
                <w:vertAlign w:val="superscript"/>
              </w:rPr>
              <w:t>15–18</w:t>
            </w:r>
            <w:r w:rsidR="00100D0E">
              <w:fldChar w:fldCharType="end"/>
            </w:r>
            <w:r w:rsidR="00100D0E">
              <w:t xml:space="preserve"> </w:t>
            </w:r>
            <w:r>
              <w:t>It is likely that there are differences in health service provision between rural and urban settings (in terms of geographical access to specialist services) that are not a reflection of socioeconomic deprivation, and there is also evidence suggesting that there is a greater risk of mental illness in urban environments independent of socioeconomic status.</w:t>
            </w:r>
            <w:r w:rsidR="00100D0E">
              <w:fldChar w:fldCharType="begin" w:fldLock="1"/>
            </w:r>
            <w:r w:rsidR="006C4DC9">
              <w:instrText>ADDIN CSL_CITATION {"citationItems":[{"id":"ITEM-1","itemData":{"DOI":"10.1016/j.jad.2013.05.032.The","abstract":"Background: The present total population study aimed to investigate whether there is an association between type of living environment (urban versus rural) and anxiety, depression and psychosis in the Scottish population. Methods: Data were obtained from the Scottish Neighbourhood Statistics database on Scottish Index of Multiple Deprivation and Urban-Rural Classifications for 6505 data zones across Scotland. Multiple regression was used to test the association between prescriptions for psychotropic medication for anxiety, depression and psychosis, and type of living environment according to urban-rural classification, controlling for a range of socio- economic factors. Results:Urban-rural classification significantly predicted poorer mental health both before (β=-.29) and after (β=-.20) controlling for a large number of socio-economic variables, with more urban areas having higher rates of prescription for psychotropic medication for anxiety, depression and psychosis. Limitations: The current study focussed on macro-level variables and did not include individual level data. As such, the study did not include data on individual diagnoses, but instead used drug prescriptions for anxiety, depression and psychosis as a proxy for level of affective disorders within data zones.Conclusion: More urban living environments in Scotland are associated with higher rates of prescription for psychotropic medication for anxiety, depression and psychosis.","author":[{"dropping-particle":"","family":"McKenzie","given":"K","non-dropping-particle":"","parse-names":false,"suffix":""},{"dropping-particle":"","family":"Murray","given":"A L","non-dropping-particle":"","parse-names":false,"suffix":""},{"dropping-particle":"","family":"Booth","given":"T","non-dropping-particle":"","parse-names":false,"suffix":""}],"container-title":"Journal of Affective Disorders","id":"ITEM-1","issue":"3","issued":{"date-parts":[["2013"]]},"page":"1019-1024","title":"Do urban environments increase the risk of anxiety , depression and psychosis? An epidemiological study","type":"article-journal","volume":"150"},"uris":["http://www.mendeley.com/documents/?uuid=c8ee6a0b-dc13-4705-8fb8-1e4b52d0fc4c"]}],"mendeley":{"formattedCitation":"&lt;sup&gt;18&lt;/sup&gt;","plainTextFormattedCitation":"18","previouslyFormattedCitation":"&lt;sup&gt;18&lt;/sup&gt;"},"properties":{"noteIndex":0},"schema":"https://github.com/citation-style-language/schema/raw/master/csl-citation.json"}</w:instrText>
            </w:r>
            <w:r w:rsidR="00100D0E">
              <w:fldChar w:fldCharType="separate"/>
            </w:r>
            <w:r w:rsidR="002349E3" w:rsidRPr="002349E3">
              <w:rPr>
                <w:noProof/>
                <w:vertAlign w:val="superscript"/>
              </w:rPr>
              <w:t>18</w:t>
            </w:r>
            <w:r w:rsidR="00100D0E">
              <w:fldChar w:fldCharType="end"/>
            </w:r>
          </w:p>
          <w:p w14:paraId="363910B7" w14:textId="5B8D984E" w:rsidR="00336BF4" w:rsidRDefault="00336BF4" w:rsidP="00EC1363">
            <w:pPr>
              <w:shd w:val="clear" w:color="auto" w:fill="FFF2CC" w:themeFill="accent4" w:themeFillTint="33"/>
              <w:spacing w:after="120"/>
            </w:pPr>
            <w:r>
              <w:lastRenderedPageBreak/>
              <w:t xml:space="preserve">We are aware that the </w:t>
            </w:r>
            <w:r w:rsidRPr="00336BF4">
              <w:t>combination of area</w:t>
            </w:r>
            <w:r>
              <w:t>-</w:t>
            </w:r>
            <w:r w:rsidRPr="00336BF4">
              <w:t>level measures</w:t>
            </w:r>
            <w:r>
              <w:t xml:space="preserve"> we plan to use (Carstairs quintiles and rural-urban classification) may</w:t>
            </w:r>
            <w:r w:rsidRPr="00336BF4">
              <w:t xml:space="preserve"> </w:t>
            </w:r>
            <w:r>
              <w:t>pose</w:t>
            </w:r>
            <w:r w:rsidRPr="00336BF4">
              <w:t xml:space="preserve"> a risk of practice re-identification</w:t>
            </w:r>
            <w:r>
              <w:t xml:space="preserve">. We therefore plan to use the following </w:t>
            </w:r>
            <w:r w:rsidRPr="00EC1363">
              <w:rPr>
                <w:b/>
                <w:bCs/>
              </w:rPr>
              <w:t>risk mitigation plan</w:t>
            </w:r>
            <w:r>
              <w:t>:</w:t>
            </w:r>
          </w:p>
          <w:p w14:paraId="21CC973A" w14:textId="55B03518" w:rsidR="00336BF4" w:rsidRDefault="004D0E4E" w:rsidP="00EC1363">
            <w:pPr>
              <w:pStyle w:val="ListParagraph"/>
              <w:numPr>
                <w:ilvl w:val="0"/>
                <w:numId w:val="47"/>
              </w:numPr>
              <w:shd w:val="clear" w:color="auto" w:fill="FFF2CC" w:themeFill="accent4" w:themeFillTint="33"/>
              <w:spacing w:after="120"/>
            </w:pPr>
            <w:r>
              <w:t>Two</w:t>
            </w:r>
            <w:r w:rsidR="00336BF4">
              <w:t xml:space="preserve"> named individ</w:t>
            </w:r>
            <w:r w:rsidR="00336BF4">
              <w:t>ual</w:t>
            </w:r>
            <w:r>
              <w:t xml:space="preserve">s </w:t>
            </w:r>
            <w:r w:rsidR="00336BF4">
              <w:t>on the study team (</w:t>
            </w:r>
            <w:r>
              <w:t>Rohini Mathur</w:t>
            </w:r>
            <w:r w:rsidR="000F1740">
              <w:t xml:space="preserve"> and John </w:t>
            </w:r>
            <w:proofErr w:type="spellStart"/>
            <w:r w:rsidR="000F1740">
              <w:t>Tazare</w:t>
            </w:r>
            <w:proofErr w:type="spellEnd"/>
            <w:r w:rsidR="000F1740">
              <w:t>)</w:t>
            </w:r>
            <w:r w:rsidR="00336BF4">
              <w:t xml:space="preserve"> will be nominated to be the only </w:t>
            </w:r>
            <w:r w:rsidR="00336BF4">
              <w:t>user</w:t>
            </w:r>
            <w:r>
              <w:t>s</w:t>
            </w:r>
            <w:r w:rsidR="00336BF4">
              <w:t xml:space="preserve"> </w:t>
            </w:r>
            <w:r>
              <w:t>with</w:t>
            </w:r>
            <w:r w:rsidR="00336BF4">
              <w:t xml:space="preserve"> access </w:t>
            </w:r>
            <w:r w:rsidR="00336BF4">
              <w:t>to both area-level measures (Carstairs quintiles and rural-urban classification).</w:t>
            </w:r>
          </w:p>
          <w:p w14:paraId="12E685FD" w14:textId="7856518A" w:rsidR="00336BF4" w:rsidRDefault="00EC1363" w:rsidP="00EC1363">
            <w:pPr>
              <w:pStyle w:val="ListParagraph"/>
              <w:numPr>
                <w:ilvl w:val="0"/>
                <w:numId w:val="47"/>
              </w:numPr>
              <w:shd w:val="clear" w:color="auto" w:fill="FFF2CC" w:themeFill="accent4" w:themeFillTint="33"/>
              <w:spacing w:after="120"/>
            </w:pPr>
            <w:r>
              <w:t>The named individual</w:t>
            </w:r>
            <w:r w:rsidR="004D0E4E">
              <w:t>s</w:t>
            </w:r>
            <w:r>
              <w:t xml:space="preserve"> will process </w:t>
            </w:r>
            <w:r w:rsidR="000F1740">
              <w:t xml:space="preserve">the area-level </w:t>
            </w:r>
            <w:r>
              <w:t>data and produce aggregate data for use by the rest of the study team.</w:t>
            </w:r>
          </w:p>
          <w:p w14:paraId="20EAF125" w14:textId="77777777" w:rsidR="000F1740" w:rsidRDefault="000F1740" w:rsidP="000F1740">
            <w:pPr>
              <w:pStyle w:val="ListParagraph"/>
              <w:numPr>
                <w:ilvl w:val="0"/>
                <w:numId w:val="47"/>
              </w:numPr>
              <w:shd w:val="clear" w:color="auto" w:fill="FFF2CC" w:themeFill="accent4" w:themeFillTint="33"/>
              <w:spacing w:after="120"/>
            </w:pPr>
            <w:r>
              <w:t>The named individuals have already undertaken user-confidentiality training on risk of re-identification that specifically covers:</w:t>
            </w:r>
          </w:p>
          <w:p w14:paraId="5B5B3004" w14:textId="41A51656" w:rsidR="000F1740" w:rsidRDefault="000F1740" w:rsidP="000F1740">
            <w:pPr>
              <w:pStyle w:val="ListParagraph"/>
              <w:numPr>
                <w:ilvl w:val="1"/>
                <w:numId w:val="48"/>
              </w:numPr>
              <w:shd w:val="clear" w:color="auto" w:fill="FFF2CC" w:themeFill="accent4" w:themeFillTint="33"/>
              <w:spacing w:after="120"/>
            </w:pPr>
            <w:r>
              <w:t>Confidentiality awareness when dealing with patient-level data (whether anonymised or not);</w:t>
            </w:r>
          </w:p>
          <w:p w14:paraId="5B5A1EA1" w14:textId="77777777" w:rsidR="000F1740" w:rsidRDefault="000F1740" w:rsidP="000F1740">
            <w:pPr>
              <w:pStyle w:val="ListParagraph"/>
              <w:numPr>
                <w:ilvl w:val="1"/>
                <w:numId w:val="48"/>
              </w:numPr>
              <w:shd w:val="clear" w:color="auto" w:fill="FFF2CC" w:themeFill="accent4" w:themeFillTint="33"/>
              <w:spacing w:after="120"/>
            </w:pPr>
            <w:r>
              <w:t>Understanding the conditions detailed in our licence to use CPRD data</w:t>
            </w:r>
            <w:r>
              <w:t>;</w:t>
            </w:r>
          </w:p>
          <w:p w14:paraId="55EAE77F" w14:textId="059D9BE6" w:rsidR="00EC1363" w:rsidRPr="00CD13D5" w:rsidRDefault="000F1740" w:rsidP="000F1740">
            <w:pPr>
              <w:pStyle w:val="ListParagraph"/>
              <w:numPr>
                <w:ilvl w:val="1"/>
                <w:numId w:val="48"/>
              </w:numPr>
              <w:shd w:val="clear" w:color="auto" w:fill="FFF2CC" w:themeFill="accent4" w:themeFillTint="33"/>
              <w:spacing w:after="120"/>
            </w:pPr>
            <w:proofErr w:type="spellStart"/>
            <w:r>
              <w:t>What</w:t>
            </w:r>
            <w:proofErr w:type="spellEnd"/>
            <w:r>
              <w:t xml:space="preserve"> to do if we think that there is a risk of re-identification or other data breach (i.e. contact CPRD immediately for advice).</w:t>
            </w:r>
          </w:p>
        </w:tc>
      </w:tr>
      <w:tr w:rsidR="00672602" w:rsidRPr="00CD13D5" w14:paraId="332872AE" w14:textId="77777777" w:rsidTr="001A69D6">
        <w:tc>
          <w:tcPr>
            <w:tcW w:w="10456" w:type="dxa"/>
            <w:shd w:val="clear" w:color="auto" w:fill="auto"/>
          </w:tcPr>
          <w:p w14:paraId="0C2BF393" w14:textId="77777777" w:rsidR="00672602" w:rsidRPr="00CD13D5" w:rsidRDefault="00672602" w:rsidP="001A69D6">
            <w:pPr>
              <w:pStyle w:val="Heading2"/>
              <w:numPr>
                <w:ilvl w:val="0"/>
                <w:numId w:val="8"/>
              </w:numPr>
            </w:pPr>
            <w:r w:rsidRPr="00CD13D5">
              <w:lastRenderedPageBreak/>
              <w:t>Definition of the Study population</w:t>
            </w:r>
          </w:p>
          <w:p w14:paraId="2584D8BD" w14:textId="4AA9D47A" w:rsidR="001A7F1D" w:rsidRDefault="004A2E13" w:rsidP="001A69D6">
            <w:pPr>
              <w:spacing w:after="120"/>
              <w:rPr>
                <w:rFonts w:cs="Arial"/>
                <w:color w:val="000000"/>
                <w:szCs w:val="20"/>
              </w:rPr>
            </w:pPr>
            <w:r>
              <w:rPr>
                <w:rFonts w:cs="Arial"/>
                <w:color w:val="000000"/>
                <w:szCs w:val="20"/>
              </w:rPr>
              <w:t>Our overall study population</w:t>
            </w:r>
            <w:r w:rsidRPr="00253652">
              <w:rPr>
                <w:rFonts w:cs="Arial"/>
                <w:color w:val="000000"/>
                <w:szCs w:val="20"/>
              </w:rPr>
              <w:t xml:space="preserve"> </w:t>
            </w:r>
            <w:r>
              <w:rPr>
                <w:rFonts w:cs="Arial"/>
                <w:color w:val="000000"/>
                <w:szCs w:val="20"/>
              </w:rPr>
              <w:t>will include individuals with at least one</w:t>
            </w:r>
            <w:r w:rsidRPr="00253652">
              <w:rPr>
                <w:rFonts w:cs="Arial"/>
                <w:color w:val="000000"/>
                <w:szCs w:val="20"/>
              </w:rPr>
              <w:t xml:space="preserve"> year of registration with a CPRD practice meeting CPRD quality-control standards (i.e. has CPRD acceptable flag</w:t>
            </w:r>
            <w:r>
              <w:rPr>
                <w:rFonts w:cs="Arial"/>
                <w:color w:val="000000"/>
                <w:szCs w:val="20"/>
              </w:rPr>
              <w:t>)</w:t>
            </w:r>
            <w:r w:rsidRPr="00253652">
              <w:rPr>
                <w:rFonts w:cs="Arial"/>
                <w:color w:val="000000"/>
                <w:szCs w:val="20"/>
              </w:rPr>
              <w:t xml:space="preserve"> </w:t>
            </w:r>
            <w:r w:rsidRPr="00253652">
              <w:rPr>
                <w:rFonts w:cs="Arial"/>
                <w:szCs w:val="20"/>
              </w:rPr>
              <w:t>in the study period (January 2017 to latest data collection</w:t>
            </w:r>
            <w:r>
              <w:rPr>
                <w:rFonts w:cs="Arial"/>
                <w:szCs w:val="20"/>
              </w:rPr>
              <w:t>)</w:t>
            </w:r>
            <w:r w:rsidRPr="0042258C">
              <w:rPr>
                <w:rFonts w:cs="Arial"/>
                <w:color w:val="000000"/>
                <w:szCs w:val="20"/>
              </w:rPr>
              <w:t xml:space="preserve">. Individuals will need to have at least one year of registration </w:t>
            </w:r>
            <w:r>
              <w:rPr>
                <w:rFonts w:cs="Arial"/>
                <w:color w:val="000000"/>
                <w:szCs w:val="20"/>
              </w:rPr>
              <w:t>to</w:t>
            </w:r>
            <w:r w:rsidR="001A7F1D">
              <w:rPr>
                <w:rFonts w:cs="Arial"/>
                <w:color w:val="000000"/>
                <w:szCs w:val="20"/>
              </w:rPr>
              <w:t>: 1)</w:t>
            </w:r>
            <w:r>
              <w:rPr>
                <w:rFonts w:cs="Arial"/>
                <w:color w:val="000000"/>
                <w:szCs w:val="20"/>
              </w:rPr>
              <w:t xml:space="preserve"> avoid wrongly </w:t>
            </w:r>
            <w:r w:rsidR="0067608B">
              <w:rPr>
                <w:rFonts w:cs="Arial"/>
                <w:color w:val="000000"/>
                <w:szCs w:val="20"/>
              </w:rPr>
              <w:t>exclud</w:t>
            </w:r>
            <w:r w:rsidR="003112CC">
              <w:rPr>
                <w:rFonts w:cs="Arial"/>
                <w:color w:val="000000"/>
                <w:szCs w:val="20"/>
              </w:rPr>
              <w:t>ing</w:t>
            </w:r>
            <w:r>
              <w:rPr>
                <w:rFonts w:cs="Arial"/>
                <w:color w:val="000000"/>
                <w:szCs w:val="20"/>
              </w:rPr>
              <w:t xml:space="preserve"> individuals </w:t>
            </w:r>
            <w:r w:rsidR="0067608B">
              <w:rPr>
                <w:rFonts w:cs="Arial"/>
                <w:color w:val="000000"/>
                <w:szCs w:val="20"/>
              </w:rPr>
              <w:t>from</w:t>
            </w:r>
            <w:r>
              <w:rPr>
                <w:rFonts w:cs="Arial"/>
                <w:color w:val="000000"/>
                <w:szCs w:val="20"/>
              </w:rPr>
              <w:t xml:space="preserve"> </w:t>
            </w:r>
            <w:r w:rsidR="001A7F1D">
              <w:rPr>
                <w:rFonts w:cs="Arial"/>
                <w:color w:val="000000"/>
                <w:szCs w:val="20"/>
              </w:rPr>
              <w:t xml:space="preserve">outcome-specific </w:t>
            </w:r>
            <w:r>
              <w:rPr>
                <w:rFonts w:cs="Arial"/>
                <w:color w:val="000000"/>
                <w:szCs w:val="20"/>
              </w:rPr>
              <w:t>study population</w:t>
            </w:r>
            <w:r w:rsidR="001A7F1D">
              <w:rPr>
                <w:rFonts w:cs="Arial"/>
                <w:color w:val="000000"/>
                <w:szCs w:val="20"/>
              </w:rPr>
              <w:t>s</w:t>
            </w:r>
            <w:r>
              <w:rPr>
                <w:rFonts w:cs="Arial"/>
                <w:color w:val="000000"/>
                <w:szCs w:val="20"/>
              </w:rPr>
              <w:t xml:space="preserve"> because existing diagnoses have not yet been recorded (i.e. for respiratory and diabetes outcomes)</w:t>
            </w:r>
            <w:r w:rsidR="001A7F1D">
              <w:rPr>
                <w:rFonts w:cs="Arial"/>
                <w:color w:val="000000"/>
                <w:szCs w:val="20"/>
              </w:rPr>
              <w:t>;</w:t>
            </w:r>
            <w:r>
              <w:rPr>
                <w:rFonts w:cs="Arial"/>
                <w:color w:val="000000"/>
                <w:szCs w:val="20"/>
              </w:rPr>
              <w:t xml:space="preserve"> and</w:t>
            </w:r>
            <w:r w:rsidR="001A7F1D">
              <w:rPr>
                <w:rFonts w:cs="Arial"/>
                <w:color w:val="000000"/>
                <w:szCs w:val="20"/>
              </w:rPr>
              <w:t xml:space="preserve"> 2)</w:t>
            </w:r>
            <w:r>
              <w:rPr>
                <w:rFonts w:cs="Arial"/>
                <w:color w:val="000000"/>
                <w:szCs w:val="20"/>
              </w:rPr>
              <w:t xml:space="preserve"> avoid identifying historical diagnoses (captured in a new-patient consultation) as incident outcomes (i.e. for cardiac failure outcomes)</w:t>
            </w:r>
            <w:r w:rsidRPr="0042258C">
              <w:rPr>
                <w:rFonts w:cs="Arial"/>
                <w:color w:val="000000"/>
                <w:szCs w:val="20"/>
              </w:rPr>
              <w:t xml:space="preserve">. </w:t>
            </w:r>
          </w:p>
          <w:p w14:paraId="683F3A49" w14:textId="50E7B6DF" w:rsidR="003523B9" w:rsidRPr="00031154" w:rsidRDefault="004A2E13" w:rsidP="001A69D6">
            <w:pPr>
              <w:spacing w:after="120"/>
              <w:rPr>
                <w:rFonts w:cs="Arial"/>
                <w:color w:val="000000"/>
                <w:szCs w:val="20"/>
              </w:rPr>
            </w:pPr>
            <w:r>
              <w:rPr>
                <w:rFonts w:cs="Arial"/>
                <w:color w:val="000000"/>
                <w:szCs w:val="20"/>
              </w:rPr>
              <w:t xml:space="preserve">All individuals will be followed from the latest of: one year from CPRD registration or, for diabetes and respiratory outcomes, from when they meet our definitions for having diabetes or respiratory disease as appropriate (more detail below). Follow-up will end for all study populations at the earliest </w:t>
            </w:r>
            <w:r>
              <w:t>of the following: no longer registered with GP practice, death, practice stops contributing to CPRD, or the end of the study</w:t>
            </w:r>
            <w:r>
              <w:rPr>
                <w:rFonts w:cs="Arial"/>
                <w:color w:val="000000"/>
                <w:szCs w:val="20"/>
              </w:rPr>
              <w:t xml:space="preserve">. We will continue to monitor changes in outcome recording until March 2023 (i.e. 3 years after the initial initiation of lockdown) in order to capture responses to the lifting of lockdown measures, and any subsequent lockdowns. </w:t>
            </w:r>
          </w:p>
          <w:p w14:paraId="1B7864F7" w14:textId="0A273423" w:rsidR="00F27FFA" w:rsidRDefault="00B11681" w:rsidP="001A69D6">
            <w:r>
              <w:t>Study</w:t>
            </w:r>
            <w:r w:rsidR="00F27FFA">
              <w:t xml:space="preserve"> population</w:t>
            </w:r>
            <w:r>
              <w:t>s</w:t>
            </w:r>
            <w:r w:rsidR="00582675">
              <w:t xml:space="preserve"> (i.e. denominator populations)</w:t>
            </w:r>
            <w:r>
              <w:t xml:space="preserve"> </w:t>
            </w:r>
            <w:r w:rsidR="00F27FFA">
              <w:t>will vary depending on the outcome being tested:</w:t>
            </w:r>
          </w:p>
          <w:p w14:paraId="74C62B6C" w14:textId="429BFB54" w:rsidR="00F27FFA" w:rsidRDefault="00F27FFA" w:rsidP="001A69D6">
            <w:pPr>
              <w:pStyle w:val="ListParagraph"/>
              <w:numPr>
                <w:ilvl w:val="0"/>
                <w:numId w:val="21"/>
              </w:numPr>
              <w:ind w:left="357" w:hanging="357"/>
            </w:pPr>
            <w:r w:rsidRPr="00F27FFA">
              <w:rPr>
                <w:b/>
                <w:bCs/>
              </w:rPr>
              <w:t>Diabetic emergencies</w:t>
            </w:r>
            <w:r>
              <w:t xml:space="preserve">: the population will be </w:t>
            </w:r>
            <w:r w:rsidR="00922D9F">
              <w:t xml:space="preserve">all </w:t>
            </w:r>
            <w:r>
              <w:t xml:space="preserve">individuals </w:t>
            </w:r>
            <w:r w:rsidR="00922D9F">
              <w:t xml:space="preserve">(no age limits) </w:t>
            </w:r>
            <w:r>
              <w:t xml:space="preserve">with established diagnoses of diabetes mellitus. </w:t>
            </w:r>
            <w:r w:rsidR="00E77B0E">
              <w:t xml:space="preserve">Individuals will contribute to the study population from the </w:t>
            </w:r>
            <w:r w:rsidR="00262F72">
              <w:t xml:space="preserve">latest of the start of follow-up in the overall population and the </w:t>
            </w:r>
            <w:r w:rsidR="00E77B0E">
              <w:t>date of their first record indicating a diagnosis of diabetes</w:t>
            </w:r>
            <w:r w:rsidR="00262F72">
              <w:t>.</w:t>
            </w:r>
          </w:p>
          <w:p w14:paraId="717CCA50" w14:textId="0B0C1028" w:rsidR="00F27FFA" w:rsidRDefault="0075493D" w:rsidP="001A69D6">
            <w:pPr>
              <w:pStyle w:val="ListParagraph"/>
              <w:numPr>
                <w:ilvl w:val="0"/>
                <w:numId w:val="21"/>
              </w:numPr>
              <w:ind w:left="357" w:hanging="357"/>
            </w:pPr>
            <w:r w:rsidRPr="00746262">
              <w:rPr>
                <w:b/>
                <w:bCs/>
              </w:rPr>
              <w:t>Acute mental illness diagnoses</w:t>
            </w:r>
            <w:r w:rsidR="000E0AE1">
              <w:rPr>
                <w:b/>
                <w:bCs/>
              </w:rPr>
              <w:t>:</w:t>
            </w:r>
            <w:r w:rsidR="00746262">
              <w:rPr>
                <w:b/>
                <w:bCs/>
              </w:rPr>
              <w:t xml:space="preserve"> </w:t>
            </w:r>
            <w:r w:rsidR="00F27FFA">
              <w:t xml:space="preserve">The study population here will be </w:t>
            </w:r>
            <w:r w:rsidR="00982BC8">
              <w:t xml:space="preserve">all </w:t>
            </w:r>
            <w:r>
              <w:t xml:space="preserve">children </w:t>
            </w:r>
            <w:r w:rsidR="00F27FFA">
              <w:t xml:space="preserve">(age </w:t>
            </w:r>
            <w:r w:rsidR="00AB4640">
              <w:t>5</w:t>
            </w:r>
            <w:r w:rsidR="00F27FFA">
              <w:t>-</w:t>
            </w:r>
            <w:r w:rsidR="005D255B">
              <w:t>17</w:t>
            </w:r>
            <w:r w:rsidR="00F27FFA">
              <w:t xml:space="preserve">) </w:t>
            </w:r>
            <w:r w:rsidR="00982BC8">
              <w:t>and</w:t>
            </w:r>
            <w:r w:rsidR="00F27FFA">
              <w:t xml:space="preserve"> adults </w:t>
            </w:r>
            <w:r w:rsidR="00622DFA">
              <w:t>(</w:t>
            </w:r>
            <w:r w:rsidR="00622DFA" w:rsidRPr="00622DFA">
              <w:t>≥</w:t>
            </w:r>
            <w:r w:rsidR="005D255B">
              <w:t>18</w:t>
            </w:r>
            <w:r w:rsidR="00F27FFA">
              <w:t>)</w:t>
            </w:r>
            <w:r w:rsidR="00982BC8">
              <w:t xml:space="preserve"> from the overall study population</w:t>
            </w:r>
            <w:r w:rsidR="00F27FFA">
              <w:t xml:space="preserve">. </w:t>
            </w:r>
          </w:p>
          <w:p w14:paraId="162EA46F" w14:textId="2CD0B18A" w:rsidR="00026A59" w:rsidRDefault="00026A59" w:rsidP="001A69D6">
            <w:pPr>
              <w:pStyle w:val="ListParagraph"/>
              <w:numPr>
                <w:ilvl w:val="0"/>
                <w:numId w:val="21"/>
              </w:numPr>
              <w:ind w:left="357" w:hanging="357"/>
            </w:pPr>
            <w:r w:rsidRPr="00026A59">
              <w:rPr>
                <w:b/>
                <w:bCs/>
              </w:rPr>
              <w:t>Alcohol-related harms:</w:t>
            </w:r>
            <w:r>
              <w:t xml:space="preserve"> The study population here will be all adults (</w:t>
            </w:r>
            <w:r w:rsidRPr="00622DFA">
              <w:t>≥</w:t>
            </w:r>
            <w:r>
              <w:t>18) from the overall study population.</w:t>
            </w:r>
          </w:p>
          <w:p w14:paraId="37A24241" w14:textId="42A480CD" w:rsidR="00746262" w:rsidRDefault="00746262" w:rsidP="001A69D6">
            <w:pPr>
              <w:pStyle w:val="ListParagraph"/>
              <w:numPr>
                <w:ilvl w:val="0"/>
                <w:numId w:val="21"/>
              </w:numPr>
              <w:ind w:left="357" w:hanging="357"/>
            </w:pPr>
            <w:bookmarkStart w:id="1" w:name="_Hlk43302381"/>
            <w:r w:rsidRPr="00746262">
              <w:rPr>
                <w:b/>
                <w:bCs/>
              </w:rPr>
              <w:t>Asthma</w:t>
            </w:r>
            <w:r w:rsidR="0004433A">
              <w:rPr>
                <w:b/>
                <w:bCs/>
              </w:rPr>
              <w:t xml:space="preserve"> exacerbations</w:t>
            </w:r>
            <w:r>
              <w:t>:</w:t>
            </w:r>
            <w:r w:rsidR="00F27FFA">
              <w:t xml:space="preserve"> </w:t>
            </w:r>
            <w:r>
              <w:t>The</w:t>
            </w:r>
            <w:r w:rsidR="00F27FFA">
              <w:t xml:space="preserve"> </w:t>
            </w:r>
            <w:r w:rsidR="00520142">
              <w:t xml:space="preserve">study </w:t>
            </w:r>
            <w:r w:rsidR="00F27FFA">
              <w:t xml:space="preserve">population will be </w:t>
            </w:r>
            <w:r w:rsidR="0085036F">
              <w:t>all individuals</w:t>
            </w:r>
            <w:r w:rsidR="00F27FFA">
              <w:t xml:space="preserve"> </w:t>
            </w:r>
            <w:r>
              <w:t>(</w:t>
            </w:r>
            <w:r w:rsidR="008E2D4A">
              <w:t>age 5+</w:t>
            </w:r>
            <w:r w:rsidR="00F83163">
              <w:t>)</w:t>
            </w:r>
            <w:r>
              <w:t xml:space="preserve"> </w:t>
            </w:r>
            <w:r w:rsidR="00F27FFA">
              <w:t xml:space="preserve">with </w:t>
            </w:r>
            <w:r w:rsidR="00460FE7">
              <w:t>a</w:t>
            </w:r>
            <w:r w:rsidR="00F10985">
              <w:t xml:space="preserve"> current </w:t>
            </w:r>
            <w:r w:rsidR="00460FE7">
              <w:t>asthma diagnosis</w:t>
            </w:r>
            <w:r w:rsidR="00F10985">
              <w:t xml:space="preserve"> (i.e. </w:t>
            </w:r>
            <w:r w:rsidR="00527F12">
              <w:t>asthma code</w:t>
            </w:r>
            <w:r w:rsidR="00F10985">
              <w:t xml:space="preserve"> </w:t>
            </w:r>
            <w:r w:rsidR="00527F12">
              <w:t>in the last two or three years if &lt;18 years or 18+ years, respectively)</w:t>
            </w:r>
            <w:r w:rsidR="00252C20">
              <w:t>. I</w:t>
            </w:r>
            <w:r w:rsidR="00520142">
              <w:t xml:space="preserve">ndividuals will join the study population from the </w:t>
            </w:r>
            <w:r w:rsidR="00F10985">
              <w:t xml:space="preserve">start of follow-up in the overall population </w:t>
            </w:r>
            <w:r w:rsidR="00527F12">
              <w:t>if there is a current asthma diagnosis at this time</w:t>
            </w:r>
            <w:r w:rsidR="00F10985">
              <w:t xml:space="preserve"> or from the </w:t>
            </w:r>
            <w:r w:rsidR="00520142">
              <w:t xml:space="preserve">date of their first record indicating an asthma diagnosis </w:t>
            </w:r>
            <w:r w:rsidR="00F10985">
              <w:t xml:space="preserve">within overall follow-up. Participants will remain in the study until </w:t>
            </w:r>
            <w:r w:rsidR="00527F12">
              <w:t>there is no current asthma diagnosis</w:t>
            </w:r>
            <w:r w:rsidR="00F10985">
              <w:t xml:space="preserve"> or the end of overall follow-up. They may re-enter the study </w:t>
            </w:r>
            <w:r w:rsidR="00527F12">
              <w:t xml:space="preserve">if </w:t>
            </w:r>
            <w:r w:rsidR="00F10985">
              <w:t xml:space="preserve">there is a </w:t>
            </w:r>
            <w:r w:rsidR="00527F12">
              <w:t xml:space="preserve">later </w:t>
            </w:r>
            <w:r w:rsidR="00F10985">
              <w:t>diagnostic code for asthma before the end of overall follow-up.</w:t>
            </w:r>
            <w:r w:rsidR="003D53D9">
              <w:t xml:space="preserve"> </w:t>
            </w:r>
            <w:r w:rsidR="009A3280">
              <w:t>Following an existing definition, i</w:t>
            </w:r>
            <w:r w:rsidR="00460FE7">
              <w:t xml:space="preserve">ndividuals </w:t>
            </w:r>
            <w:r w:rsidR="00485ADA">
              <w:t xml:space="preserve">40 years and over </w:t>
            </w:r>
            <w:r w:rsidR="00460FE7">
              <w:t xml:space="preserve">with </w:t>
            </w:r>
            <w:r w:rsidR="006042B1">
              <w:t xml:space="preserve">asthma </w:t>
            </w:r>
            <w:r w:rsidR="00460FE7">
              <w:t xml:space="preserve">will </w:t>
            </w:r>
            <w:r w:rsidR="00031154">
              <w:t>be considered as likely to have COPD</w:t>
            </w:r>
            <w:r w:rsidR="00794F63">
              <w:t xml:space="preserve"> </w:t>
            </w:r>
            <w:r w:rsidR="006042B1">
              <w:t xml:space="preserve">(and therefore not included in the asthma study population [denominator]) </w:t>
            </w:r>
            <w:r w:rsidR="00F10985">
              <w:t>if</w:t>
            </w:r>
            <w:r w:rsidR="00485ADA">
              <w:t xml:space="preserve"> they have a</w:t>
            </w:r>
            <w:r w:rsidR="00F10985">
              <w:t xml:space="preserve"> </w:t>
            </w:r>
            <w:r w:rsidR="00460FE7">
              <w:t>subsequent COPD diagnosis</w:t>
            </w:r>
            <w:r w:rsidR="00F10985">
              <w:t xml:space="preserve"> </w:t>
            </w:r>
            <w:r w:rsidR="00031154">
              <w:t>recorded within the</w:t>
            </w:r>
            <w:r w:rsidR="00F10985">
              <w:t xml:space="preserve"> two years </w:t>
            </w:r>
            <w:r w:rsidR="00031154">
              <w:t>following the</w:t>
            </w:r>
            <w:r w:rsidR="00F10985">
              <w:t xml:space="preserve"> </w:t>
            </w:r>
            <w:r w:rsidR="00250DCA">
              <w:t>current</w:t>
            </w:r>
            <w:r w:rsidR="002A3E12">
              <w:t xml:space="preserve"> </w:t>
            </w:r>
            <w:r w:rsidR="00F10985">
              <w:t xml:space="preserve">asthma </w:t>
            </w:r>
            <w:r w:rsidR="00485ADA">
              <w:t>record</w:t>
            </w:r>
            <w:r w:rsidR="006042B1">
              <w:t>.</w:t>
            </w:r>
            <w:r w:rsidR="001C0C5E">
              <w:fldChar w:fldCharType="begin" w:fldLock="1"/>
            </w:r>
            <w:r w:rsidR="00206238">
              <w:instrText>ADDIN CSL_CITATION {"citationItems":[{"id":"ITEM-1","itemData":{"DOI":"10.3399/bjgp18X699389","ISSN":"14785242","PMID":"30249612","abstract":"Background Asthma and chronic obstructive pulmonary disease (COPD) share many characteristics and symptoms, and the differential diagnosis between the two diseases can be difficult in primary care. This study explored potential overlap between both diseases in a primary care environment. Aim To quantify how commonly patients with COPD have a concomitant diagnosis of asthma, and how commonly patients with asthma have a concomitant diagnosis of COPD in UK primary care. Additionally, the study aimed to determine the extent of possible misdiagnosis and missed opportunities for diagnosis. Design and setting Patients with validated asthma and patients with validated COPD in primary care were identified from the UK Clinical Practice Research Datalink (CPRD) in separate validation studies, and the diseases were confirmed by review of GP questionnaires. Method The prevalence of concurrent asthma and COPD in validated cases of either disease was examined based on CPRD coding, GP questionnaires, and requested additional information. Results In total, 400 patients with COPD and 351 patients with asthma in primary care were identified. Of the patients with validated asthma, 15% (n = 52) had previously received a diagnostic COPD Read code, although COPD was only likely in 14.8% (95% confidence interval [CI] = 11.3 to 19.0) of patients with validated asthma. More than half (52.5%, n = 210) of patients with validated COPD had previously received a diagnostic asthma Read code. However, when considering additional evidence to support a diagnosis of asthma, concurrent asthma was only likely in 14.5% (95% CI = 11.2 to 18.3) of patients with validated COPD. Conclusion A concurrent asthma and COPD diagnosis appears to affect a relative minority of patients with COPD (14.5%) or asthma (14.8%). Asthma diagnosis may be over-recorded in people with COPD.","author":[{"dropping-particle":"","family":"Nissen","given":"Francis","non-dropping-particle":"","parse-names":false,"suffix":""},{"dropping-particle":"","family":"Morales","given":"Daniel R.","non-dropping-particle":"","parse-names":false,"suffix":""},{"dropping-particle":"","family":"Mullerova","given":"Hana","non-dropping-particle":"","parse-names":false,"suffix":""},{"dropping-particle":"","family":"Smeeth","given":"Liam","non-dropping-particle":"","parse-names":false,"suffix":""},{"dropping-particle":"","family":"Douglas","given":"Ian J.","non-dropping-particle":"","parse-names":false,"suffix":""},{"dropping-particle":"","family":"Quint","given":"Jennifer K.","non-dropping-particle":"","parse-names":false,"suffix":""}],"container-title":"British Journal of General Practice","id":"ITEM-1","issue":"676","issued":{"date-parts":[["2018"]]},"page":"e775-e782","title":"Concomitant diagnosis of asthma and COPD: A quantitative study in UK primary care","type":"article-journal","volume":"68"},"uris":["http://www.mendeley.com/documents/?uuid=63ba6dcb-32f9-4665-bbf5-c28d2cfc72c8"]},{"id":"ITEM-2","itemData":{"DOI":"10.1136/bmjopen-2017-017474","ISSN":"20446055","abstract":"Objectives The optimal method of identifying people with asthma from electronic health records in primary care is not known. The aim of this study is to determine the positive predictive value (PPV) of different algorithms using clinical codes and prescription data to identify people with asthma in the United Kingdom Clinical Practice Research Datalink (CPRD). Methods 684 participants registered with a general practitioner (GP) practice contributing to CPRD between 1 December 2013 and 30 November 2015 were selected according to one of eight predefined potential asthma identification algorithms. A questionnaire was sent to the GPs to confirm asthma status and provide additional information to support an asthma diagnosis. Two study physicians independently reviewed and adjudicated the questionnaires and additional information to form a gold standard for asthma diagnosis. The PPV was calculated for each algorithm. Results 684 questionnaires were sent, of which 494 (72%) were returned and 475 (69%) were complete and analysed. All five algorithms including a specific Read code indicating asthma or non-specific Read code accompanied by additional conditions performed well. The PPV for asthma diagnosis using only a specific asthma code was 86.4% (95% CI 77.4% to 95.4%). Extra information on asthma medication prescription (PPV 83.3%), evidence of reversibility testing (PPV 86.0%) or a combination of all three selection criteria (PPV 86.4%) did not result in a higher PPV. The algorithm using non-specific asthma codes, information on reversibility testing and respiratory medication use scored highest (PPV 90.7%, 95% CI (82.8% to 98.7%), but had a much lower identifiable population. Algorithms based on asthma symptom codes had low PPVs (43.1% to 57.8%)%). Conclusions People with asthma can be accurately identified from UK primary care records using specific Read codes. The inclusion of spirometry or asthma medications in the algorithm did not clearly improve accuracy. Ethics and dissemination The protocol for this research was approved by the Independent Scientific Advisory Committee (ISAC) for MHRA Database Research (protocol number15-257) and the approved protocol was made available to the journal and reviewers during peer review. Generic ethical approval for observational research using the CPRD with approval from ISAC has been granted by a Health Research Authority Research Ethics Committee (East Midlands - Derby, REC reference number 05/MRE04/87). The results…","author":[{"dropping-particle":"","family":"Nissen","given":"Francis","non-dropping-particle":"","parse-names":false,"suffix":""},{"dropping-particle":"","family":"Morales","given":"Daniel R.","non-dropping-particle":"","parse-names":false,"suffix":""},{"dropping-particle":"","family":"Mullerova","given":"Hana","non-dropping-particle":"","parse-names":false,"suffix":""},{"dropping-particle":"","family":"Smeeth","given":"Liam","non-dropping-particle":"","parse-names":false,"suffix":""},{"dropping-particle":"","family":"Douglas","given":"Ian J.","non-dropping-particle":"","parse-names":false,"suffix":""},{"dropping-particle":"","family":"Quint","given":"Jennifer K.","non-dropping-particle":"","parse-names":false,"suffix":""}],"container-title":"BMJ Open","id":"ITEM-2","issue":"8","issued":{"date-parts":[["2017"]]},"page":"1-8","title":"Validation of asthma recording in the Clinical Practice Research Datalink (CPRD)","type":"article-journal","volume":"7"},"uris":["http://www.mendeley.com/documents/?uuid=46634c2a-c5b8-411d-aa35-5c62d47dbda3"]}],"mendeley":{"formattedCitation":"&lt;sup&gt;19,20&lt;/sup&gt;","plainTextFormattedCitation":"19,20","previouslyFormattedCitation":"&lt;sup&gt;19,20&lt;/sup&gt;"},"properties":{"noteIndex":0},"schema":"https://github.com/citation-style-language/schema/raw/master/csl-citation.json"}</w:instrText>
            </w:r>
            <w:r w:rsidR="001C0C5E">
              <w:fldChar w:fldCharType="separate"/>
            </w:r>
            <w:r w:rsidR="001C0C5E" w:rsidRPr="001C0C5E">
              <w:rPr>
                <w:noProof/>
                <w:vertAlign w:val="superscript"/>
              </w:rPr>
              <w:t>19,20</w:t>
            </w:r>
            <w:r w:rsidR="001C0C5E">
              <w:fldChar w:fldCharType="end"/>
            </w:r>
          </w:p>
          <w:bookmarkEnd w:id="1"/>
          <w:p w14:paraId="5B6A5779" w14:textId="2954EAB6" w:rsidR="00F27FFA" w:rsidRDefault="00746262" w:rsidP="001A69D6">
            <w:pPr>
              <w:pStyle w:val="ListParagraph"/>
              <w:numPr>
                <w:ilvl w:val="0"/>
                <w:numId w:val="21"/>
              </w:numPr>
              <w:ind w:left="357" w:hanging="357"/>
            </w:pPr>
            <w:r>
              <w:rPr>
                <w:b/>
                <w:bCs/>
              </w:rPr>
              <w:t xml:space="preserve">Exacerbations of </w:t>
            </w:r>
            <w:r w:rsidR="00F27FFA" w:rsidRPr="00746262">
              <w:rPr>
                <w:b/>
                <w:bCs/>
              </w:rPr>
              <w:t>COPD</w:t>
            </w:r>
            <w:r>
              <w:t>: The population will be adults (</w:t>
            </w:r>
            <w:r w:rsidR="00B25ED5" w:rsidRPr="00B25ED5">
              <w:t>≥</w:t>
            </w:r>
            <w:r w:rsidR="0047045F">
              <w:t>40</w:t>
            </w:r>
            <w:r>
              <w:t>) with an established diagnosis of COPD</w:t>
            </w:r>
            <w:r w:rsidR="00E83EB2">
              <w:t xml:space="preserve"> </w:t>
            </w:r>
            <w:r w:rsidR="00206238">
              <w:t>and evidence of a smoking history.</w:t>
            </w:r>
            <w:r w:rsidR="00206238">
              <w:fldChar w:fldCharType="begin" w:fldLock="1"/>
            </w:r>
            <w:r w:rsidR="00F90A11">
              <w:instrText>ADDIN CSL_CITATION {"citationItems":[{"id":"ITEM-1","itemData":{"DOI":"10.1136/bmjopen-2014-005540","ISBN":"2014005540","ISSN":"20446055","PMID":"25056980","abstract":"Objectives: The optimal method of identifying people with chronic obstructive pulmonary disease (COPD) from electronic primary care records is not known. We assessed the accuracy of different approaches using the Clinical Practice Research Datalink, a UK electronic health record database. Setting: 951 participants registered with a CPRD practice in the UK between 1 January 2004 and 31 December 2012. Individuals were selected for ≥1 of 8 algorithms to identify people with COPD. General practitioners were sent a brief questionnaire and additional evidence to support a COPD diagnosis was requested. All information received was reviewed independently by two respiratory physicians whose opinion was taken as the gold standard. Primary outcome measure: The primary measure of accuracy was the positive predictive value (PPV), the proportion of people identified by each algorithm for whom COPD was confirmed. Results: 951 questionnaires were sent and 738 (78%) returned. After quality control, 696 (73.2%) patients were included in the final analysis. All four algorithms including a specific COPD diagnostic code performed well. Using a diagnostic code alone, the PPV was 86.5% (77.5-92.3%) while requiring a diagnosis plus spirometry plus specific medication; the PPV was slightly higher at 89.4% (80.7-94.5%) but reduced case numbers by 10%. Algorithms without specific diagnostic codes had low PPVs (range 12.2-44.4%). Conclusions: Patients with COPD can be accurately identified from UK primary care records using specific diagnostic codes. Requiring spirometry or COPD medications only marginally improved accuracy. The high accuracy applies since the introduction of an incentivised disease register for COPD as part of Quality and Outcomes Framework in 2004.","author":[{"dropping-particle":"","family":"Quint","given":"Jennifer K.","non-dropping-particle":"","parse-names":false,"suffix":""},{"dropping-particle":"","family":"Müllerova","given":"Hana","non-dropping-particle":"","parse-names":false,"suffix":""},{"dropping-particle":"","family":"DiSantostefano","given":"Rachael L.","non-dropping-particle":"","parse-names":false,"suffix":""},{"dropping-particle":"","family":"Forbes","given":"Harriet","non-dropping-particle":"","parse-names":false,"suffix":""},{"dropping-particle":"","family":"Eaton","given":"Susan","non-dropping-particle":"","parse-names":false,"suffix":""},{"dropping-particle":"","family":"Hurst","given":"John R.","non-dropping-particle":"","parse-names":false,"suffix":""},{"dropping-particle":"","family":"Davis","given":"Kourtney","non-dropping-particle":"","parse-names":false,"suffix":""},{"dropping-particle":"","family":"Smeeth","given":"Liam","non-dropping-particle":"","parse-names":false,"suffix":""}],"container-title":"BMJ Open","id":"ITEM-1","issue":"7","issued":{"date-parts":[["2014"]]},"page":"1-8","title":"Validation of chronic obstructive pulmonary disease recording in the Clinical Practice Research Datalink (CPRD-GOLD)","type":"article-journal","volume":"4"},"uris":["http://www.mendeley.com/documents/?uuid=18dc58a0-2fc4-44dd-916f-5a9764193207"]}],"mendeley":{"formattedCitation":"&lt;sup&gt;21&lt;/sup&gt;","plainTextFormattedCitation":"21","previouslyFormattedCitation":"&lt;sup&gt;21&lt;/sup&gt;"},"properties":{"noteIndex":0},"schema":"https://github.com/citation-style-language/schema/raw/master/csl-citation.json"}</w:instrText>
            </w:r>
            <w:r w:rsidR="00206238">
              <w:fldChar w:fldCharType="separate"/>
            </w:r>
            <w:r w:rsidR="00206238" w:rsidRPr="00206238">
              <w:rPr>
                <w:noProof/>
                <w:vertAlign w:val="superscript"/>
              </w:rPr>
              <w:t>21</w:t>
            </w:r>
            <w:r w:rsidR="00206238">
              <w:fldChar w:fldCharType="end"/>
            </w:r>
            <w:r w:rsidR="00206238">
              <w:t xml:space="preserve"> </w:t>
            </w:r>
            <w:r w:rsidR="00794F63">
              <w:t xml:space="preserve">Individuals </w:t>
            </w:r>
            <w:r w:rsidR="00252C20">
              <w:t>will join the study population from the</w:t>
            </w:r>
            <w:r w:rsidR="003104F0">
              <w:t xml:space="preserve"> latest of the start of follow-up in the overall population and the</w:t>
            </w:r>
            <w:r w:rsidR="00252C20">
              <w:t xml:space="preserve"> date of their first record indicating diagnosis of COPD</w:t>
            </w:r>
            <w:r w:rsidR="001D0D14">
              <w:t>.</w:t>
            </w:r>
          </w:p>
          <w:p w14:paraId="7679CA80" w14:textId="65A72DF0" w:rsidR="0047045F" w:rsidRDefault="0047045F" w:rsidP="001A69D6">
            <w:pPr>
              <w:pStyle w:val="ListParagraph"/>
              <w:numPr>
                <w:ilvl w:val="0"/>
                <w:numId w:val="21"/>
              </w:numPr>
              <w:ind w:left="357" w:hanging="357"/>
            </w:pPr>
            <w:r>
              <w:rPr>
                <w:b/>
                <w:bCs/>
              </w:rPr>
              <w:t>Acute c</w:t>
            </w:r>
            <w:r w:rsidRPr="0047045F">
              <w:rPr>
                <w:b/>
                <w:bCs/>
              </w:rPr>
              <w:t>ardiovascular</w:t>
            </w:r>
            <w:r w:rsidR="00F27FFA" w:rsidRPr="0047045F">
              <w:rPr>
                <w:b/>
                <w:bCs/>
              </w:rPr>
              <w:t xml:space="preserve"> disease</w:t>
            </w:r>
            <w:r w:rsidR="009C6A86" w:rsidRPr="0047045F">
              <w:rPr>
                <w:b/>
                <w:bCs/>
              </w:rPr>
              <w:t xml:space="preserve"> </w:t>
            </w:r>
            <w:r>
              <w:rPr>
                <w:b/>
                <w:bCs/>
              </w:rPr>
              <w:t>emergencies</w:t>
            </w:r>
            <w:r>
              <w:t>: The study population here will be</w:t>
            </w:r>
            <w:r w:rsidR="00982BC8">
              <w:t xml:space="preserve"> all</w:t>
            </w:r>
            <w:r>
              <w:t xml:space="preserve"> adults (</w:t>
            </w:r>
            <w:r w:rsidR="00B25ED5" w:rsidRPr="00B25ED5">
              <w:t>≥</w:t>
            </w:r>
            <w:r>
              <w:t>30)</w:t>
            </w:r>
            <w:r w:rsidR="00982BC8">
              <w:t xml:space="preserve"> from the overall study population</w:t>
            </w:r>
            <w:r>
              <w:t xml:space="preserve">. </w:t>
            </w:r>
          </w:p>
          <w:p w14:paraId="39FCD29C" w14:textId="389AF16E" w:rsidR="00243238" w:rsidRPr="00CD13D5" w:rsidRDefault="00243238" w:rsidP="001A69D6"/>
        </w:tc>
      </w:tr>
      <w:tr w:rsidR="00672602" w:rsidRPr="00CD13D5" w14:paraId="488499E6" w14:textId="77777777" w:rsidTr="001A69D6">
        <w:trPr>
          <w:cantSplit/>
        </w:trPr>
        <w:tc>
          <w:tcPr>
            <w:tcW w:w="10456" w:type="dxa"/>
            <w:shd w:val="clear" w:color="auto" w:fill="auto"/>
          </w:tcPr>
          <w:p w14:paraId="4834FA05" w14:textId="77777777" w:rsidR="00672602" w:rsidRPr="00CD13D5" w:rsidRDefault="00672602" w:rsidP="001A69D6">
            <w:pPr>
              <w:pStyle w:val="Heading2"/>
              <w:numPr>
                <w:ilvl w:val="0"/>
                <w:numId w:val="8"/>
              </w:numPr>
            </w:pPr>
            <w:r w:rsidRPr="00CD13D5">
              <w:lastRenderedPageBreak/>
              <w:t>Selection of comparison group(s) or controls</w:t>
            </w:r>
          </w:p>
          <w:p w14:paraId="45A65814" w14:textId="1E2EB489" w:rsidR="00181530" w:rsidRDefault="00181530" w:rsidP="001A69D6">
            <w:r w:rsidRPr="00181530">
              <w:t>This study compares health outcomes before and after the COVID-19 pandemic. Outcomes occurring during the pandemic will be compared to the expected proportions of outcomes had the pandemic not occurred, based on 3-year historical trends.</w:t>
            </w:r>
          </w:p>
          <w:p w14:paraId="00D0A338" w14:textId="77777777" w:rsidR="00181530" w:rsidRDefault="00181530" w:rsidP="001A69D6"/>
          <w:p w14:paraId="3DDE691C" w14:textId="34AA020C" w:rsidR="003523B9" w:rsidRDefault="00C5648E" w:rsidP="001A69D6">
            <w:r>
              <w:t xml:space="preserve">For </w:t>
            </w:r>
            <w:r w:rsidR="00113284">
              <w:t xml:space="preserve">acute </w:t>
            </w:r>
            <w:r>
              <w:t>diabetic</w:t>
            </w:r>
            <w:r w:rsidR="00113284">
              <w:t xml:space="preserve"> and</w:t>
            </w:r>
            <w:r>
              <w:t xml:space="preserve"> respiratory outcomes, we will </w:t>
            </w:r>
            <w:r w:rsidR="007777E0">
              <w:t>calculate the proportion of</w:t>
            </w:r>
            <w:r>
              <w:t xml:space="preserve"> people with diabetes</w:t>
            </w:r>
            <w:r w:rsidR="00113284">
              <w:t xml:space="preserve"> and </w:t>
            </w:r>
            <w:r>
              <w:t>respiratory disease</w:t>
            </w:r>
            <w:r w:rsidR="007777E0">
              <w:t xml:space="preserve"> </w:t>
            </w:r>
            <w:r w:rsidR="00911882">
              <w:t xml:space="preserve">(see detail in </w:t>
            </w:r>
            <w:r w:rsidR="00911882" w:rsidRPr="00911882">
              <w:rPr>
                <w:b/>
                <w:bCs/>
              </w:rPr>
              <w:t>Section L</w:t>
            </w:r>
            <w:r w:rsidR="00911882">
              <w:t xml:space="preserve">) </w:t>
            </w:r>
            <w:r w:rsidR="007777E0">
              <w:t>who</w:t>
            </w:r>
            <w:r>
              <w:t xml:space="preserve"> experience the outcome of interest each week</w:t>
            </w:r>
            <w:r w:rsidR="00EE7E6E">
              <w:t xml:space="preserve"> for the duration of the study period (2017 to latest data available)</w:t>
            </w:r>
            <w:r>
              <w:t>. So, in a given week</w:t>
            </w:r>
            <w:r w:rsidR="00181530">
              <w:t>, for example,</w:t>
            </w:r>
            <w:r>
              <w:t xml:space="preserve"> </w:t>
            </w:r>
            <w:r w:rsidR="00F27FFA">
              <w:t>we will calculate the proportion of all diabetics who have a record for a diabetic emergency.</w:t>
            </w:r>
          </w:p>
          <w:p w14:paraId="3D5C7FCF" w14:textId="209FFBE5" w:rsidR="00F27FFA" w:rsidRDefault="00F27FFA" w:rsidP="001A69D6"/>
          <w:p w14:paraId="2E686B89" w14:textId="5614D0B8" w:rsidR="007777E0" w:rsidRDefault="00F27FFA" w:rsidP="001A69D6">
            <w:r>
              <w:t>For mental illness outcomes</w:t>
            </w:r>
            <w:r w:rsidR="005156EC">
              <w:t xml:space="preserve">, </w:t>
            </w:r>
            <w:r>
              <w:t>alcohol-related harms</w:t>
            </w:r>
            <w:r w:rsidR="005156EC">
              <w:t xml:space="preserve"> and cardiovascular disease outcomes</w:t>
            </w:r>
            <w:r>
              <w:t xml:space="preserve">, where </w:t>
            </w:r>
            <w:r w:rsidR="005156EC">
              <w:t xml:space="preserve">the study population will be </w:t>
            </w:r>
            <w:r w:rsidR="00D20F7C">
              <w:t>the</w:t>
            </w:r>
            <w:r w:rsidR="005156EC">
              <w:t xml:space="preserve"> </w:t>
            </w:r>
            <w:proofErr w:type="spellStart"/>
            <w:r w:rsidR="005156EC">
              <w:t>Aurum</w:t>
            </w:r>
            <w:proofErr w:type="spellEnd"/>
            <w:r w:rsidR="005156EC">
              <w:t xml:space="preserve"> population</w:t>
            </w:r>
            <w:r w:rsidR="006A3711">
              <w:t xml:space="preserve"> from 2017</w:t>
            </w:r>
            <w:r w:rsidR="001409CC">
              <w:t xml:space="preserve"> (with age restrictions varying for each outcome)</w:t>
            </w:r>
            <w:r w:rsidR="007777E0">
              <w:t xml:space="preserve">, we will </w:t>
            </w:r>
            <w:r w:rsidR="00B25ED5">
              <w:t xml:space="preserve">calculate the proportion of people in the </w:t>
            </w:r>
            <w:r w:rsidR="006A3711">
              <w:t>study</w:t>
            </w:r>
            <w:r w:rsidR="00B25ED5">
              <w:t xml:space="preserve"> population (in outcome-specific age limits, </w:t>
            </w:r>
            <w:r w:rsidR="00E10690">
              <w:t xml:space="preserve">see </w:t>
            </w:r>
            <w:r w:rsidR="00E10690" w:rsidRPr="00E10690">
              <w:rPr>
                <w:b/>
                <w:bCs/>
              </w:rPr>
              <w:t>Section L</w:t>
            </w:r>
            <w:r w:rsidR="00E10690">
              <w:t>) who experience the outcome of interest</w:t>
            </w:r>
            <w:r w:rsidR="00D81EC3">
              <w:t>.</w:t>
            </w:r>
          </w:p>
          <w:p w14:paraId="51BFDCC0" w14:textId="6C922691" w:rsidR="00C5648E" w:rsidRPr="00CD13D5" w:rsidRDefault="00C5648E" w:rsidP="001A69D6"/>
        </w:tc>
      </w:tr>
      <w:tr w:rsidR="00672602" w:rsidRPr="00CD13D5" w14:paraId="6536C447" w14:textId="77777777" w:rsidTr="001A69D6">
        <w:tc>
          <w:tcPr>
            <w:tcW w:w="10456" w:type="dxa"/>
            <w:shd w:val="clear" w:color="auto" w:fill="auto"/>
          </w:tcPr>
          <w:p w14:paraId="46A146D4" w14:textId="77777777" w:rsidR="00672602" w:rsidRPr="00CD13D5" w:rsidRDefault="00672602" w:rsidP="001A69D6">
            <w:pPr>
              <w:pStyle w:val="Heading2"/>
              <w:numPr>
                <w:ilvl w:val="0"/>
                <w:numId w:val="8"/>
              </w:numPr>
            </w:pPr>
            <w:r w:rsidRPr="00CD13D5">
              <w:t>Exposures, Outcomes and Covariates</w:t>
            </w:r>
          </w:p>
          <w:p w14:paraId="494BFA78" w14:textId="297735AF" w:rsidR="003523B9" w:rsidRPr="001A16DB" w:rsidRDefault="001A16DB" w:rsidP="001A69D6">
            <w:pPr>
              <w:rPr>
                <w:b/>
                <w:bCs/>
              </w:rPr>
            </w:pPr>
            <w:r w:rsidRPr="001A16DB">
              <w:rPr>
                <w:b/>
                <w:bCs/>
              </w:rPr>
              <w:t>Exposure</w:t>
            </w:r>
          </w:p>
          <w:p w14:paraId="34E88AD2" w14:textId="7BAC34F9" w:rsidR="001A16DB" w:rsidRDefault="001A16DB" w:rsidP="001A69D6">
            <w:r>
              <w:rPr>
                <w:rFonts w:cs="Arial"/>
                <w:color w:val="000000"/>
                <w:szCs w:val="20"/>
              </w:rPr>
              <w:t>Our exposure will be the introduction</w:t>
            </w:r>
            <w:r w:rsidRPr="00253652">
              <w:rPr>
                <w:rFonts w:cs="Arial"/>
                <w:color w:val="000000"/>
                <w:szCs w:val="20"/>
              </w:rPr>
              <w:t xml:space="preserve"> of population wide COVID-19 control measures (Friday </w:t>
            </w:r>
            <w:r w:rsidR="00851299">
              <w:rPr>
                <w:rFonts w:cs="Arial"/>
                <w:color w:val="000000"/>
                <w:szCs w:val="20"/>
              </w:rPr>
              <w:t>13</w:t>
            </w:r>
            <w:r w:rsidR="00851299" w:rsidRPr="00851299">
              <w:rPr>
                <w:rFonts w:cs="Arial"/>
                <w:color w:val="000000"/>
                <w:szCs w:val="20"/>
                <w:vertAlign w:val="superscript"/>
              </w:rPr>
              <w:t>th</w:t>
            </w:r>
            <w:r w:rsidR="00851299">
              <w:rPr>
                <w:rFonts w:cs="Arial"/>
                <w:color w:val="000000"/>
                <w:szCs w:val="20"/>
              </w:rPr>
              <w:t xml:space="preserve"> </w:t>
            </w:r>
            <w:r w:rsidRPr="00253652">
              <w:rPr>
                <w:rFonts w:cs="Arial"/>
                <w:color w:val="000000"/>
                <w:szCs w:val="20"/>
              </w:rPr>
              <w:t>March 2020). We will also undertake sensitivity analyses going back one month before measures were introduced</w:t>
            </w:r>
            <w:r w:rsidR="00F54169">
              <w:rPr>
                <w:rFonts w:cs="Arial"/>
                <w:color w:val="000000"/>
                <w:szCs w:val="20"/>
              </w:rPr>
              <w:t>, and</w:t>
            </w:r>
            <w:r w:rsidR="00C421B4">
              <w:rPr>
                <w:rFonts w:cs="Arial"/>
                <w:color w:val="000000"/>
                <w:szCs w:val="20"/>
              </w:rPr>
              <w:t xml:space="preserve"> also</w:t>
            </w:r>
            <w:r w:rsidR="00F54169">
              <w:rPr>
                <w:rFonts w:cs="Arial"/>
                <w:color w:val="000000"/>
                <w:szCs w:val="20"/>
              </w:rPr>
              <w:t xml:space="preserve"> investigating how disease burden changes as lockdown is lifted or, potentially, in subsequent lockdowns </w:t>
            </w:r>
            <w:r w:rsidR="0091602B">
              <w:rPr>
                <w:rFonts w:cs="Arial"/>
                <w:color w:val="000000"/>
                <w:szCs w:val="20"/>
              </w:rPr>
              <w:t>(</w:t>
            </w:r>
            <w:r w:rsidR="0091602B" w:rsidRPr="0091602B">
              <w:rPr>
                <w:rFonts w:cs="Arial"/>
                <w:b/>
                <w:bCs/>
                <w:color w:val="000000"/>
                <w:szCs w:val="20"/>
              </w:rPr>
              <w:t>Section O</w:t>
            </w:r>
            <w:r w:rsidR="0091602B">
              <w:rPr>
                <w:rFonts w:cs="Arial"/>
                <w:color w:val="000000"/>
                <w:szCs w:val="20"/>
              </w:rPr>
              <w:t>)</w:t>
            </w:r>
            <w:r w:rsidR="00F54169">
              <w:rPr>
                <w:rFonts w:cs="Arial"/>
                <w:color w:val="000000"/>
                <w:szCs w:val="20"/>
              </w:rPr>
              <w:t>.</w:t>
            </w:r>
          </w:p>
          <w:p w14:paraId="3E212F67" w14:textId="4CF3F453" w:rsidR="001A16DB" w:rsidRDefault="001A16DB" w:rsidP="001A69D6"/>
          <w:p w14:paraId="2B0577BA" w14:textId="33F2E322" w:rsidR="00750CFD" w:rsidRDefault="001A16DB" w:rsidP="001A69D6">
            <w:pPr>
              <w:rPr>
                <w:b/>
                <w:bCs/>
              </w:rPr>
            </w:pPr>
            <w:r w:rsidRPr="001A16DB">
              <w:rPr>
                <w:b/>
                <w:bCs/>
              </w:rPr>
              <w:t>Outcomes</w:t>
            </w:r>
          </w:p>
          <w:p w14:paraId="08006EAA" w14:textId="6A3BC51B" w:rsidR="00824503" w:rsidRDefault="00824503" w:rsidP="001A69D6">
            <w:pPr>
              <w:spacing w:after="120"/>
            </w:pPr>
            <w:r>
              <w:t>We will define all outcomes using morbidity coding initially in primary care only, and then, as up-to-date hospital data becomes available, we will also use hospital record data to more completely capture outcomes in a sensitivity analysis limited to individuals eligible for HES linkage</w:t>
            </w:r>
            <w:r w:rsidR="00F078E1">
              <w:t xml:space="preserve"> (and to investigate whether any reduction in primary care coding is explained by increases in hospital admissions)</w:t>
            </w:r>
            <w:r>
              <w:t>.</w:t>
            </w:r>
          </w:p>
          <w:p w14:paraId="755008D0" w14:textId="0C416889" w:rsidR="00824503" w:rsidRDefault="004D21E8" w:rsidP="001A69D6">
            <w:pPr>
              <w:spacing w:after="120"/>
            </w:pPr>
            <w:r>
              <w:t>For some outcomes we will define a period during which we will regard further coding for the same outcome as representing the same biological event. We will use different outcome-specific time periods to define outcome events to account for differences in the natural history of the different outcomes under investigation</w:t>
            </w:r>
            <w:r w:rsidR="005D5360">
              <w:t xml:space="preserve">. </w:t>
            </w:r>
            <w:r w:rsidR="006702E8" w:rsidRPr="00C525AF">
              <w:rPr>
                <w:b/>
                <w:bCs/>
              </w:rPr>
              <w:t xml:space="preserve">Table </w:t>
            </w:r>
            <w:r w:rsidR="0083285C">
              <w:rPr>
                <w:b/>
                <w:bCs/>
              </w:rPr>
              <w:t>2</w:t>
            </w:r>
            <w:r w:rsidR="006702E8">
              <w:t xml:space="preserve"> includes a summary of how we will define our outcome measures.</w:t>
            </w:r>
          </w:p>
          <w:p w14:paraId="68A61C69" w14:textId="02D38CCB" w:rsidR="006702E8" w:rsidRPr="00824503" w:rsidRDefault="006702E8" w:rsidP="001A69D6">
            <w:r w:rsidRPr="00C525AF">
              <w:rPr>
                <w:b/>
                <w:bCs/>
              </w:rPr>
              <w:t xml:space="preserve">Table </w:t>
            </w:r>
            <w:r w:rsidR="0083285C">
              <w:rPr>
                <w:b/>
                <w:bCs/>
              </w:rPr>
              <w:t>2</w:t>
            </w:r>
            <w:r w:rsidRPr="00C525AF">
              <w:rPr>
                <w:b/>
                <w:bCs/>
              </w:rPr>
              <w:t>.</w:t>
            </w:r>
            <w:r>
              <w:t xml:space="preserve"> </w:t>
            </w:r>
            <w:r w:rsidR="00C525AF">
              <w:t>Definition o</w:t>
            </w:r>
            <w:r w:rsidR="00C72330">
              <w:t>f</w:t>
            </w:r>
            <w:r w:rsidR="00C525AF">
              <w:t xml:space="preserve"> outcome variables (defined using primary care coding only in our main analyses, and additionally using hospital admissions coding in sensitivity analys</w:t>
            </w:r>
            <w:r w:rsidR="00C72330">
              <w:t>e</w:t>
            </w:r>
            <w:r w:rsidR="00C525AF">
              <w:t>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2433"/>
              <w:gridCol w:w="7797"/>
            </w:tblGrid>
            <w:tr w:rsidR="001A16DB" w:rsidRPr="00105958" w14:paraId="45E82CD2" w14:textId="77777777" w:rsidTr="00F90A11">
              <w:trPr>
                <w:cantSplit/>
                <w:tblHeader/>
              </w:trPr>
              <w:tc>
                <w:tcPr>
                  <w:tcW w:w="2433" w:type="dxa"/>
                  <w:tcBorders>
                    <w:bottom w:val="single" w:sz="4" w:space="0" w:color="auto"/>
                  </w:tcBorders>
                </w:tcPr>
                <w:p w14:paraId="68147A2F" w14:textId="37613E3C" w:rsidR="001A16DB" w:rsidRPr="00DC596E" w:rsidRDefault="001A16DB" w:rsidP="001A69D6">
                  <w:pPr>
                    <w:rPr>
                      <w:b/>
                      <w:bCs/>
                      <w:sz w:val="18"/>
                      <w:szCs w:val="18"/>
                    </w:rPr>
                  </w:pPr>
                  <w:r w:rsidRPr="00DC596E">
                    <w:rPr>
                      <w:b/>
                      <w:bCs/>
                      <w:sz w:val="18"/>
                      <w:szCs w:val="18"/>
                    </w:rPr>
                    <w:t>Outcome</w:t>
                  </w:r>
                </w:p>
              </w:tc>
              <w:tc>
                <w:tcPr>
                  <w:tcW w:w="7797" w:type="dxa"/>
                  <w:tcBorders>
                    <w:bottom w:val="single" w:sz="4" w:space="0" w:color="auto"/>
                  </w:tcBorders>
                </w:tcPr>
                <w:p w14:paraId="74A054F5" w14:textId="54EEB8AE" w:rsidR="001A16DB" w:rsidRPr="00DC596E" w:rsidRDefault="001A16DB" w:rsidP="001A69D6">
                  <w:pPr>
                    <w:rPr>
                      <w:b/>
                      <w:bCs/>
                      <w:sz w:val="18"/>
                      <w:szCs w:val="18"/>
                    </w:rPr>
                  </w:pPr>
                  <w:r w:rsidRPr="00DC596E">
                    <w:rPr>
                      <w:b/>
                      <w:bCs/>
                      <w:sz w:val="18"/>
                      <w:szCs w:val="18"/>
                    </w:rPr>
                    <w:t>Definition</w:t>
                  </w:r>
                </w:p>
              </w:tc>
            </w:tr>
            <w:tr w:rsidR="00F90A11" w:rsidRPr="00105958" w14:paraId="0579B5D2" w14:textId="77777777" w:rsidTr="00F90A11">
              <w:tc>
                <w:tcPr>
                  <w:tcW w:w="2433" w:type="dxa"/>
                  <w:tcBorders>
                    <w:right w:val="nil"/>
                  </w:tcBorders>
                  <w:shd w:val="clear" w:color="auto" w:fill="F2F2F2" w:themeFill="background1" w:themeFillShade="F2"/>
                </w:tcPr>
                <w:p w14:paraId="0AE461E6" w14:textId="720B8DD7" w:rsidR="00F90A11" w:rsidRPr="00F90A11" w:rsidRDefault="00F90A11" w:rsidP="001A69D6">
                  <w:pPr>
                    <w:rPr>
                      <w:i/>
                      <w:iCs/>
                      <w:sz w:val="18"/>
                      <w:szCs w:val="18"/>
                    </w:rPr>
                  </w:pPr>
                  <w:r w:rsidRPr="00F90A11">
                    <w:rPr>
                      <w:i/>
                      <w:iCs/>
                      <w:sz w:val="18"/>
                      <w:szCs w:val="18"/>
                    </w:rPr>
                    <w:t>Diabetes</w:t>
                  </w:r>
                </w:p>
              </w:tc>
              <w:tc>
                <w:tcPr>
                  <w:tcW w:w="7797" w:type="dxa"/>
                  <w:tcBorders>
                    <w:left w:val="nil"/>
                  </w:tcBorders>
                  <w:shd w:val="clear" w:color="auto" w:fill="F2F2F2" w:themeFill="background1" w:themeFillShade="F2"/>
                </w:tcPr>
                <w:p w14:paraId="768C7537" w14:textId="77777777" w:rsidR="00F90A11" w:rsidRPr="00105958" w:rsidRDefault="00F90A11" w:rsidP="001A69D6">
                  <w:pPr>
                    <w:rPr>
                      <w:sz w:val="18"/>
                      <w:szCs w:val="18"/>
                    </w:rPr>
                  </w:pPr>
                </w:p>
              </w:tc>
            </w:tr>
            <w:tr w:rsidR="001A16DB" w:rsidRPr="00105958" w14:paraId="5FB10EBE" w14:textId="77777777" w:rsidTr="00F90A11">
              <w:tc>
                <w:tcPr>
                  <w:tcW w:w="2433" w:type="dxa"/>
                  <w:tcBorders>
                    <w:bottom w:val="single" w:sz="4" w:space="0" w:color="auto"/>
                  </w:tcBorders>
                </w:tcPr>
                <w:p w14:paraId="770C4AD4" w14:textId="44EBBD5F" w:rsidR="001A16DB" w:rsidRPr="00105958" w:rsidRDefault="00750CFD" w:rsidP="001A69D6">
                  <w:pPr>
                    <w:rPr>
                      <w:sz w:val="18"/>
                      <w:szCs w:val="18"/>
                    </w:rPr>
                  </w:pPr>
                  <w:r w:rsidRPr="00105958">
                    <w:rPr>
                      <w:sz w:val="18"/>
                      <w:szCs w:val="18"/>
                    </w:rPr>
                    <w:t>Diabetic emergencies</w:t>
                  </w:r>
                </w:p>
              </w:tc>
              <w:tc>
                <w:tcPr>
                  <w:tcW w:w="7797" w:type="dxa"/>
                  <w:tcBorders>
                    <w:bottom w:val="single" w:sz="4" w:space="0" w:color="auto"/>
                  </w:tcBorders>
                </w:tcPr>
                <w:p w14:paraId="2D9F9F5A" w14:textId="016D035B" w:rsidR="001A16DB" w:rsidRPr="00105958" w:rsidRDefault="00567B4C" w:rsidP="001A69D6">
                  <w:pPr>
                    <w:rPr>
                      <w:sz w:val="18"/>
                      <w:szCs w:val="18"/>
                    </w:rPr>
                  </w:pPr>
                  <w:r w:rsidRPr="00105958">
                    <w:rPr>
                      <w:sz w:val="18"/>
                      <w:szCs w:val="18"/>
                    </w:rPr>
                    <w:t>Records</w:t>
                  </w:r>
                  <w:r w:rsidR="00522B03" w:rsidRPr="00105958">
                    <w:rPr>
                      <w:sz w:val="18"/>
                      <w:szCs w:val="18"/>
                    </w:rPr>
                    <w:t xml:space="preserve"> coded with morbidity codes for hyperglycaemia, hypoglycaemia, ketoacidosis, or diabetic coma. </w:t>
                  </w:r>
                  <w:r w:rsidR="005709C0" w:rsidRPr="00105958">
                    <w:rPr>
                      <w:sz w:val="18"/>
                      <w:szCs w:val="18"/>
                    </w:rPr>
                    <w:t>If an individual has multiple records for a diabetic emergencies, we</w:t>
                  </w:r>
                  <w:r w:rsidR="00522B03" w:rsidRPr="00105958">
                    <w:rPr>
                      <w:sz w:val="18"/>
                      <w:szCs w:val="18"/>
                    </w:rPr>
                    <w:t xml:space="preserve"> will define </w:t>
                  </w:r>
                  <w:r w:rsidR="005709C0" w:rsidRPr="00105958">
                    <w:rPr>
                      <w:sz w:val="18"/>
                      <w:szCs w:val="18"/>
                    </w:rPr>
                    <w:t xml:space="preserve">an acute </w:t>
                  </w:r>
                  <w:r w:rsidR="00522B03" w:rsidRPr="00105958">
                    <w:rPr>
                      <w:sz w:val="18"/>
                      <w:szCs w:val="18"/>
                    </w:rPr>
                    <w:t>event</w:t>
                  </w:r>
                  <w:r w:rsidR="005709C0" w:rsidRPr="00105958">
                    <w:rPr>
                      <w:sz w:val="18"/>
                      <w:szCs w:val="18"/>
                    </w:rPr>
                    <w:t xml:space="preserve"> </w:t>
                  </w:r>
                  <w:r w:rsidR="00522B03" w:rsidRPr="00105958">
                    <w:rPr>
                      <w:sz w:val="18"/>
                      <w:szCs w:val="18"/>
                    </w:rPr>
                    <w:t xml:space="preserve">based on records separated by a gap of up to </w:t>
                  </w:r>
                  <w:r w:rsidR="00522B03" w:rsidRPr="00105958">
                    <w:rPr>
                      <w:b/>
                      <w:bCs/>
                      <w:sz w:val="18"/>
                      <w:szCs w:val="18"/>
                    </w:rPr>
                    <w:t>seven days</w:t>
                  </w:r>
                  <w:r w:rsidR="00522B03" w:rsidRPr="00105958">
                    <w:rPr>
                      <w:sz w:val="18"/>
                      <w:szCs w:val="18"/>
                    </w:rPr>
                    <w:t xml:space="preserve">; if an individual has a subsequent record within the seven days following the first record, the second record will be considered as representing the same event, and so on until there is a gap of more than seven days between </w:t>
                  </w:r>
                  <w:r w:rsidR="005709C0" w:rsidRPr="00105958">
                    <w:rPr>
                      <w:sz w:val="18"/>
                      <w:szCs w:val="18"/>
                    </w:rPr>
                    <w:t xml:space="preserve">subsequent </w:t>
                  </w:r>
                  <w:r w:rsidR="00522B03" w:rsidRPr="00105958">
                    <w:rPr>
                      <w:sz w:val="18"/>
                      <w:szCs w:val="18"/>
                    </w:rPr>
                    <w:t>records, at which point the next record will be considered another diabetic emergency event.</w:t>
                  </w:r>
                </w:p>
              </w:tc>
            </w:tr>
            <w:tr w:rsidR="00F90A11" w:rsidRPr="00105958" w14:paraId="0BBE9727" w14:textId="77777777" w:rsidTr="00F90A11">
              <w:tc>
                <w:tcPr>
                  <w:tcW w:w="2433" w:type="dxa"/>
                  <w:tcBorders>
                    <w:right w:val="nil"/>
                  </w:tcBorders>
                  <w:shd w:val="clear" w:color="auto" w:fill="F2F2F2" w:themeFill="background1" w:themeFillShade="F2"/>
                </w:tcPr>
                <w:p w14:paraId="637A4E1B" w14:textId="06F9515C" w:rsidR="00F90A11" w:rsidRPr="00F90A11" w:rsidRDefault="00F90A11" w:rsidP="001A69D6">
                  <w:pPr>
                    <w:rPr>
                      <w:i/>
                      <w:iCs/>
                      <w:sz w:val="18"/>
                      <w:szCs w:val="18"/>
                    </w:rPr>
                  </w:pPr>
                  <w:r w:rsidRPr="00F90A11">
                    <w:rPr>
                      <w:i/>
                      <w:iCs/>
                      <w:sz w:val="18"/>
                      <w:szCs w:val="18"/>
                    </w:rPr>
                    <w:t>Mental health</w:t>
                  </w:r>
                </w:p>
              </w:tc>
              <w:tc>
                <w:tcPr>
                  <w:tcW w:w="7797" w:type="dxa"/>
                  <w:tcBorders>
                    <w:left w:val="nil"/>
                  </w:tcBorders>
                  <w:shd w:val="clear" w:color="auto" w:fill="F2F2F2" w:themeFill="background1" w:themeFillShade="F2"/>
                </w:tcPr>
                <w:p w14:paraId="66134157" w14:textId="77777777" w:rsidR="00F90A11" w:rsidRPr="002C6924" w:rsidRDefault="00F90A11" w:rsidP="001A69D6">
                  <w:pPr>
                    <w:rPr>
                      <w:sz w:val="18"/>
                      <w:szCs w:val="18"/>
                    </w:rPr>
                  </w:pPr>
                </w:p>
              </w:tc>
            </w:tr>
            <w:tr w:rsidR="00EB6168" w:rsidRPr="00105958" w14:paraId="74A438E1" w14:textId="77777777" w:rsidTr="00105958">
              <w:tc>
                <w:tcPr>
                  <w:tcW w:w="2433" w:type="dxa"/>
                </w:tcPr>
                <w:p w14:paraId="1C6DB09D" w14:textId="55BD8FE9" w:rsidR="00EB6168" w:rsidRPr="00105958" w:rsidRDefault="00EB6168" w:rsidP="001A69D6">
                  <w:pPr>
                    <w:rPr>
                      <w:sz w:val="18"/>
                      <w:szCs w:val="18"/>
                    </w:rPr>
                  </w:pPr>
                  <w:r w:rsidRPr="00105958">
                    <w:rPr>
                      <w:sz w:val="18"/>
                      <w:szCs w:val="18"/>
                    </w:rPr>
                    <w:t>Anxiety</w:t>
                  </w:r>
                </w:p>
              </w:tc>
              <w:tc>
                <w:tcPr>
                  <w:tcW w:w="7797" w:type="dxa"/>
                </w:tcPr>
                <w:p w14:paraId="371D286A" w14:textId="35558D88" w:rsidR="00EB6168" w:rsidRPr="00105958" w:rsidRDefault="00EB6168" w:rsidP="001A69D6">
                  <w:pPr>
                    <w:rPr>
                      <w:sz w:val="18"/>
                      <w:szCs w:val="18"/>
                    </w:rPr>
                  </w:pPr>
                  <w:r w:rsidRPr="002C6924">
                    <w:rPr>
                      <w:sz w:val="18"/>
                      <w:szCs w:val="18"/>
                    </w:rPr>
                    <w:t>Anxiety will be defined by codes for symptoms and diagnoses of</w:t>
                  </w:r>
                  <w:r>
                    <w:rPr>
                      <w:sz w:val="18"/>
                      <w:szCs w:val="18"/>
                    </w:rPr>
                    <w:t>:</w:t>
                  </w:r>
                  <w:r w:rsidRPr="002C6924">
                    <w:rPr>
                      <w:sz w:val="18"/>
                      <w:szCs w:val="18"/>
                    </w:rPr>
                    <w:t xml:space="preserve"> social phobia, agoraphobia, panic disorders, generalized anxiety disorder</w:t>
                  </w:r>
                  <w:r>
                    <w:rPr>
                      <w:sz w:val="18"/>
                      <w:szCs w:val="18"/>
                    </w:rPr>
                    <w:t>,</w:t>
                  </w:r>
                  <w:r w:rsidRPr="002C6924">
                    <w:rPr>
                      <w:sz w:val="18"/>
                      <w:szCs w:val="18"/>
                    </w:rPr>
                    <w:t xml:space="preserve"> and mixed anxiety and depression. </w:t>
                  </w:r>
                  <w:r>
                    <w:rPr>
                      <w:sz w:val="18"/>
                      <w:szCs w:val="18"/>
                    </w:rPr>
                    <w:t xml:space="preserve">We will only count one consultation in a </w:t>
                  </w:r>
                  <w:r w:rsidRPr="001605AD">
                    <w:rPr>
                      <w:b/>
                      <w:bCs/>
                      <w:sz w:val="18"/>
                      <w:szCs w:val="18"/>
                    </w:rPr>
                    <w:t>7-day period</w:t>
                  </w:r>
                  <w:r>
                    <w:rPr>
                      <w:sz w:val="18"/>
                      <w:szCs w:val="18"/>
                    </w:rPr>
                    <w:t xml:space="preserve"> per person (i.e. if an individual has two or more consultations separated by less than 7 days we will only count the first of those consultations, a subsequent consultation recorded 7-days or more from the first record, irrespective of whether there is a intervening record(s) will also be counted). Here we are aiming to capture the number of people consulting each week</w:t>
                  </w:r>
                  <w:r w:rsidR="002F6811">
                    <w:rPr>
                      <w:sz w:val="18"/>
                      <w:szCs w:val="18"/>
                    </w:rPr>
                    <w:t xml:space="preserve">, and </w:t>
                  </w:r>
                  <w:r w:rsidR="00C351D8">
                    <w:rPr>
                      <w:sz w:val="18"/>
                      <w:szCs w:val="18"/>
                    </w:rPr>
                    <w:t xml:space="preserve">will </w:t>
                  </w:r>
                  <w:r w:rsidR="002F6811">
                    <w:rPr>
                      <w:sz w:val="18"/>
                      <w:szCs w:val="18"/>
                    </w:rPr>
                    <w:t xml:space="preserve">only count one consultation per person </w:t>
                  </w:r>
                  <w:r w:rsidR="002F6811" w:rsidRPr="001605AD">
                    <w:rPr>
                      <w:b/>
                      <w:bCs/>
                      <w:sz w:val="18"/>
                      <w:szCs w:val="18"/>
                    </w:rPr>
                    <w:t>per week</w:t>
                  </w:r>
                  <w:r w:rsidR="002F6811">
                    <w:rPr>
                      <w:sz w:val="18"/>
                      <w:szCs w:val="18"/>
                    </w:rPr>
                    <w:t>.</w:t>
                  </w:r>
                </w:p>
              </w:tc>
            </w:tr>
            <w:tr w:rsidR="00EB6168" w:rsidRPr="00105958" w14:paraId="3D89C81A" w14:textId="77777777" w:rsidTr="00105958">
              <w:tc>
                <w:tcPr>
                  <w:tcW w:w="2433" w:type="dxa"/>
                </w:tcPr>
                <w:p w14:paraId="1F7B9071" w14:textId="06A0F13E" w:rsidR="00EB6168" w:rsidRPr="00105958" w:rsidRDefault="00EB6168" w:rsidP="001A69D6">
                  <w:pPr>
                    <w:rPr>
                      <w:sz w:val="18"/>
                      <w:szCs w:val="18"/>
                    </w:rPr>
                  </w:pPr>
                  <w:r w:rsidRPr="00105958">
                    <w:rPr>
                      <w:sz w:val="18"/>
                      <w:szCs w:val="18"/>
                    </w:rPr>
                    <w:t>Depression</w:t>
                  </w:r>
                </w:p>
              </w:tc>
              <w:tc>
                <w:tcPr>
                  <w:tcW w:w="7797" w:type="dxa"/>
                </w:tcPr>
                <w:p w14:paraId="6260FAFE" w14:textId="6753865A" w:rsidR="00EB6168" w:rsidRPr="00105958" w:rsidRDefault="00EB6168" w:rsidP="001A69D6">
                  <w:pPr>
                    <w:rPr>
                      <w:sz w:val="18"/>
                      <w:szCs w:val="18"/>
                    </w:rPr>
                  </w:pPr>
                  <w:r w:rsidRPr="002C6924">
                    <w:rPr>
                      <w:sz w:val="18"/>
                      <w:szCs w:val="18"/>
                    </w:rPr>
                    <w:t>Depression will be defined using codes for diagnoses of major depressive disorders, dysthymia, mixed anxiety and depression, and adjustment disorders with depress</w:t>
                  </w:r>
                  <w:r>
                    <w:rPr>
                      <w:sz w:val="18"/>
                      <w:szCs w:val="18"/>
                    </w:rPr>
                    <w:t>ed</w:t>
                  </w:r>
                  <w:r w:rsidRPr="002C6924">
                    <w:rPr>
                      <w:sz w:val="18"/>
                      <w:szCs w:val="18"/>
                    </w:rPr>
                    <w:t xml:space="preserve"> mood. </w:t>
                  </w:r>
                  <w:r>
                    <w:rPr>
                      <w:sz w:val="18"/>
                      <w:szCs w:val="18"/>
                    </w:rPr>
                    <w:t>We will also include codes</w:t>
                  </w:r>
                  <w:r w:rsidRPr="002C6924">
                    <w:rPr>
                      <w:sz w:val="18"/>
                      <w:szCs w:val="18"/>
                    </w:rPr>
                    <w:t xml:space="preserve"> for depressive symptoms. </w:t>
                  </w:r>
                  <w:r>
                    <w:rPr>
                      <w:sz w:val="18"/>
                      <w:szCs w:val="18"/>
                    </w:rPr>
                    <w:t>Our</w:t>
                  </w:r>
                  <w:r w:rsidRPr="002C6924">
                    <w:rPr>
                      <w:sz w:val="18"/>
                      <w:szCs w:val="18"/>
                    </w:rPr>
                    <w:t xml:space="preserve"> outcome will be the number </w:t>
                  </w:r>
                  <w:r>
                    <w:rPr>
                      <w:sz w:val="18"/>
                      <w:szCs w:val="18"/>
                    </w:rPr>
                    <w:t>people consulting each</w:t>
                  </w:r>
                  <w:r w:rsidRPr="002C6924">
                    <w:rPr>
                      <w:sz w:val="18"/>
                      <w:szCs w:val="18"/>
                    </w:rPr>
                    <w:t xml:space="preserve"> week</w:t>
                  </w:r>
                  <w:r>
                    <w:rPr>
                      <w:sz w:val="18"/>
                      <w:szCs w:val="18"/>
                    </w:rPr>
                    <w:t xml:space="preserve">. As for anxiety, we will only count one consultation per person </w:t>
                  </w:r>
                  <w:r w:rsidRPr="001605AD">
                    <w:rPr>
                      <w:b/>
                      <w:bCs/>
                      <w:sz w:val="18"/>
                      <w:szCs w:val="18"/>
                    </w:rPr>
                    <w:t>per week</w:t>
                  </w:r>
                  <w:r>
                    <w:rPr>
                      <w:sz w:val="18"/>
                      <w:szCs w:val="18"/>
                    </w:rPr>
                    <w:t>.</w:t>
                  </w:r>
                </w:p>
              </w:tc>
            </w:tr>
            <w:tr w:rsidR="00EB6168" w:rsidRPr="00105958" w14:paraId="7472F32A" w14:textId="77777777" w:rsidTr="00105958">
              <w:tc>
                <w:tcPr>
                  <w:tcW w:w="2433" w:type="dxa"/>
                </w:tcPr>
                <w:p w14:paraId="0A839024" w14:textId="0A5618B2" w:rsidR="00EB6168" w:rsidRPr="00105958" w:rsidRDefault="00EB6168" w:rsidP="001A69D6">
                  <w:pPr>
                    <w:rPr>
                      <w:sz w:val="18"/>
                      <w:szCs w:val="18"/>
                    </w:rPr>
                  </w:pPr>
                  <w:r w:rsidRPr="00105958">
                    <w:rPr>
                      <w:sz w:val="18"/>
                      <w:szCs w:val="18"/>
                    </w:rPr>
                    <w:t>Self-harm</w:t>
                  </w:r>
                </w:p>
              </w:tc>
              <w:tc>
                <w:tcPr>
                  <w:tcW w:w="7797" w:type="dxa"/>
                </w:tcPr>
                <w:p w14:paraId="23FE0AA8" w14:textId="77777777" w:rsidR="00EB6168" w:rsidRPr="002C6924" w:rsidRDefault="00EB6168" w:rsidP="001A69D6">
                  <w:pPr>
                    <w:rPr>
                      <w:sz w:val="18"/>
                      <w:szCs w:val="18"/>
                    </w:rPr>
                  </w:pPr>
                  <w:r w:rsidRPr="002C6924">
                    <w:rPr>
                      <w:sz w:val="18"/>
                      <w:szCs w:val="18"/>
                    </w:rPr>
                    <w:t>Self-harm will be defined by codes where the intention to self-harm is explicit (e.g. deliberate self-harm) and include codes of non-suicidal or suicidal self-harm (e.g. attempted suicide). It will also include overdoses with drugs commonly implicated in suicide (e.g. paracetamol).</w:t>
                  </w:r>
                </w:p>
                <w:p w14:paraId="743D7308" w14:textId="63EB8607" w:rsidR="00EB6168" w:rsidRPr="00105958" w:rsidRDefault="00EB6168" w:rsidP="001A69D6">
                  <w:pPr>
                    <w:rPr>
                      <w:sz w:val="18"/>
                      <w:szCs w:val="18"/>
                    </w:rPr>
                  </w:pPr>
                  <w:r w:rsidRPr="002C6924">
                    <w:rPr>
                      <w:sz w:val="18"/>
                      <w:szCs w:val="18"/>
                    </w:rPr>
                    <w:lastRenderedPageBreak/>
                    <w:t xml:space="preserve">Possible self-harm will be defined as when the intent is unclear (e.g. undetermined, </w:t>
                  </w:r>
                  <w:r>
                    <w:rPr>
                      <w:sz w:val="18"/>
                      <w:szCs w:val="18"/>
                    </w:rPr>
                    <w:t xml:space="preserve">query </w:t>
                  </w:r>
                  <w:r w:rsidRPr="002C6924">
                    <w:rPr>
                      <w:sz w:val="18"/>
                      <w:szCs w:val="18"/>
                    </w:rPr>
                    <w:t>accidental).</w:t>
                  </w:r>
                  <w:r>
                    <w:rPr>
                      <w:sz w:val="18"/>
                      <w:szCs w:val="18"/>
                    </w:rPr>
                    <w:t xml:space="preserve"> As for other mental illness outcomes, we will aim to capture the number of individuals consulting in one week, and only count one consultation per person </w:t>
                  </w:r>
                  <w:r w:rsidRPr="001605AD">
                    <w:rPr>
                      <w:b/>
                      <w:bCs/>
                      <w:sz w:val="18"/>
                      <w:szCs w:val="18"/>
                    </w:rPr>
                    <w:t>per week</w:t>
                  </w:r>
                  <w:r>
                    <w:rPr>
                      <w:sz w:val="18"/>
                      <w:szCs w:val="18"/>
                    </w:rPr>
                    <w:t>.</w:t>
                  </w:r>
                </w:p>
              </w:tc>
            </w:tr>
            <w:tr w:rsidR="00EB6168" w:rsidRPr="00105958" w14:paraId="092C4848" w14:textId="77777777" w:rsidTr="00105958">
              <w:tc>
                <w:tcPr>
                  <w:tcW w:w="2433" w:type="dxa"/>
                </w:tcPr>
                <w:p w14:paraId="7176E2FE" w14:textId="5D81A0D2" w:rsidR="00EB6168" w:rsidRPr="00105958" w:rsidRDefault="00EB6168" w:rsidP="001A69D6">
                  <w:pPr>
                    <w:rPr>
                      <w:sz w:val="18"/>
                      <w:szCs w:val="18"/>
                    </w:rPr>
                  </w:pPr>
                  <w:r w:rsidRPr="00105958">
                    <w:rPr>
                      <w:sz w:val="18"/>
                      <w:szCs w:val="18"/>
                    </w:rPr>
                    <w:lastRenderedPageBreak/>
                    <w:t>Serious mental illness</w:t>
                  </w:r>
                </w:p>
              </w:tc>
              <w:tc>
                <w:tcPr>
                  <w:tcW w:w="7797" w:type="dxa"/>
                </w:tcPr>
                <w:p w14:paraId="78EF235B" w14:textId="51036FCE" w:rsidR="00EB6168" w:rsidRPr="00105958" w:rsidRDefault="00EB6168" w:rsidP="001A69D6">
                  <w:pPr>
                    <w:rPr>
                      <w:sz w:val="18"/>
                      <w:szCs w:val="18"/>
                    </w:rPr>
                  </w:pPr>
                  <w:r w:rsidRPr="002C6924">
                    <w:rPr>
                      <w:sz w:val="18"/>
                      <w:szCs w:val="18"/>
                    </w:rPr>
                    <w:t xml:space="preserve">Severe mental </w:t>
                  </w:r>
                  <w:r>
                    <w:rPr>
                      <w:sz w:val="18"/>
                      <w:szCs w:val="18"/>
                    </w:rPr>
                    <w:t>illness</w:t>
                  </w:r>
                  <w:r w:rsidRPr="002C6924">
                    <w:rPr>
                      <w:sz w:val="18"/>
                      <w:szCs w:val="18"/>
                    </w:rPr>
                    <w:t xml:space="preserve"> will be defined by codes for diagnoses of schizophrenia and other psychotic disorders, and</w:t>
                  </w:r>
                  <w:r w:rsidRPr="00105958">
                    <w:rPr>
                      <w:sz w:val="18"/>
                      <w:szCs w:val="18"/>
                    </w:rPr>
                    <w:t xml:space="preserve"> bipolar </w:t>
                  </w:r>
                  <w:r w:rsidRPr="002C6924">
                    <w:rPr>
                      <w:sz w:val="18"/>
                      <w:szCs w:val="18"/>
                    </w:rPr>
                    <w:t>disorders.</w:t>
                  </w:r>
                  <w:r>
                    <w:rPr>
                      <w:sz w:val="18"/>
                      <w:szCs w:val="18"/>
                    </w:rPr>
                    <w:t xml:space="preserve"> As for other mental illness outcomes, we will aim to capture the number of individuals consulting in one week, and only count one consultation per person </w:t>
                  </w:r>
                  <w:r w:rsidRPr="001605AD">
                    <w:rPr>
                      <w:b/>
                      <w:bCs/>
                      <w:sz w:val="18"/>
                      <w:szCs w:val="18"/>
                    </w:rPr>
                    <w:t>per week</w:t>
                  </w:r>
                  <w:r>
                    <w:rPr>
                      <w:sz w:val="18"/>
                      <w:szCs w:val="18"/>
                    </w:rPr>
                    <w:t>.</w:t>
                  </w:r>
                </w:p>
              </w:tc>
            </w:tr>
            <w:tr w:rsidR="00EB6168" w:rsidRPr="00105958" w14:paraId="4A4B5220" w14:textId="77777777" w:rsidTr="00105958">
              <w:tc>
                <w:tcPr>
                  <w:tcW w:w="2433" w:type="dxa"/>
                </w:tcPr>
                <w:p w14:paraId="3B6B8361" w14:textId="0BE511AC" w:rsidR="00EB6168" w:rsidRPr="00105958" w:rsidRDefault="00EB6168" w:rsidP="001A69D6">
                  <w:pPr>
                    <w:rPr>
                      <w:sz w:val="18"/>
                      <w:szCs w:val="18"/>
                    </w:rPr>
                  </w:pPr>
                  <w:r>
                    <w:rPr>
                      <w:sz w:val="18"/>
                      <w:szCs w:val="18"/>
                    </w:rPr>
                    <w:t>Eating disorders</w:t>
                  </w:r>
                </w:p>
              </w:tc>
              <w:tc>
                <w:tcPr>
                  <w:tcW w:w="7797" w:type="dxa"/>
                </w:tcPr>
                <w:p w14:paraId="269C03D2" w14:textId="7912E6A4" w:rsidR="00EB6168" w:rsidRPr="00105958" w:rsidRDefault="00EB6168" w:rsidP="001A69D6">
                  <w:pPr>
                    <w:rPr>
                      <w:sz w:val="18"/>
                      <w:szCs w:val="18"/>
                    </w:rPr>
                  </w:pPr>
                  <w:r>
                    <w:rPr>
                      <w:sz w:val="18"/>
                      <w:szCs w:val="18"/>
                    </w:rPr>
                    <w:t xml:space="preserve">Eating disorders will be defined as anorexia nervosa, </w:t>
                  </w:r>
                  <w:r w:rsidR="00255142">
                    <w:rPr>
                      <w:sz w:val="18"/>
                      <w:szCs w:val="18"/>
                    </w:rPr>
                    <w:t>bulimia</w:t>
                  </w:r>
                  <w:r>
                    <w:rPr>
                      <w:sz w:val="18"/>
                      <w:szCs w:val="18"/>
                    </w:rPr>
                    <w:t xml:space="preserve"> nervosa, and other specified feeding and eating disorders. As for other mental illness outcomes, we will aim to capture the number of individuals consulting in one week, and only count one consultation per person </w:t>
                  </w:r>
                  <w:r w:rsidRPr="001605AD">
                    <w:rPr>
                      <w:b/>
                      <w:bCs/>
                      <w:sz w:val="18"/>
                      <w:szCs w:val="18"/>
                    </w:rPr>
                    <w:t>per week</w:t>
                  </w:r>
                  <w:r>
                    <w:rPr>
                      <w:sz w:val="18"/>
                      <w:szCs w:val="18"/>
                    </w:rPr>
                    <w:t>.</w:t>
                  </w:r>
                </w:p>
              </w:tc>
            </w:tr>
            <w:tr w:rsidR="00EB6168" w:rsidRPr="00105958" w14:paraId="6D27AF95" w14:textId="77777777" w:rsidTr="00105958">
              <w:tc>
                <w:tcPr>
                  <w:tcW w:w="2433" w:type="dxa"/>
                </w:tcPr>
                <w:p w14:paraId="11068F36" w14:textId="535D87F5" w:rsidR="00EB6168" w:rsidRPr="00105958" w:rsidRDefault="00EB6168" w:rsidP="001A69D6">
                  <w:pPr>
                    <w:rPr>
                      <w:sz w:val="18"/>
                      <w:szCs w:val="18"/>
                    </w:rPr>
                  </w:pPr>
                  <w:r w:rsidRPr="000E2E28">
                    <w:rPr>
                      <w:sz w:val="18"/>
                      <w:szCs w:val="18"/>
                    </w:rPr>
                    <w:t>Obsessive compulsive disorder</w:t>
                  </w:r>
                </w:p>
              </w:tc>
              <w:tc>
                <w:tcPr>
                  <w:tcW w:w="7797" w:type="dxa"/>
                </w:tcPr>
                <w:p w14:paraId="4635AE46" w14:textId="77777777" w:rsidR="00EB6168" w:rsidRDefault="00EB6168" w:rsidP="001A69D6">
                  <w:pPr>
                    <w:rPr>
                      <w:sz w:val="18"/>
                      <w:szCs w:val="18"/>
                    </w:rPr>
                  </w:pPr>
                  <w:r w:rsidRPr="000E2E28">
                    <w:rPr>
                      <w:sz w:val="18"/>
                      <w:szCs w:val="18"/>
                    </w:rPr>
                    <w:t xml:space="preserve">Obsessive compulsive disorder will be defined by codes for body dysmorphic disorders, hypochondriasis, hoarding disorder, and body focused repetitive behaviour disorders. </w:t>
                  </w:r>
                  <w:r>
                    <w:rPr>
                      <w:sz w:val="18"/>
                      <w:szCs w:val="18"/>
                    </w:rPr>
                    <w:t xml:space="preserve">As for other mental illness outcomes, we will aim to capture the number of individuals consulting in one week, and only count one consultation per person </w:t>
                  </w:r>
                  <w:r w:rsidRPr="001605AD">
                    <w:rPr>
                      <w:b/>
                      <w:bCs/>
                      <w:sz w:val="18"/>
                      <w:szCs w:val="18"/>
                    </w:rPr>
                    <w:t>per week</w:t>
                  </w:r>
                  <w:r>
                    <w:rPr>
                      <w:sz w:val="18"/>
                      <w:szCs w:val="18"/>
                    </w:rPr>
                    <w:t>.</w:t>
                  </w:r>
                </w:p>
                <w:p w14:paraId="43B0B54A" w14:textId="146B9F54" w:rsidR="00EB6168" w:rsidRPr="00105958" w:rsidRDefault="00EB6168" w:rsidP="001A69D6">
                  <w:pPr>
                    <w:rPr>
                      <w:sz w:val="18"/>
                      <w:szCs w:val="18"/>
                    </w:rPr>
                  </w:pPr>
                  <w:r>
                    <w:rPr>
                      <w:sz w:val="18"/>
                      <w:szCs w:val="18"/>
                    </w:rPr>
                    <w:t xml:space="preserve">If this outcome is </w:t>
                  </w:r>
                  <w:proofErr w:type="gramStart"/>
                  <w:r>
                    <w:rPr>
                      <w:sz w:val="18"/>
                      <w:szCs w:val="18"/>
                    </w:rPr>
                    <w:t>has</w:t>
                  </w:r>
                  <w:proofErr w:type="gramEnd"/>
                  <w:r>
                    <w:rPr>
                      <w:sz w:val="18"/>
                      <w:szCs w:val="18"/>
                    </w:rPr>
                    <w:t xml:space="preserve"> very low event counts it will be combined with the anxiety outcome.</w:t>
                  </w:r>
                </w:p>
              </w:tc>
            </w:tr>
            <w:tr w:rsidR="00F90A11" w:rsidRPr="00105958" w14:paraId="3A343FA1" w14:textId="77777777" w:rsidTr="008641A5">
              <w:tc>
                <w:tcPr>
                  <w:tcW w:w="2433" w:type="dxa"/>
                  <w:tcBorders>
                    <w:right w:val="nil"/>
                  </w:tcBorders>
                  <w:shd w:val="clear" w:color="auto" w:fill="F2F2F2" w:themeFill="background1" w:themeFillShade="F2"/>
                </w:tcPr>
                <w:p w14:paraId="2F10C5E2" w14:textId="1EA19FE1" w:rsidR="00F90A11" w:rsidRPr="00F90A11" w:rsidRDefault="00F90A11" w:rsidP="001A69D6">
                  <w:pPr>
                    <w:rPr>
                      <w:i/>
                      <w:iCs/>
                      <w:sz w:val="18"/>
                      <w:szCs w:val="18"/>
                    </w:rPr>
                  </w:pPr>
                  <w:r>
                    <w:rPr>
                      <w:i/>
                      <w:iCs/>
                      <w:sz w:val="18"/>
                      <w:szCs w:val="18"/>
                    </w:rPr>
                    <w:t>Respiratory</w:t>
                  </w:r>
                </w:p>
              </w:tc>
              <w:tc>
                <w:tcPr>
                  <w:tcW w:w="7797" w:type="dxa"/>
                  <w:tcBorders>
                    <w:left w:val="nil"/>
                  </w:tcBorders>
                  <w:shd w:val="clear" w:color="auto" w:fill="F2F2F2" w:themeFill="background1" w:themeFillShade="F2"/>
                </w:tcPr>
                <w:p w14:paraId="31844412" w14:textId="77777777" w:rsidR="00F90A11" w:rsidRPr="002C6924" w:rsidRDefault="00F90A11" w:rsidP="001A69D6">
                  <w:pPr>
                    <w:rPr>
                      <w:sz w:val="18"/>
                      <w:szCs w:val="18"/>
                    </w:rPr>
                  </w:pPr>
                </w:p>
              </w:tc>
            </w:tr>
            <w:tr w:rsidR="00EB6168" w:rsidRPr="00105958" w14:paraId="2D93A614" w14:textId="77777777" w:rsidTr="00105958">
              <w:tc>
                <w:tcPr>
                  <w:tcW w:w="2433" w:type="dxa"/>
                </w:tcPr>
                <w:p w14:paraId="268F8111" w14:textId="470455AD" w:rsidR="00EB6168" w:rsidRPr="00105958" w:rsidRDefault="00EB6168" w:rsidP="001A69D6">
                  <w:pPr>
                    <w:rPr>
                      <w:sz w:val="18"/>
                      <w:szCs w:val="18"/>
                    </w:rPr>
                  </w:pPr>
                  <w:r w:rsidRPr="00105958">
                    <w:rPr>
                      <w:sz w:val="18"/>
                      <w:szCs w:val="18"/>
                    </w:rPr>
                    <w:t>Asthma</w:t>
                  </w:r>
                  <w:r>
                    <w:rPr>
                      <w:sz w:val="18"/>
                      <w:szCs w:val="18"/>
                    </w:rPr>
                    <w:t xml:space="preserve"> exacerbations</w:t>
                  </w:r>
                </w:p>
              </w:tc>
              <w:tc>
                <w:tcPr>
                  <w:tcW w:w="7797" w:type="dxa"/>
                </w:tcPr>
                <w:p w14:paraId="6A572E2F" w14:textId="24A24C19" w:rsidR="00EB6168" w:rsidRPr="00105958" w:rsidRDefault="00EB6168" w:rsidP="001A69D6">
                  <w:pPr>
                    <w:rPr>
                      <w:sz w:val="18"/>
                      <w:szCs w:val="18"/>
                    </w:rPr>
                  </w:pPr>
                  <w:proofErr w:type="spellStart"/>
                  <w:r w:rsidRPr="00105958">
                    <w:rPr>
                      <w:sz w:val="18"/>
                      <w:szCs w:val="18"/>
                    </w:rPr>
                    <w:t>Aasthma</w:t>
                  </w:r>
                  <w:proofErr w:type="spellEnd"/>
                  <w:r w:rsidRPr="00105958">
                    <w:rPr>
                      <w:sz w:val="18"/>
                      <w:szCs w:val="18"/>
                    </w:rPr>
                    <w:t xml:space="preserve"> </w:t>
                  </w:r>
                  <w:r>
                    <w:rPr>
                      <w:sz w:val="18"/>
                      <w:szCs w:val="18"/>
                    </w:rPr>
                    <w:t xml:space="preserve">exacerbations </w:t>
                  </w:r>
                  <w:r w:rsidRPr="00105958">
                    <w:rPr>
                      <w:sz w:val="18"/>
                      <w:szCs w:val="18"/>
                    </w:rPr>
                    <w:t>will be defined as records for morbidity codes for asthma exacerbations and status asthmaticus</w:t>
                  </w:r>
                  <w:r>
                    <w:rPr>
                      <w:sz w:val="18"/>
                      <w:szCs w:val="18"/>
                    </w:rPr>
                    <w:t>, or a primary care prescription for an oral corticoseroid</w:t>
                  </w:r>
                  <w:r w:rsidRPr="00105958">
                    <w:rPr>
                      <w:sz w:val="18"/>
                      <w:szCs w:val="18"/>
                    </w:rPr>
                    <w:t>.</w:t>
                  </w:r>
                  <w:r>
                    <w:rPr>
                      <w:sz w:val="18"/>
                      <w:szCs w:val="18"/>
                    </w:rPr>
                    <w:fldChar w:fldCharType="begin" w:fldLock="1"/>
                  </w:r>
                  <w:r w:rsidR="00F90A11">
                    <w:rPr>
                      <w:sz w:val="18"/>
                      <w:szCs w:val="18"/>
                    </w:rPr>
                    <w:instrText>ADDIN CSL_CITATION {"citationItems":[{"id":"ITEM-1","itemData":{"DOI":"10.1164/rccm.201808-1516OC","ISSN":"15354970","abstract":"Rationale: Asthma is heterogeneous and knowledge on exacerbation patterns is lacking. Previous studies have had a relatively short follow-up or focused on severe disease. Objectives: To describe exacerbation patterns over a prolonged follow-up in a population that includes patients of all disease severity. Methods: We used electronic health care records to identify patients with asthma aged 18–55 years and their exacerbations from 2007 to 2015. A cohort with greater than or equal to 7 years of data was used to describe exacerbation patterns by asthma severity defined by medication use. Effect estimates for risk factors were calculated for sporadic (single year of exacerbations) and recurrent (.1 yr) exacerbation patterns, using logistic regression. In a nested case–control design, the association between a history of exacerbations, spanning 5 years, and a future exacerbation was examined. Measurements and Main Results: A total of 51,462 patients were eligible for the 7-year cohort; 64% had no exacerbations. Of those who exacerbated, 51% did so only once; exacerbation frequency increased with disease severity. Only 370 patients (0.7%) were characterized by a frequent-exacerbator phenotype (yearly exacerbations), of whom 58% had mild/moderate asthma. Exacerbation risk factors were not uniquely associated with a particular exacerbation pattern. A past exacerbation increased the risk of a future exacerbation more than all other factors, although this effect dissipated over 5 years. Conclusions: During 7 years of follow-up, exacerbations occur in around one-third of patients. Of those who exacerbate, half do not do so again; the timing of future exacerbations is largely unpredictable. Just 2% exhibit a frequent-exacerbator phenotype. Past exacerbation patterns are the most informative risk factor for predicting future exacerbations.","author":[{"dropping-particle":"","family":"Bloom","given":"Chloe I.","non-dropping-particle":"","parse-names":false,"suffix":""},{"dropping-particle":"","family":"Palmer","given":"Thomas","non-dropping-particle":"","parse-names":false,"suffix":""},{"dropping-particle":"","family":"Feary","given":"Johanna","non-dropping-particle":"","parse-names":false,"suffix":""},{"dropping-particle":"","family":"Quint","given":"Jennifer K.","non-dropping-particle":"","parse-names":false,"suffix":""},{"dropping-particle":"","family":"Cullinan","given":"Paul","non-dropping-particle":"","parse-names":false,"suffix":""}],"container-title":"American Journal of Respiratory and Critical Care Medicine","id":"ITEM-1","issue":"4","issued":{"date-parts":[["2019"]]},"page":"446-453","title":"Exacerbation patterns in adults with Asthma in England A population-based study","type":"article-journal","volume":"199"},"uris":["http://www.mendeley.com/documents/?uuid=4974bef7-6b9e-4e5d-937f-431d71fede99"]}],"mendeley":{"formattedCitation":"&lt;sup&gt;22&lt;/sup&gt;","plainTextFormattedCitation":"22","previouslyFormattedCitation":"&lt;sup&gt;22&lt;/sup&gt;"},"properties":{"noteIndex":0},"schema":"https://github.com/citation-style-language/schema/raw/master/csl-citation.json"}</w:instrText>
                  </w:r>
                  <w:r>
                    <w:rPr>
                      <w:sz w:val="18"/>
                      <w:szCs w:val="18"/>
                    </w:rPr>
                    <w:fldChar w:fldCharType="separate"/>
                  </w:r>
                  <w:r w:rsidRPr="00206238">
                    <w:rPr>
                      <w:noProof/>
                      <w:sz w:val="18"/>
                      <w:szCs w:val="18"/>
                      <w:vertAlign w:val="superscript"/>
                    </w:rPr>
                    <w:t>22</w:t>
                  </w:r>
                  <w:r>
                    <w:rPr>
                      <w:sz w:val="18"/>
                      <w:szCs w:val="18"/>
                    </w:rPr>
                    <w:fldChar w:fldCharType="end"/>
                  </w:r>
                  <w:r w:rsidRPr="00105958">
                    <w:rPr>
                      <w:sz w:val="18"/>
                      <w:szCs w:val="18"/>
                    </w:rPr>
                    <w:t xml:space="preserve"> We will define acute events allowing a </w:t>
                  </w:r>
                  <w:r w:rsidRPr="00105958">
                    <w:rPr>
                      <w:b/>
                      <w:bCs/>
                      <w:sz w:val="18"/>
                      <w:szCs w:val="18"/>
                    </w:rPr>
                    <w:t>14-day</w:t>
                  </w:r>
                  <w:r w:rsidRPr="00105958">
                    <w:rPr>
                      <w:sz w:val="18"/>
                      <w:szCs w:val="18"/>
                    </w:rPr>
                    <w:t xml:space="preserve"> window between successive records (records separated by more than 14 days will be considered to be another event). </w:t>
                  </w:r>
                </w:p>
              </w:tc>
            </w:tr>
            <w:tr w:rsidR="00EB6168" w:rsidRPr="00105958" w14:paraId="1D5EC063" w14:textId="77777777" w:rsidTr="00105958">
              <w:tc>
                <w:tcPr>
                  <w:tcW w:w="2433" w:type="dxa"/>
                </w:tcPr>
                <w:p w14:paraId="1457216A" w14:textId="3A204176" w:rsidR="00EB6168" w:rsidRPr="00105958" w:rsidRDefault="00EB6168" w:rsidP="001A69D6">
                  <w:pPr>
                    <w:rPr>
                      <w:sz w:val="18"/>
                      <w:szCs w:val="18"/>
                    </w:rPr>
                  </w:pPr>
                  <w:r w:rsidRPr="00105958">
                    <w:rPr>
                      <w:sz w:val="18"/>
                      <w:szCs w:val="18"/>
                    </w:rPr>
                    <w:t>COPD exacerbations</w:t>
                  </w:r>
                </w:p>
              </w:tc>
              <w:tc>
                <w:tcPr>
                  <w:tcW w:w="7797" w:type="dxa"/>
                </w:tcPr>
                <w:p w14:paraId="6DA9924F" w14:textId="503F915E" w:rsidR="00EB6168" w:rsidRPr="00105958" w:rsidRDefault="00EB6168" w:rsidP="001A69D6">
                  <w:pPr>
                    <w:rPr>
                      <w:sz w:val="18"/>
                      <w:szCs w:val="18"/>
                    </w:rPr>
                  </w:pPr>
                  <w:r w:rsidRPr="00105958">
                    <w:rPr>
                      <w:sz w:val="18"/>
                      <w:szCs w:val="18"/>
                    </w:rPr>
                    <w:t>Exacerbations of COPD will be defined using morbidity codes in individuals with existing COPD for COPD exacerbations, lower respiratory tract infections, breathlessness or sputum production, or a new prescription for an oral corticosteroid or antibiotic.</w:t>
                  </w:r>
                  <w:r>
                    <w:rPr>
                      <w:sz w:val="18"/>
                      <w:szCs w:val="18"/>
                    </w:rPr>
                    <w:fldChar w:fldCharType="begin" w:fldLock="1"/>
                  </w:r>
                  <w:r w:rsidR="00F90A11">
                    <w:rPr>
                      <w:sz w:val="18"/>
                      <w:szCs w:val="18"/>
                    </w:rPr>
                    <w:instrText>ADDIN CSL_CITATION {"citationItems":[{"id":"ITEM-1","itemData":{"DOI":"10.1371/journal.pone.0151357","ISSN":"19326203","PMID":"26959820","abstract":"Background Acute Exacerbations of COPD (AECOPD) identified from electronic healthcare records (EHR) are important for research, public health and to inform healthcare utilisation and service provision. However, there is no standardised method of identifying AECOPD in UK EHR. We aimed to validate the recording of AECOPD in UK EHR. Methods We randomly selected 1385 patients with COPD from the Clinical Practice Research Datalink. We selected dates of possible AECOPD based on 15 different algorithms between January 2004 and August 2013. Questionnaires were sent to GPS asking for confirmation of their patients' AECOPD on the dates identified and for any additional relevant information. Responses were reviewed independently by two respiratory physicians. Positive predictive value (PPV) and sensitivity were calculated. Results The response rate was 71.3%. AECOPD diagnostic codes, lower respiratory tract infection (LRTI) codes, and prescriptions of antibiotics and oral corticosteroids (OCS) together for 5-14 days had a high PPV (&gt;75%) for identifying AECOPD. Symptom-based algorithms and prescription of antibiotics or OCS alone had lower PPVs (60-75%). A combined strategy of antibiotic and OCS prescriptions for 5-14 days, or LRTI or AECOPD code resulted in a PPV of 85.5% (95% CI, 82.7-88.3%) and a sensitivity of 62.9%(55.4-70.4%). Conclusion Using a combination of diagnostic and therapy codes, the validity of AECOPD identified from EHR can be high. These strategies are useful for understanding health-care utilization for AECOPD, informing service provision and for researchers. These results highlight the need for common coding strategies to be adopted in primary care to allow easy and accurate identification of events.","author":[{"dropping-particle":"","family":"Rothnie","given":"Kieran J.","non-dropping-particle":"","parse-names":false,"suffix":""},{"dropping-particle":"","family":"Müllerová","given":"Hana","non-dropping-particle":"","parse-names":false,"suffix":""},{"dropping-particle":"","family":"Hurst","given":"John R.","non-dropping-particle":"","parse-names":false,"suffix":""},{"dropping-particle":"","family":"Smeeth","given":"Liam","non-dropping-particle":"","parse-names":false,"suffix":""},{"dropping-particle":"","family":"Davis","given":"Kourtney","non-dropping-particle":"","parse-names":false,"suffix":""},{"dropping-particle":"","family":"Thomas","given":"Sara L.","non-dropping-particle":"","parse-names":false,"suffix":""},{"dropping-particle":"","family":"Quint","given":"Jennifer K.","non-dropping-particle":"","parse-names":false,"suffix":""}],"container-title":"PLoS ONE","id":"ITEM-1","issue":"3","issued":{"date-parts":[["2016"]]},"page":"1-14","title":"Validation of the recording of acute exacerbations of COPD in UK primary care electronic healthcare records","type":"article-journal","volume":"11"},"uris":["http://www.mendeley.com/documents/?uuid=6b348272-b75c-4ea5-a0eb-fa3e7d5b76a1"]}],"mendeley":{"formattedCitation":"&lt;sup&gt;23&lt;/sup&gt;","plainTextFormattedCitation":"23","previouslyFormattedCitation":"&lt;sup&gt;23&lt;/sup&gt;"},"properties":{"noteIndex":0},"schema":"https://github.com/citation-style-language/schema/raw/master/csl-citation.json"}</w:instrText>
                  </w:r>
                  <w:r>
                    <w:rPr>
                      <w:sz w:val="18"/>
                      <w:szCs w:val="18"/>
                    </w:rPr>
                    <w:fldChar w:fldCharType="separate"/>
                  </w:r>
                  <w:r w:rsidRPr="00206238">
                    <w:rPr>
                      <w:noProof/>
                      <w:sz w:val="18"/>
                      <w:szCs w:val="18"/>
                      <w:vertAlign w:val="superscript"/>
                    </w:rPr>
                    <w:t>23</w:t>
                  </w:r>
                  <w:r>
                    <w:rPr>
                      <w:sz w:val="18"/>
                      <w:szCs w:val="18"/>
                    </w:rPr>
                    <w:fldChar w:fldCharType="end"/>
                  </w:r>
                  <w:r w:rsidRPr="00105958">
                    <w:rPr>
                      <w:sz w:val="18"/>
                      <w:szCs w:val="18"/>
                    </w:rPr>
                    <w:t xml:space="preserve"> We will define acute events allowing a </w:t>
                  </w:r>
                  <w:r w:rsidRPr="00105958">
                    <w:rPr>
                      <w:b/>
                      <w:bCs/>
                      <w:sz w:val="18"/>
                      <w:szCs w:val="18"/>
                    </w:rPr>
                    <w:t>14-day</w:t>
                  </w:r>
                  <w:r w:rsidRPr="00105958">
                    <w:rPr>
                      <w:sz w:val="18"/>
                      <w:szCs w:val="18"/>
                    </w:rPr>
                    <w:t xml:space="preserve"> window between successive records (records separated by more than 14 days will be considered to be another event).</w:t>
                  </w:r>
                </w:p>
              </w:tc>
            </w:tr>
            <w:tr w:rsidR="00F90A11" w:rsidRPr="00105958" w14:paraId="61A4FE16" w14:textId="77777777" w:rsidTr="008641A5">
              <w:tc>
                <w:tcPr>
                  <w:tcW w:w="2433" w:type="dxa"/>
                  <w:tcBorders>
                    <w:right w:val="nil"/>
                  </w:tcBorders>
                  <w:shd w:val="clear" w:color="auto" w:fill="F2F2F2" w:themeFill="background1" w:themeFillShade="F2"/>
                </w:tcPr>
                <w:p w14:paraId="1608BEF7" w14:textId="64D3DC78" w:rsidR="00F90A11" w:rsidRPr="00F90A11" w:rsidRDefault="00F90A11" w:rsidP="001A69D6">
                  <w:pPr>
                    <w:rPr>
                      <w:i/>
                      <w:iCs/>
                      <w:sz w:val="18"/>
                      <w:szCs w:val="18"/>
                    </w:rPr>
                  </w:pPr>
                  <w:r>
                    <w:rPr>
                      <w:i/>
                      <w:iCs/>
                      <w:sz w:val="18"/>
                      <w:szCs w:val="18"/>
                    </w:rPr>
                    <w:t>Cardiovascular</w:t>
                  </w:r>
                </w:p>
              </w:tc>
              <w:tc>
                <w:tcPr>
                  <w:tcW w:w="7797" w:type="dxa"/>
                  <w:tcBorders>
                    <w:left w:val="nil"/>
                  </w:tcBorders>
                  <w:shd w:val="clear" w:color="auto" w:fill="F2F2F2" w:themeFill="background1" w:themeFillShade="F2"/>
                </w:tcPr>
                <w:p w14:paraId="6892C539" w14:textId="77777777" w:rsidR="00F90A11" w:rsidRPr="002C6924" w:rsidRDefault="00F90A11" w:rsidP="001A69D6">
                  <w:pPr>
                    <w:rPr>
                      <w:sz w:val="18"/>
                      <w:szCs w:val="18"/>
                    </w:rPr>
                  </w:pPr>
                </w:p>
              </w:tc>
            </w:tr>
            <w:tr w:rsidR="00EB6168" w:rsidRPr="00105958" w14:paraId="12078A01" w14:textId="77777777" w:rsidTr="00105958">
              <w:tc>
                <w:tcPr>
                  <w:tcW w:w="2433" w:type="dxa"/>
                </w:tcPr>
                <w:p w14:paraId="570747CB" w14:textId="0091DFE6" w:rsidR="00EB6168" w:rsidRPr="00105958" w:rsidRDefault="00EB6168" w:rsidP="001A69D6">
                  <w:pPr>
                    <w:rPr>
                      <w:sz w:val="18"/>
                      <w:szCs w:val="18"/>
                    </w:rPr>
                  </w:pPr>
                  <w:r w:rsidRPr="00105958">
                    <w:rPr>
                      <w:sz w:val="18"/>
                      <w:szCs w:val="18"/>
                    </w:rPr>
                    <w:t>Myocardial infarction</w:t>
                  </w:r>
                </w:p>
              </w:tc>
              <w:tc>
                <w:tcPr>
                  <w:tcW w:w="7797" w:type="dxa"/>
                </w:tcPr>
                <w:p w14:paraId="4D5A0891" w14:textId="4850CF81" w:rsidR="00EB6168" w:rsidRPr="00105958" w:rsidRDefault="00EB6168" w:rsidP="001A69D6">
                  <w:pPr>
                    <w:rPr>
                      <w:sz w:val="18"/>
                      <w:szCs w:val="18"/>
                    </w:rPr>
                  </w:pPr>
                  <w:r w:rsidRPr="00105958">
                    <w:rPr>
                      <w:sz w:val="18"/>
                      <w:szCs w:val="18"/>
                    </w:rPr>
                    <w:t xml:space="preserve">We will define myocardial infarctions using relevant morbidity codes, allowing for a </w:t>
                  </w:r>
                  <w:r w:rsidRPr="00105958">
                    <w:rPr>
                      <w:b/>
                      <w:bCs/>
                      <w:sz w:val="18"/>
                      <w:szCs w:val="18"/>
                    </w:rPr>
                    <w:t>1-year</w:t>
                  </w:r>
                  <w:r w:rsidRPr="00105958">
                    <w:rPr>
                      <w:sz w:val="18"/>
                      <w:szCs w:val="18"/>
                    </w:rPr>
                    <w:t xml:space="preserve"> window between successive records (records separated by less than one year will be regar</w:t>
                  </w:r>
                  <w:r>
                    <w:rPr>
                      <w:sz w:val="18"/>
                      <w:szCs w:val="18"/>
                    </w:rPr>
                    <w:t>ded</w:t>
                  </w:r>
                  <w:r w:rsidRPr="00105958">
                    <w:rPr>
                      <w:sz w:val="18"/>
                      <w:szCs w:val="18"/>
                    </w:rPr>
                    <w:t xml:space="preserve"> as being part of the same MI event).</w:t>
                  </w:r>
                </w:p>
              </w:tc>
            </w:tr>
            <w:tr w:rsidR="00EB6168" w:rsidRPr="00105958" w14:paraId="2E0FF252" w14:textId="77777777" w:rsidTr="00105958">
              <w:tc>
                <w:tcPr>
                  <w:tcW w:w="2433" w:type="dxa"/>
                </w:tcPr>
                <w:p w14:paraId="5F576531" w14:textId="6E56B61B" w:rsidR="00EB6168" w:rsidRPr="00105958" w:rsidRDefault="00EB6168" w:rsidP="001A69D6">
                  <w:pPr>
                    <w:rPr>
                      <w:sz w:val="18"/>
                      <w:szCs w:val="18"/>
                    </w:rPr>
                  </w:pPr>
                  <w:r w:rsidRPr="00105958">
                    <w:rPr>
                      <w:sz w:val="18"/>
                      <w:szCs w:val="18"/>
                    </w:rPr>
                    <w:t>Unstable angina</w:t>
                  </w:r>
                </w:p>
              </w:tc>
              <w:tc>
                <w:tcPr>
                  <w:tcW w:w="7797" w:type="dxa"/>
                </w:tcPr>
                <w:p w14:paraId="36D1EA22" w14:textId="06DE2784" w:rsidR="00EB6168" w:rsidRPr="00105958" w:rsidRDefault="00EB6168" w:rsidP="001A69D6">
                  <w:pPr>
                    <w:rPr>
                      <w:sz w:val="18"/>
                      <w:szCs w:val="18"/>
                    </w:rPr>
                  </w:pPr>
                  <w:r w:rsidRPr="00105958">
                    <w:rPr>
                      <w:sz w:val="18"/>
                      <w:szCs w:val="18"/>
                    </w:rPr>
                    <w:t xml:space="preserve">We will define unstable angina using relevant morbidity codes, allowing for a </w:t>
                  </w:r>
                  <w:r w:rsidRPr="00105958">
                    <w:rPr>
                      <w:b/>
                      <w:bCs/>
                      <w:sz w:val="18"/>
                      <w:szCs w:val="18"/>
                    </w:rPr>
                    <w:t>6-month</w:t>
                  </w:r>
                  <w:r w:rsidRPr="00105958">
                    <w:rPr>
                      <w:sz w:val="18"/>
                      <w:szCs w:val="18"/>
                    </w:rPr>
                    <w:t xml:space="preserve"> window between successive records (records separated by less than </w:t>
                  </w:r>
                  <w:r>
                    <w:rPr>
                      <w:sz w:val="18"/>
                      <w:szCs w:val="18"/>
                    </w:rPr>
                    <w:t>six months</w:t>
                  </w:r>
                  <w:r w:rsidRPr="00105958">
                    <w:rPr>
                      <w:sz w:val="18"/>
                      <w:szCs w:val="18"/>
                    </w:rPr>
                    <w:t xml:space="preserve"> will be regard</w:t>
                  </w:r>
                  <w:r>
                    <w:rPr>
                      <w:sz w:val="18"/>
                      <w:szCs w:val="18"/>
                    </w:rPr>
                    <w:t>ed</w:t>
                  </w:r>
                  <w:r w:rsidRPr="00105958">
                    <w:rPr>
                      <w:sz w:val="18"/>
                      <w:szCs w:val="18"/>
                    </w:rPr>
                    <w:t xml:space="preserve"> as being part of the same event).</w:t>
                  </w:r>
                </w:p>
              </w:tc>
            </w:tr>
            <w:tr w:rsidR="00EB6168" w:rsidRPr="00105958" w14:paraId="11C679DC" w14:textId="77777777" w:rsidTr="00105958">
              <w:tc>
                <w:tcPr>
                  <w:tcW w:w="2433" w:type="dxa"/>
                </w:tcPr>
                <w:p w14:paraId="7132737C" w14:textId="152C3675" w:rsidR="00EB6168" w:rsidRPr="00105958" w:rsidRDefault="00EB6168" w:rsidP="001A69D6">
                  <w:pPr>
                    <w:rPr>
                      <w:sz w:val="18"/>
                      <w:szCs w:val="18"/>
                    </w:rPr>
                  </w:pPr>
                  <w:r w:rsidRPr="00105958">
                    <w:rPr>
                      <w:sz w:val="18"/>
                      <w:szCs w:val="18"/>
                    </w:rPr>
                    <w:t>Transient ischaemic attacks</w:t>
                  </w:r>
                </w:p>
              </w:tc>
              <w:tc>
                <w:tcPr>
                  <w:tcW w:w="7797" w:type="dxa"/>
                </w:tcPr>
                <w:p w14:paraId="3785597A" w14:textId="34870763" w:rsidR="00EB6168" w:rsidRPr="00105958" w:rsidRDefault="00EB6168" w:rsidP="001A69D6">
                  <w:pPr>
                    <w:rPr>
                      <w:sz w:val="18"/>
                      <w:szCs w:val="18"/>
                    </w:rPr>
                  </w:pPr>
                  <w:r w:rsidRPr="00105958">
                    <w:rPr>
                      <w:sz w:val="18"/>
                      <w:szCs w:val="18"/>
                    </w:rPr>
                    <w:t xml:space="preserve">We will define transient ischaemic attacks using relevant morbidity codes, allowing for a </w:t>
                  </w:r>
                  <w:r w:rsidRPr="00105958">
                    <w:rPr>
                      <w:b/>
                      <w:bCs/>
                      <w:sz w:val="18"/>
                      <w:szCs w:val="18"/>
                    </w:rPr>
                    <w:t>6-month</w:t>
                  </w:r>
                  <w:r w:rsidRPr="00105958">
                    <w:rPr>
                      <w:sz w:val="18"/>
                      <w:szCs w:val="18"/>
                    </w:rPr>
                    <w:t xml:space="preserve"> window between successive records (records separated by less than </w:t>
                  </w:r>
                  <w:r>
                    <w:rPr>
                      <w:sz w:val="18"/>
                      <w:szCs w:val="18"/>
                    </w:rPr>
                    <w:t>six months</w:t>
                  </w:r>
                  <w:r w:rsidRPr="00105958">
                    <w:rPr>
                      <w:sz w:val="18"/>
                      <w:szCs w:val="18"/>
                    </w:rPr>
                    <w:t xml:space="preserve"> will be regard</w:t>
                  </w:r>
                  <w:r>
                    <w:rPr>
                      <w:sz w:val="18"/>
                      <w:szCs w:val="18"/>
                    </w:rPr>
                    <w:t>ed</w:t>
                  </w:r>
                  <w:r w:rsidRPr="00105958">
                    <w:rPr>
                      <w:sz w:val="18"/>
                      <w:szCs w:val="18"/>
                    </w:rPr>
                    <w:t xml:space="preserve"> as being part of the same event).</w:t>
                  </w:r>
                </w:p>
              </w:tc>
            </w:tr>
            <w:tr w:rsidR="00EB6168" w:rsidRPr="00105958" w14:paraId="26D9CA98" w14:textId="77777777" w:rsidTr="00105958">
              <w:tc>
                <w:tcPr>
                  <w:tcW w:w="2433" w:type="dxa"/>
                </w:tcPr>
                <w:p w14:paraId="55ABDEB3" w14:textId="097C0BB0" w:rsidR="00EB6168" w:rsidRPr="00105958" w:rsidRDefault="00EB6168" w:rsidP="001A69D6">
                  <w:pPr>
                    <w:rPr>
                      <w:sz w:val="18"/>
                      <w:szCs w:val="18"/>
                    </w:rPr>
                  </w:pPr>
                  <w:r w:rsidRPr="00105958">
                    <w:rPr>
                      <w:sz w:val="18"/>
                      <w:szCs w:val="18"/>
                    </w:rPr>
                    <w:t>Cerebrovascular accident</w:t>
                  </w:r>
                </w:p>
              </w:tc>
              <w:tc>
                <w:tcPr>
                  <w:tcW w:w="7797" w:type="dxa"/>
                </w:tcPr>
                <w:p w14:paraId="3D8B5F74" w14:textId="0E6AF8BC" w:rsidR="00EB6168" w:rsidRPr="00105958" w:rsidRDefault="00EB6168" w:rsidP="001A69D6">
                  <w:pPr>
                    <w:rPr>
                      <w:sz w:val="18"/>
                      <w:szCs w:val="18"/>
                    </w:rPr>
                  </w:pPr>
                  <w:r w:rsidRPr="00105958">
                    <w:rPr>
                      <w:sz w:val="18"/>
                      <w:szCs w:val="18"/>
                    </w:rPr>
                    <w:t xml:space="preserve">We will define cerebrovascular accidents using relevant morbidity codes, allowing for a </w:t>
                  </w:r>
                  <w:r w:rsidRPr="00105958">
                    <w:rPr>
                      <w:b/>
                      <w:bCs/>
                      <w:sz w:val="18"/>
                      <w:szCs w:val="18"/>
                    </w:rPr>
                    <w:t>1-year</w:t>
                  </w:r>
                  <w:r w:rsidRPr="00105958">
                    <w:rPr>
                      <w:sz w:val="18"/>
                      <w:szCs w:val="18"/>
                    </w:rPr>
                    <w:t xml:space="preserve"> window between successive records (records separated by less than one year will be regarding as being part of the same event).</w:t>
                  </w:r>
                </w:p>
              </w:tc>
            </w:tr>
            <w:tr w:rsidR="00EB6168" w:rsidRPr="00105958" w14:paraId="2C0E2EAE" w14:textId="77777777" w:rsidTr="00105958">
              <w:tc>
                <w:tcPr>
                  <w:tcW w:w="2433" w:type="dxa"/>
                </w:tcPr>
                <w:p w14:paraId="46460E59" w14:textId="6683AA5D" w:rsidR="00EB6168" w:rsidRPr="00105958" w:rsidRDefault="00EB6168" w:rsidP="001A69D6">
                  <w:pPr>
                    <w:rPr>
                      <w:sz w:val="18"/>
                      <w:szCs w:val="18"/>
                    </w:rPr>
                  </w:pPr>
                  <w:r w:rsidRPr="00105958">
                    <w:rPr>
                      <w:sz w:val="18"/>
                      <w:szCs w:val="18"/>
                    </w:rPr>
                    <w:t>Cardiac failure</w:t>
                  </w:r>
                </w:p>
              </w:tc>
              <w:tc>
                <w:tcPr>
                  <w:tcW w:w="7797" w:type="dxa"/>
                </w:tcPr>
                <w:p w14:paraId="08A138D6" w14:textId="41D8436C" w:rsidR="00EB6168" w:rsidRPr="00105958" w:rsidRDefault="00EB6168" w:rsidP="001A69D6">
                  <w:pPr>
                    <w:rPr>
                      <w:sz w:val="18"/>
                      <w:szCs w:val="18"/>
                    </w:rPr>
                  </w:pPr>
                  <w:r w:rsidRPr="00105958">
                    <w:rPr>
                      <w:sz w:val="18"/>
                      <w:szCs w:val="18"/>
                    </w:rPr>
                    <w:t xml:space="preserve">Given the complexity with capturing acute events for a chronic condition, we will only count an individual’s </w:t>
                  </w:r>
                  <w:r w:rsidRPr="00105958">
                    <w:rPr>
                      <w:b/>
                      <w:bCs/>
                      <w:sz w:val="18"/>
                      <w:szCs w:val="18"/>
                    </w:rPr>
                    <w:t>first ever diagnosis</w:t>
                  </w:r>
                  <w:r w:rsidRPr="00105958">
                    <w:rPr>
                      <w:sz w:val="18"/>
                      <w:szCs w:val="18"/>
                    </w:rPr>
                    <w:t xml:space="preserve"> with cardiac failure.</w:t>
                  </w:r>
                </w:p>
              </w:tc>
            </w:tr>
            <w:tr w:rsidR="00EB6168" w:rsidRPr="00105958" w14:paraId="7FBC78F7" w14:textId="77777777" w:rsidTr="00105958">
              <w:tc>
                <w:tcPr>
                  <w:tcW w:w="2433" w:type="dxa"/>
                </w:tcPr>
                <w:p w14:paraId="47420485" w14:textId="514DE389" w:rsidR="00EB6168" w:rsidRPr="00105958" w:rsidRDefault="00EB6168" w:rsidP="001A69D6">
                  <w:pPr>
                    <w:rPr>
                      <w:sz w:val="18"/>
                      <w:szCs w:val="18"/>
                    </w:rPr>
                  </w:pPr>
                  <w:r>
                    <w:rPr>
                      <w:sz w:val="18"/>
                      <w:szCs w:val="18"/>
                    </w:rPr>
                    <w:t>Venous thromboembolism (pulmonary embolism and deep venous thrombosis)</w:t>
                  </w:r>
                </w:p>
              </w:tc>
              <w:tc>
                <w:tcPr>
                  <w:tcW w:w="7797" w:type="dxa"/>
                </w:tcPr>
                <w:p w14:paraId="4AB43E07" w14:textId="504106F0" w:rsidR="00EB6168" w:rsidRPr="00105958" w:rsidRDefault="00EB6168" w:rsidP="001A69D6">
                  <w:pPr>
                    <w:rPr>
                      <w:sz w:val="18"/>
                      <w:szCs w:val="18"/>
                    </w:rPr>
                  </w:pPr>
                  <w:r w:rsidRPr="00105958">
                    <w:rPr>
                      <w:sz w:val="18"/>
                      <w:szCs w:val="18"/>
                    </w:rPr>
                    <w:t xml:space="preserve">We will define </w:t>
                  </w:r>
                  <w:r>
                    <w:rPr>
                      <w:sz w:val="18"/>
                      <w:szCs w:val="18"/>
                    </w:rPr>
                    <w:t>venous thromboembolism</w:t>
                  </w:r>
                  <w:r w:rsidRPr="00105958">
                    <w:rPr>
                      <w:sz w:val="18"/>
                      <w:szCs w:val="18"/>
                    </w:rPr>
                    <w:t xml:space="preserve"> using relevant morbidity codes, allowing for a </w:t>
                  </w:r>
                  <w:r w:rsidRPr="00105958">
                    <w:rPr>
                      <w:b/>
                      <w:bCs/>
                      <w:sz w:val="18"/>
                      <w:szCs w:val="18"/>
                    </w:rPr>
                    <w:t>1-year</w:t>
                  </w:r>
                  <w:r w:rsidRPr="00105958">
                    <w:rPr>
                      <w:sz w:val="18"/>
                      <w:szCs w:val="18"/>
                    </w:rPr>
                    <w:t xml:space="preserve"> window between successive records (records separated by less than one year will be regard</w:t>
                  </w:r>
                  <w:r>
                    <w:rPr>
                      <w:sz w:val="18"/>
                      <w:szCs w:val="18"/>
                    </w:rPr>
                    <w:t>ed</w:t>
                  </w:r>
                  <w:r w:rsidRPr="00105958">
                    <w:rPr>
                      <w:sz w:val="18"/>
                      <w:szCs w:val="18"/>
                    </w:rPr>
                    <w:t xml:space="preserve"> as being part of the same event).</w:t>
                  </w:r>
                </w:p>
              </w:tc>
            </w:tr>
            <w:tr w:rsidR="00F90A11" w:rsidRPr="00105958" w14:paraId="6A5508D4" w14:textId="77777777" w:rsidTr="008641A5">
              <w:tc>
                <w:tcPr>
                  <w:tcW w:w="2433" w:type="dxa"/>
                  <w:tcBorders>
                    <w:right w:val="nil"/>
                  </w:tcBorders>
                  <w:shd w:val="clear" w:color="auto" w:fill="F2F2F2" w:themeFill="background1" w:themeFillShade="F2"/>
                </w:tcPr>
                <w:p w14:paraId="4FB86EA7" w14:textId="4CEB639B" w:rsidR="00F90A11" w:rsidRPr="00F90A11" w:rsidRDefault="00F90A11" w:rsidP="001A69D6">
                  <w:pPr>
                    <w:rPr>
                      <w:i/>
                      <w:iCs/>
                      <w:sz w:val="18"/>
                      <w:szCs w:val="18"/>
                    </w:rPr>
                  </w:pPr>
                  <w:r>
                    <w:rPr>
                      <w:i/>
                      <w:iCs/>
                      <w:sz w:val="18"/>
                      <w:szCs w:val="18"/>
                    </w:rPr>
                    <w:t>Alcohol</w:t>
                  </w:r>
                </w:p>
              </w:tc>
              <w:tc>
                <w:tcPr>
                  <w:tcW w:w="7797" w:type="dxa"/>
                  <w:tcBorders>
                    <w:left w:val="nil"/>
                  </w:tcBorders>
                  <w:shd w:val="clear" w:color="auto" w:fill="F2F2F2" w:themeFill="background1" w:themeFillShade="F2"/>
                </w:tcPr>
                <w:p w14:paraId="7179D7B4" w14:textId="77777777" w:rsidR="00F90A11" w:rsidRPr="002C6924" w:rsidRDefault="00F90A11" w:rsidP="001A69D6">
                  <w:pPr>
                    <w:rPr>
                      <w:sz w:val="18"/>
                      <w:szCs w:val="18"/>
                    </w:rPr>
                  </w:pPr>
                </w:p>
              </w:tc>
            </w:tr>
            <w:tr w:rsidR="00EB6168" w:rsidRPr="00105958" w14:paraId="0CF9EDD0" w14:textId="77777777" w:rsidTr="00105958">
              <w:tc>
                <w:tcPr>
                  <w:tcW w:w="2433" w:type="dxa"/>
                </w:tcPr>
                <w:p w14:paraId="0C04D619" w14:textId="763FF419" w:rsidR="00EB6168" w:rsidRPr="000E2E28" w:rsidRDefault="00EB6168" w:rsidP="001A69D6">
                  <w:pPr>
                    <w:rPr>
                      <w:sz w:val="18"/>
                      <w:szCs w:val="18"/>
                    </w:rPr>
                  </w:pPr>
                  <w:r w:rsidRPr="000E2E28">
                    <w:rPr>
                      <w:sz w:val="18"/>
                      <w:szCs w:val="18"/>
                    </w:rPr>
                    <w:t>Alcohol-related harms</w:t>
                  </w:r>
                </w:p>
              </w:tc>
              <w:tc>
                <w:tcPr>
                  <w:tcW w:w="7797" w:type="dxa"/>
                </w:tcPr>
                <w:p w14:paraId="3096319C" w14:textId="0CFF2AF0" w:rsidR="00EB6168" w:rsidRPr="000E2E28" w:rsidRDefault="00EB6168" w:rsidP="001A69D6">
                  <w:pPr>
                    <w:rPr>
                      <w:sz w:val="18"/>
                      <w:szCs w:val="18"/>
                    </w:rPr>
                  </w:pPr>
                  <w:r w:rsidRPr="000E2E28">
                    <w:rPr>
                      <w:sz w:val="18"/>
                      <w:szCs w:val="18"/>
                    </w:rPr>
                    <w:t xml:space="preserve">We will define alcohol-related harms as acute physical and psychological alcohol-related harms, including acute alcoholic pancreatitis, new diagnoses of alcoholic cirrhosis, alcohol-related. We will define acute events allowing a </w:t>
                  </w:r>
                  <w:r w:rsidRPr="000E2E28">
                    <w:rPr>
                      <w:b/>
                      <w:bCs/>
                      <w:sz w:val="18"/>
                      <w:szCs w:val="18"/>
                    </w:rPr>
                    <w:t>14-day window</w:t>
                  </w:r>
                  <w:r w:rsidRPr="000E2E28">
                    <w:rPr>
                      <w:sz w:val="18"/>
                      <w:szCs w:val="18"/>
                    </w:rPr>
                    <w:t xml:space="preserve"> between successive records.</w:t>
                  </w:r>
                </w:p>
              </w:tc>
            </w:tr>
          </w:tbl>
          <w:p w14:paraId="74037CC3" w14:textId="7B1DCC38" w:rsidR="001A16DB" w:rsidRPr="001A16DB" w:rsidRDefault="001A16DB" w:rsidP="001A69D6">
            <w:pPr>
              <w:spacing w:before="120"/>
              <w:rPr>
                <w:b/>
                <w:bCs/>
              </w:rPr>
            </w:pPr>
            <w:r w:rsidRPr="001A16DB">
              <w:rPr>
                <w:b/>
                <w:bCs/>
              </w:rPr>
              <w:t>Stratifying variables (covariates)</w:t>
            </w:r>
          </w:p>
          <w:p w14:paraId="5D295EA2" w14:textId="55DCB700" w:rsidR="00726CCD" w:rsidRDefault="001A16DB" w:rsidP="001A69D6">
            <w:pPr>
              <w:spacing w:after="120"/>
            </w:pPr>
            <w:r>
              <w:t>For all outcomes we will stratify, where possible, on the following variables: age</w:t>
            </w:r>
            <w:r w:rsidR="004D0676">
              <w:t xml:space="preserve"> (in 10-year bands)</w:t>
            </w:r>
            <w:r>
              <w:t xml:space="preserve">, sex, quintile of Carstairs Index of deprivation, rural/urban classification, </w:t>
            </w:r>
            <w:r w:rsidR="00E310BE">
              <w:t>ethnicity, vulnerable status</w:t>
            </w:r>
            <w:r w:rsidR="002F4B78">
              <w:t xml:space="preserve">, </w:t>
            </w:r>
            <w:r w:rsidR="00121956">
              <w:t xml:space="preserve">geographic region, </w:t>
            </w:r>
            <w:r w:rsidR="001858AB">
              <w:t>body mass index</w:t>
            </w:r>
            <w:r w:rsidR="0068195D">
              <w:t xml:space="preserve"> (BMI)</w:t>
            </w:r>
            <w:r w:rsidR="001858AB">
              <w:t xml:space="preserve">, </w:t>
            </w:r>
            <w:r w:rsidR="002F4B78">
              <w:t>and relationship status</w:t>
            </w:r>
            <w:r w:rsidR="00A470B8">
              <w:t xml:space="preserve"> (as a proxy for capturing whether someone lives alone)</w:t>
            </w:r>
            <w:r w:rsidR="00E310BE">
              <w:t>.</w:t>
            </w:r>
          </w:p>
          <w:p w14:paraId="3FBA5A09" w14:textId="6C8E1626" w:rsidR="00A470B8" w:rsidRDefault="00E310BE" w:rsidP="001A69D6">
            <w:pPr>
              <w:spacing w:after="120"/>
            </w:pPr>
            <w:r>
              <w:t xml:space="preserve">We will define </w:t>
            </w:r>
            <w:r w:rsidR="00070452">
              <w:t>‘clinically vulnerable’</w:t>
            </w:r>
            <w:r w:rsidR="00C67D01">
              <w:t xml:space="preserve"> individuals</w:t>
            </w:r>
            <w:r w:rsidR="008E6655">
              <w:t xml:space="preserve"> based on those who would be offered </w:t>
            </w:r>
            <w:r w:rsidR="00203CED">
              <w:t>influenza</w:t>
            </w:r>
            <w:r w:rsidR="008E6655">
              <w:t xml:space="preserve"> vaccination for medical reasons</w:t>
            </w:r>
            <w:r w:rsidR="00A12E26">
              <w:t>.</w:t>
            </w:r>
            <w:r w:rsidR="003017EA">
              <w:fldChar w:fldCharType="begin" w:fldLock="1"/>
            </w:r>
            <w:r w:rsidR="00F90A11">
              <w:instrText>ADDIN CSL_CITATION {"citationItems":[{"id":"ITEM-1","itemData":{"DOI":"10.4324/9780429049194-1","abstract":"The presence, or absence, of neglected tropical diseases (NTDs) can be seen as a proxy for poverty and for the success of interventions aimed at reducing poverty. Today, coverage of the public-health interventions recommended by the World Health Organization (WHO) against NTDs may be interpreted as a proxy for universal health coverage and shared prosperity – in short, a proxy for coverage against neglect. As the world's focus shifts from development to sustainable development, from poverty eradication to shared prosperity, and from disease-specifi c goals to universal health coverage, control of NTDs will assume an important role towards the target of achieving universal health coverage, including individual fi nancial risk protection. Success in overcoming NTDs is a \" litmus test \" for universal health coverage against NTDs in endemic countries. The fi rst WHO report on NTDs (2010) set the scene by presenting the evidence for how these interventions had produced results. The second report (2013) assessed the progress made in deploying them and detailed the obstacles to their implementation. This third report analyses for the fi rst time the investments needed to achieve the scale up of implementation required to achieve the targets of the WHO Roadmap on NTDs and universal coverage against NTDs.","author":[{"dropping-particle":"","family":"Public Health England","given":"","non-dropping-particle":"","parse-names":false,"suffix":""}],"container-title":"The Green Book","id":"ITEM-1","issue":"April","issued":{"date-parts":[["2019"]]},"page":"1-29","title":"Chapter 19: Influenza","type":"chapter"},"uris":["http://www.mendeley.com/documents/?uuid=933423cc-bd4e-4d2e-97d0-1fc3670cbd29"]}],"mendeley":{"formattedCitation":"&lt;sup&gt;24&lt;/sup&gt;","plainTextFormattedCitation":"24","previouslyFormattedCitation":"&lt;sup&gt;24&lt;/sup&gt;"},"properties":{"noteIndex":0},"schema":"https://github.com/citation-style-language/schema/raw/master/csl-citation.json"}</w:instrText>
            </w:r>
            <w:r w:rsidR="003017EA">
              <w:fldChar w:fldCharType="separate"/>
            </w:r>
            <w:r w:rsidR="00206238" w:rsidRPr="00206238">
              <w:rPr>
                <w:noProof/>
                <w:vertAlign w:val="superscript"/>
              </w:rPr>
              <w:t>24</w:t>
            </w:r>
            <w:r w:rsidR="003017EA">
              <w:fldChar w:fldCharType="end"/>
            </w:r>
            <w:r w:rsidR="00FC3640">
              <w:t xml:space="preserve"> </w:t>
            </w:r>
            <w:r w:rsidR="00A12E26">
              <w:t>Medical reasons for offering influenza vaccination include</w:t>
            </w:r>
            <w:r w:rsidR="005F55A1">
              <w:t xml:space="preserve"> individuals with</w:t>
            </w:r>
            <w:r w:rsidR="00FC3640">
              <w:t xml:space="preserve">: chronic liver disease, chronic kidney disease, malignancy, </w:t>
            </w:r>
            <w:r w:rsidR="00F63E6D">
              <w:t xml:space="preserve">chronic </w:t>
            </w:r>
            <w:r w:rsidR="00FC3640">
              <w:t xml:space="preserve">cardiac disease, chronic respiratory disease, diabetes, chronic neurological disease, transplant recipients, individuals with immunosuppression (e.g. </w:t>
            </w:r>
            <w:r w:rsidR="00310A70">
              <w:t>morbidity coding for</w:t>
            </w:r>
            <w:r w:rsidR="001E05DC">
              <w:t>:</w:t>
            </w:r>
            <w:r w:rsidR="00310A70">
              <w:t xml:space="preserve"> human immunodeficiency virus</w:t>
            </w:r>
            <w:r w:rsidR="00FC3640">
              <w:t>, splenic disorders</w:t>
            </w:r>
            <w:r w:rsidR="00310A70">
              <w:t xml:space="preserve">, </w:t>
            </w:r>
            <w:r w:rsidR="00FC3640">
              <w:t>sickle cell anaemia</w:t>
            </w:r>
            <w:r w:rsidR="00310A70">
              <w:t xml:space="preserve">, </w:t>
            </w:r>
            <w:r w:rsidR="00FC3640">
              <w:t xml:space="preserve">aplastic anaemia, </w:t>
            </w:r>
            <w:r w:rsidR="004D1175">
              <w:t xml:space="preserve">leukaemia, lymphoma, </w:t>
            </w:r>
            <w:r w:rsidR="00310A70">
              <w:t>myeloma, bone</w:t>
            </w:r>
            <w:r w:rsidR="006649BA">
              <w:t xml:space="preserve"> </w:t>
            </w:r>
            <w:r w:rsidR="00310A70">
              <w:t>marrow or stem cell transplants, chemotherapy or radiotherapy</w:t>
            </w:r>
            <w:r w:rsidR="001E05DC">
              <w:t>;</w:t>
            </w:r>
            <w:r w:rsidR="00310A70">
              <w:t xml:space="preserve"> or prescriptions for immunosuppressants).</w:t>
            </w:r>
            <w:r w:rsidR="006649BA">
              <w:t xml:space="preserve"> When defining vulnerable status for specific outcomes, we will exclude the outcome</w:t>
            </w:r>
            <w:r w:rsidR="001E05DC">
              <w:t xml:space="preserve"> under investigation</w:t>
            </w:r>
            <w:r w:rsidR="006649BA">
              <w:t xml:space="preserve"> from the vulnerable status definition (e.g. for diabetic emergencies, we will exclude diabetes from the definition of vulnerable status).</w:t>
            </w:r>
            <w:r w:rsidR="003017EA">
              <w:t xml:space="preserve"> </w:t>
            </w:r>
            <w:r w:rsidR="0096091C">
              <w:t>We</w:t>
            </w:r>
            <w:r w:rsidR="003017EA">
              <w:t xml:space="preserve"> will define </w:t>
            </w:r>
            <w:r w:rsidR="00203CED">
              <w:t xml:space="preserve">clinically vulnerable people based on records for any of the medical reasons for influenza </w:t>
            </w:r>
            <w:r w:rsidR="00203CED">
              <w:lastRenderedPageBreak/>
              <w:t xml:space="preserve">vaccination </w:t>
            </w:r>
            <w:r w:rsidR="00203CED" w:rsidRPr="0096091C">
              <w:t>at any time</w:t>
            </w:r>
            <w:r w:rsidR="00203CED">
              <w:t xml:space="preserve"> prior to the week of interest</w:t>
            </w:r>
            <w:r w:rsidR="0096091C">
              <w:t xml:space="preserve">. We will vary when records need to be recorded to define vulnerable status in sensitivity analyses (see </w:t>
            </w:r>
            <w:r w:rsidR="0096091C" w:rsidRPr="0096091C">
              <w:rPr>
                <w:b/>
                <w:bCs/>
              </w:rPr>
              <w:t>Section O</w:t>
            </w:r>
            <w:r w:rsidR="0096091C">
              <w:t>).</w:t>
            </w:r>
          </w:p>
          <w:p w14:paraId="4F33386E" w14:textId="3F1DFAA3" w:rsidR="00FB0255" w:rsidRDefault="00A470B8" w:rsidP="001A69D6">
            <w:pPr>
              <w:spacing w:after="120"/>
            </w:pPr>
            <w:r>
              <w:t>We will identify rel</w:t>
            </w:r>
            <w:r w:rsidR="00404913">
              <w:t xml:space="preserve">ationship status using </w:t>
            </w:r>
            <w:r w:rsidR="00203CED">
              <w:t xml:space="preserve">primary care </w:t>
            </w:r>
            <w:r w:rsidR="00404913">
              <w:t>coding</w:t>
            </w:r>
            <w:r w:rsidR="00203CED">
              <w:t xml:space="preserve"> (we are aware that this may not be a robust </w:t>
            </w:r>
            <w:r w:rsidR="00121197">
              <w:t>measure and</w:t>
            </w:r>
            <w:r w:rsidR="00203CED">
              <w:t xml:space="preserve"> will be cautious in interpreting our results)</w:t>
            </w:r>
            <w:r w:rsidR="00404913">
              <w:t>.</w:t>
            </w:r>
          </w:p>
          <w:p w14:paraId="0F6911F9" w14:textId="5A89113E" w:rsidR="00E310BE" w:rsidRDefault="005B34DF" w:rsidP="001A69D6">
            <w:pPr>
              <w:spacing w:after="120"/>
            </w:pPr>
            <w:r>
              <w:t>Where possible we</w:t>
            </w:r>
            <w:r w:rsidR="00FB0255">
              <w:t xml:space="preserve"> will </w:t>
            </w:r>
            <w:r>
              <w:t>estimate body mass index using recorded weight and height measures (using the weight measure recorded closest to the week of interest) as we have in previous studies.</w:t>
            </w:r>
            <w:r>
              <w:fldChar w:fldCharType="begin" w:fldLock="1"/>
            </w:r>
            <w:r w:rsidR="00F90A11">
              <w:instrText>ADDIN CSL_CITATION {"citationItems":[{"id":"ITEM-1","itemData":{"abstract":"Abstract: SummaryBackground High body-mass index (BMI) predisposes to several site-specific cancers, but a large-scale systematic and detailed characterisation of patterns of risk across all common cancers adjusted for potential confounders has not previously been undertaken. We aimed to investigate the links between BMI and the most common site-specific cancers. Methods With primary care data from individuals in the Clinical Practice Research Datalink with BMI data, we fitted Cox models to investigate associations between BMI and 22 of the most common cancers, adjusting for potential confounders. We fitted linear then non-linear (spline) models; investigated effect modification by sex, menopausal status, smoking, and age; and calculated population effects. Findings 5·24 million individuals were included; 166 955 developed cancers of interest. BMI was associated with 17 of 22 cancers, but effects varied substantially by site. Each 5 kg/m2 increase in BMI was roughly linearly associated with cancers of the uterus (hazard ratio [HR] 1·62, 99% CI 1·56–1·69; p&lt;0·0001), gallbladder (1·31, 1·12–1·52; p&lt;0·0001), kidney (1·25, 1·17–1·33; p&lt;0·0001), cervix (1·10, 1·03–1·17; p=0·00035), thyroid (1·09, 1·00–1·19; p=0·0088), and leukaemia (1·09, 1·05–1·13; p≤0·0001). BMI was positively associated with liver (1·19, 1·12–1·27), colon (1·10, 1·07–1·13), ovarian (1·09, 1.04–1.14), and postmenopausal breast cancers (1·05, 1·03–1·07) overall (all p&lt;0·0001), but these effects varied by underlying BMI or individual-level characteristics. We estimated inverse associations with prostate and premenopausal breast cancer risk, both overall (prostate 0·98, 0·95–1·00; premenopausal breast cancer 0·89, 0·86–0·92) and in never-smokers (prostate 0·96, 0·93–0·99; premenopausal breast cancer 0·89, 0·85–0·94). By contrast, for lung and oral cavity cancer, we observed no association in never smokers (lung 0·99, 0·93–1·05; oral cavity 1·07, 0·91–1·26): inverse associations overall were driven by current smokers and ex-smokers, probably because of residual confounding by smoking amount. Assuming causality, 41% of uterine and 10% or more of gallbladder, kidney, liver, and colon cancers could be attributable to excess weight. We estimated that a 1 kg/m2 population-wide increase in BMI would result in 3790 additional annual UK patients developing one of the ten cancers positively associated with BMI. Interpretation BMI is associated with cancer risk, with substantial population-level effects…","author":[{"dropping-particle":"","family":"Bhaskaran","given":"Krishnan","non-dropping-particle":"","parse-names":false,"suffix":""},{"dropping-particle":"","family":"Douglas","given":"Ian","non-dropping-particle":"","parse-names":false,"suffix":""},{"dropping-particle":"","family":"Forbes","given":"Harriet","non-dropping-particle":"","parse-names":false,"suffix":""},{"dropping-particle":"","family":"Dos-Santos-Silva","given":"Isabel","non-dropping-particle":"","parse-names":false,"suffix":""},{"dropping-particle":"","family":"Leon","given":"David A","non-dropping-particle":"","parse-names":false,"suffix":""},{"dropping-particle":"","family":"Smeeth","given":"Liam","non-dropping-particle":"","parse-names":false,"suffix":""}],"container-title":"Lancet","id":"ITEM-1","issue":"14","issued":{"date-parts":[["2014"]]},"page":"60892-8","title":"Body-mass index and risk of 22 specific cancers: a population-based cohort study of 5·24 million UK adults","type":"article-journal","volume":"6736"},"uris":["http://www.mendeley.com/documents/?uuid=2ec49343-bf1d-42df-b7cb-a2385901f35d"]}],"mendeley":{"formattedCitation":"&lt;sup&gt;25&lt;/sup&gt;","plainTextFormattedCitation":"25","previouslyFormattedCitation":"&lt;sup&gt;25&lt;/sup&gt;"},"properties":{"noteIndex":0},"schema":"https://github.com/citation-style-language/schema/raw/master/csl-citation.json"}</w:instrText>
            </w:r>
            <w:r>
              <w:fldChar w:fldCharType="separate"/>
            </w:r>
            <w:r w:rsidR="00206238" w:rsidRPr="00206238">
              <w:rPr>
                <w:noProof/>
                <w:vertAlign w:val="superscript"/>
              </w:rPr>
              <w:t>25</w:t>
            </w:r>
            <w:r>
              <w:fldChar w:fldCharType="end"/>
            </w:r>
            <w:r w:rsidR="000D77EB">
              <w:t xml:space="preserve"> </w:t>
            </w:r>
            <w:r w:rsidR="000D77EB" w:rsidRPr="000D77EB">
              <w:t>BMI will be classified using the World Health Organisation categories, i.e., underweight [&lt;18·5 kg/m2], normal weight [18·5–24·9 kg/m2], overweight [25·0–29·9 kg/m2], and obese [≥30·0 kg/m2])</w:t>
            </w:r>
            <w:r w:rsidR="00D60F95">
              <w:t>. We will also use a missing indicator category if there are no valid records as this will capture something meaningful about consulting behaviour.</w:t>
            </w:r>
          </w:p>
          <w:p w14:paraId="6491EE25" w14:textId="3E4C2247" w:rsidR="00C950FC" w:rsidRDefault="00E310BE" w:rsidP="001A69D6">
            <w:pPr>
              <w:spacing w:after="120"/>
              <w:rPr>
                <w:b/>
                <w:bCs/>
              </w:rPr>
            </w:pPr>
            <w:r>
              <w:t>We will also stratify by</w:t>
            </w:r>
            <w:r w:rsidR="006702E8">
              <w:t xml:space="preserve"> </w:t>
            </w:r>
            <w:r>
              <w:t xml:space="preserve">outcome-specific factors </w:t>
            </w:r>
            <w:r w:rsidR="008420D8">
              <w:t xml:space="preserve">outlined in </w:t>
            </w:r>
            <w:r w:rsidR="008420D8" w:rsidRPr="008420D8">
              <w:rPr>
                <w:b/>
                <w:bCs/>
              </w:rPr>
              <w:t xml:space="preserve">Table </w:t>
            </w:r>
            <w:r w:rsidR="0083285C">
              <w:rPr>
                <w:b/>
                <w:bCs/>
              </w:rPr>
              <w:t>3</w:t>
            </w:r>
            <w:r w:rsidR="008420D8" w:rsidRPr="008420D8">
              <w:rPr>
                <w:b/>
                <w:bCs/>
              </w:rPr>
              <w:t>.</w:t>
            </w:r>
          </w:p>
          <w:p w14:paraId="014CDEDF" w14:textId="5B6248DB" w:rsidR="008420D8" w:rsidRDefault="008420D8" w:rsidP="001A69D6">
            <w:pPr>
              <w:pStyle w:val="ListParagraph"/>
              <w:ind w:left="0"/>
            </w:pPr>
            <w:r w:rsidRPr="008420D8">
              <w:rPr>
                <w:b/>
                <w:bCs/>
              </w:rPr>
              <w:t xml:space="preserve">Table </w:t>
            </w:r>
            <w:r w:rsidR="0083285C">
              <w:rPr>
                <w:b/>
                <w:bCs/>
              </w:rPr>
              <w:t>3</w:t>
            </w:r>
            <w:r>
              <w:t>. Outcome-specific stratifying variables</w:t>
            </w:r>
          </w:p>
          <w:tbl>
            <w:tblPr>
              <w:tblStyle w:val="TableGrid"/>
              <w:tblW w:w="9809" w:type="dxa"/>
              <w:tblBorders>
                <w:left w:val="none" w:sz="0" w:space="0" w:color="auto"/>
                <w:right w:val="none" w:sz="0" w:space="0" w:color="auto"/>
              </w:tblBorders>
              <w:tblLayout w:type="fixed"/>
              <w:tblLook w:val="04A0" w:firstRow="1" w:lastRow="0" w:firstColumn="1" w:lastColumn="0" w:noHBand="0" w:noVBand="1"/>
            </w:tblPr>
            <w:tblGrid>
              <w:gridCol w:w="1742"/>
              <w:gridCol w:w="3956"/>
              <w:gridCol w:w="4111"/>
            </w:tblGrid>
            <w:tr w:rsidR="00E4642A" w:rsidRPr="00105958" w14:paraId="3986E217" w14:textId="22DD15BB" w:rsidTr="00413DD8">
              <w:trPr>
                <w:tblHeader/>
              </w:trPr>
              <w:tc>
                <w:tcPr>
                  <w:tcW w:w="1742" w:type="dxa"/>
                </w:tcPr>
                <w:p w14:paraId="72442163" w14:textId="77777777" w:rsidR="00E4642A" w:rsidRPr="00105958" w:rsidRDefault="00E4642A" w:rsidP="001A69D6">
                  <w:pPr>
                    <w:rPr>
                      <w:b/>
                      <w:bCs/>
                      <w:sz w:val="18"/>
                      <w:szCs w:val="18"/>
                    </w:rPr>
                  </w:pPr>
                  <w:r w:rsidRPr="00105958">
                    <w:rPr>
                      <w:b/>
                      <w:bCs/>
                      <w:sz w:val="18"/>
                      <w:szCs w:val="18"/>
                    </w:rPr>
                    <w:t>Outcome</w:t>
                  </w:r>
                </w:p>
              </w:tc>
              <w:tc>
                <w:tcPr>
                  <w:tcW w:w="3956" w:type="dxa"/>
                </w:tcPr>
                <w:p w14:paraId="3AC1D7F7" w14:textId="31222D80" w:rsidR="00E4642A" w:rsidRPr="00105958" w:rsidRDefault="00E4642A" w:rsidP="001A69D6">
                  <w:pPr>
                    <w:rPr>
                      <w:b/>
                      <w:bCs/>
                      <w:sz w:val="18"/>
                      <w:szCs w:val="18"/>
                    </w:rPr>
                  </w:pPr>
                  <w:r>
                    <w:rPr>
                      <w:b/>
                      <w:bCs/>
                      <w:sz w:val="18"/>
                      <w:szCs w:val="18"/>
                    </w:rPr>
                    <w:t>Stratifying variable</w:t>
                  </w:r>
                  <w:r w:rsidR="00E7571D">
                    <w:rPr>
                      <w:b/>
                      <w:bCs/>
                      <w:sz w:val="18"/>
                      <w:szCs w:val="18"/>
                    </w:rPr>
                    <w:t>s</w:t>
                  </w:r>
                </w:p>
              </w:tc>
              <w:tc>
                <w:tcPr>
                  <w:tcW w:w="4111" w:type="dxa"/>
                </w:tcPr>
                <w:p w14:paraId="16976846" w14:textId="22E2F2A1" w:rsidR="00E4642A" w:rsidRDefault="00E4642A" w:rsidP="001A69D6">
                  <w:pPr>
                    <w:rPr>
                      <w:b/>
                      <w:bCs/>
                      <w:sz w:val="18"/>
                      <w:szCs w:val="18"/>
                    </w:rPr>
                  </w:pPr>
                  <w:r>
                    <w:rPr>
                      <w:b/>
                      <w:bCs/>
                      <w:sz w:val="18"/>
                      <w:szCs w:val="18"/>
                    </w:rPr>
                    <w:t>Definition</w:t>
                  </w:r>
                </w:p>
              </w:tc>
            </w:tr>
            <w:tr w:rsidR="00462447" w:rsidRPr="00105958" w14:paraId="42EA299F" w14:textId="498807E4" w:rsidTr="00413DD8">
              <w:tc>
                <w:tcPr>
                  <w:tcW w:w="1742" w:type="dxa"/>
                  <w:vMerge w:val="restart"/>
                </w:tcPr>
                <w:p w14:paraId="069C7183" w14:textId="77777777" w:rsidR="00462447" w:rsidRPr="00105958" w:rsidRDefault="00462447" w:rsidP="001A69D6">
                  <w:pPr>
                    <w:rPr>
                      <w:sz w:val="18"/>
                      <w:szCs w:val="18"/>
                    </w:rPr>
                  </w:pPr>
                  <w:r w:rsidRPr="00105958">
                    <w:rPr>
                      <w:sz w:val="18"/>
                      <w:szCs w:val="18"/>
                    </w:rPr>
                    <w:t>Diabetic emergencies</w:t>
                  </w:r>
                </w:p>
              </w:tc>
              <w:tc>
                <w:tcPr>
                  <w:tcW w:w="3956" w:type="dxa"/>
                </w:tcPr>
                <w:p w14:paraId="3ABB6A4F" w14:textId="6C1109F8" w:rsidR="00462447" w:rsidRPr="00462447" w:rsidRDefault="00462447" w:rsidP="001A69D6">
                  <w:pPr>
                    <w:rPr>
                      <w:sz w:val="18"/>
                      <w:szCs w:val="18"/>
                    </w:rPr>
                  </w:pPr>
                  <w:r w:rsidRPr="00462447">
                    <w:rPr>
                      <w:sz w:val="18"/>
                      <w:szCs w:val="18"/>
                    </w:rPr>
                    <w:t>Type I/II diabetes</w:t>
                  </w:r>
                  <w:r w:rsidR="005A7692">
                    <w:rPr>
                      <w:sz w:val="18"/>
                      <w:szCs w:val="18"/>
                    </w:rPr>
                    <w:t xml:space="preserve"> (or type unclassified)</w:t>
                  </w:r>
                </w:p>
              </w:tc>
              <w:tc>
                <w:tcPr>
                  <w:tcW w:w="4111" w:type="dxa"/>
                </w:tcPr>
                <w:p w14:paraId="02A39418" w14:textId="6E6BE92E" w:rsidR="00462447" w:rsidRPr="00105958" w:rsidRDefault="00587114" w:rsidP="001A69D6">
                  <w:pPr>
                    <w:rPr>
                      <w:sz w:val="18"/>
                      <w:szCs w:val="18"/>
                    </w:rPr>
                  </w:pPr>
                  <w:r>
                    <w:rPr>
                      <w:sz w:val="18"/>
                      <w:szCs w:val="18"/>
                    </w:rPr>
                    <w:t xml:space="preserve">Defined using </w:t>
                  </w:r>
                  <w:r w:rsidR="004D2616">
                    <w:rPr>
                      <w:sz w:val="18"/>
                      <w:szCs w:val="18"/>
                    </w:rPr>
                    <w:t xml:space="preserve">an algorithm using </w:t>
                  </w:r>
                  <w:r>
                    <w:rPr>
                      <w:sz w:val="18"/>
                      <w:szCs w:val="18"/>
                    </w:rPr>
                    <w:t>morbidity coding</w:t>
                  </w:r>
                  <w:r w:rsidR="007C19FE">
                    <w:rPr>
                      <w:sz w:val="18"/>
                      <w:szCs w:val="18"/>
                    </w:rPr>
                    <w:t xml:space="preserve"> </w:t>
                  </w:r>
                  <w:r w:rsidR="004D2616">
                    <w:rPr>
                      <w:sz w:val="18"/>
                      <w:szCs w:val="18"/>
                    </w:rPr>
                    <w:t xml:space="preserve">and insulin prescriptions </w:t>
                  </w:r>
                  <w:r w:rsidR="007C19FE">
                    <w:rPr>
                      <w:sz w:val="18"/>
                      <w:szCs w:val="18"/>
                    </w:rPr>
                    <w:t xml:space="preserve">recorded </w:t>
                  </w:r>
                  <w:r w:rsidR="0096268A">
                    <w:rPr>
                      <w:sz w:val="18"/>
                      <w:szCs w:val="18"/>
                    </w:rPr>
                    <w:t xml:space="preserve">at any time </w:t>
                  </w:r>
                  <w:r w:rsidR="007C19FE">
                    <w:rPr>
                      <w:sz w:val="18"/>
                      <w:szCs w:val="18"/>
                    </w:rPr>
                    <w:t>prior to the week of interest.</w:t>
                  </w:r>
                  <w:r w:rsidR="001D03DB">
                    <w:rPr>
                      <w:sz w:val="18"/>
                      <w:szCs w:val="18"/>
                    </w:rPr>
                    <w:fldChar w:fldCharType="begin" w:fldLock="1"/>
                  </w:r>
                  <w:r w:rsidR="00F90A11">
                    <w:rPr>
                      <w:sz w:val="18"/>
                      <w:szCs w:val="18"/>
                    </w:rPr>
                    <w:instrText>ADDIN CSL_CITATION {"citationItems":[{"id":"ITEM-1","itemData":{"DOI":"10.1371/journal.pone.0162388","ISBN":"1932-6203","ISSN":"19326203","PMID":"27631769","abstract":"Objectives","author":[{"dropping-particle":"V.","family":"Eastwood","given":"Sophie","non-dropping-particle":"","parse-names":false,"suffix":""},{"dropping-particle":"","family":"Mathur","given":"Rohini","non-dropping-particle":"","parse-names":false,"suffix":""},{"dropping-particle":"","family":"Atkinson","given":"Mark","non-dropping-particle":"","parse-names":false,"suffix":""},{"dropping-particle":"","family":"Brophy","given":"Sinead","non-dropping-particle":"","parse-names":false,"suffix":""},{"dropping-particle":"","family":"Sudlow","given":"Cathie","non-dropping-particle":"","parse-names":false,"suffix":""},{"dropping-particle":"","family":"Flaig","given":"Robin","non-dropping-particle":"","parse-names":false,"suffix":""},{"dropping-particle":"","family":"Lusignan","given":"Simon","non-dropping-particle":"De","parse-names":false,"suffix":""},{"dropping-particle":"","family":"Allen","given":"Naomi","non-dropping-particle":"","parse-names":false,"suffix":""},{"dropping-particle":"","family":"Chaturvedi","given":"Nishi","non-dropping-particle":"","parse-names":false,"suffix":""}],"container-title":"PLoS ONE","id":"ITEM-1","issue":"9","issued":{"date-parts":[["2016"]]},"title":"Algorithms for the capture and adjudication of prevalent and incident diabetes in UK Biobank","type":"article-journal","volume":"11"},"uris":["http://www.mendeley.com/documents/?uuid=eb841206-98b5-46c5-aef5-4fef242752ca"]}],"mendeley":{"formattedCitation":"&lt;sup&gt;26&lt;/sup&gt;","plainTextFormattedCitation":"26","previouslyFormattedCitation":"&lt;sup&gt;26&lt;/sup&gt;"},"properties":{"noteIndex":0},"schema":"https://github.com/citation-style-language/schema/raw/master/csl-citation.json"}</w:instrText>
                  </w:r>
                  <w:r w:rsidR="001D03DB">
                    <w:rPr>
                      <w:sz w:val="18"/>
                      <w:szCs w:val="18"/>
                    </w:rPr>
                    <w:fldChar w:fldCharType="separate"/>
                  </w:r>
                  <w:r w:rsidR="00206238" w:rsidRPr="00206238">
                    <w:rPr>
                      <w:noProof/>
                      <w:sz w:val="18"/>
                      <w:szCs w:val="18"/>
                      <w:vertAlign w:val="superscript"/>
                    </w:rPr>
                    <w:t>26</w:t>
                  </w:r>
                  <w:r w:rsidR="001D03DB">
                    <w:rPr>
                      <w:sz w:val="18"/>
                      <w:szCs w:val="18"/>
                    </w:rPr>
                    <w:fldChar w:fldCharType="end"/>
                  </w:r>
                  <w:r w:rsidR="005A7692">
                    <w:rPr>
                      <w:sz w:val="18"/>
                      <w:szCs w:val="18"/>
                    </w:rPr>
                    <w:t xml:space="preserve"> </w:t>
                  </w:r>
                </w:p>
              </w:tc>
            </w:tr>
            <w:tr w:rsidR="00462447" w:rsidRPr="00105958" w14:paraId="6CC18F37" w14:textId="77777777" w:rsidTr="00413DD8">
              <w:tc>
                <w:tcPr>
                  <w:tcW w:w="1742" w:type="dxa"/>
                  <w:vMerge/>
                </w:tcPr>
                <w:p w14:paraId="752D1F2B" w14:textId="77777777" w:rsidR="00462447" w:rsidRPr="00105958" w:rsidRDefault="00462447" w:rsidP="001A69D6">
                  <w:pPr>
                    <w:rPr>
                      <w:sz w:val="18"/>
                      <w:szCs w:val="18"/>
                    </w:rPr>
                  </w:pPr>
                </w:p>
              </w:tc>
              <w:tc>
                <w:tcPr>
                  <w:tcW w:w="3956" w:type="dxa"/>
                </w:tcPr>
                <w:p w14:paraId="5F11A324" w14:textId="777064D2" w:rsidR="00462447" w:rsidRPr="00462447" w:rsidRDefault="0093251E" w:rsidP="001A69D6">
                  <w:pPr>
                    <w:rPr>
                      <w:sz w:val="18"/>
                      <w:szCs w:val="18"/>
                    </w:rPr>
                  </w:pPr>
                  <w:r>
                    <w:rPr>
                      <w:sz w:val="18"/>
                      <w:szCs w:val="18"/>
                    </w:rPr>
                    <w:t>Glycosylated haemoglobin (</w:t>
                  </w:r>
                  <w:r w:rsidR="00462447" w:rsidRPr="00462447">
                    <w:rPr>
                      <w:sz w:val="18"/>
                      <w:szCs w:val="18"/>
                    </w:rPr>
                    <w:t>HbA1C</w:t>
                  </w:r>
                  <w:r>
                    <w:rPr>
                      <w:sz w:val="18"/>
                      <w:szCs w:val="18"/>
                    </w:rPr>
                    <w:t>)</w:t>
                  </w:r>
                </w:p>
              </w:tc>
              <w:tc>
                <w:tcPr>
                  <w:tcW w:w="4111" w:type="dxa"/>
                </w:tcPr>
                <w:p w14:paraId="42AC72EC" w14:textId="761D4B6F" w:rsidR="00462447" w:rsidRDefault="007D5C9B" w:rsidP="001A69D6">
                  <w:pPr>
                    <w:rPr>
                      <w:sz w:val="18"/>
                      <w:szCs w:val="18"/>
                    </w:rPr>
                  </w:pPr>
                  <w:r>
                    <w:rPr>
                      <w:sz w:val="18"/>
                      <w:szCs w:val="18"/>
                    </w:rPr>
                    <w:t>Defined as HbA1c</w:t>
                  </w:r>
                  <w:r w:rsidR="00A868EE">
                    <w:rPr>
                      <w:sz w:val="18"/>
                      <w:szCs w:val="18"/>
                    </w:rPr>
                    <w:t xml:space="preserve"> &lt;=58/mmol/mol or &lt;58 mmol/mol</w:t>
                  </w:r>
                  <w:r w:rsidR="00A26CA4">
                    <w:rPr>
                      <w:sz w:val="18"/>
                      <w:szCs w:val="18"/>
                    </w:rPr>
                    <w:t xml:space="preserve"> recorded</w:t>
                  </w:r>
                  <w:r w:rsidR="00212F56">
                    <w:rPr>
                      <w:sz w:val="18"/>
                      <w:szCs w:val="18"/>
                    </w:rPr>
                    <w:t>, using the latest recorded measure recorded between 13 months and 1 month prior to week of interest</w:t>
                  </w:r>
                  <w:r w:rsidR="002637AF">
                    <w:rPr>
                      <w:sz w:val="18"/>
                      <w:szCs w:val="18"/>
                    </w:rPr>
                    <w:t xml:space="preserve"> (to capture baseline blood sugar control, rather than changes related to the acute event)</w:t>
                  </w:r>
                  <w:r w:rsidR="00212F56">
                    <w:rPr>
                      <w:sz w:val="18"/>
                      <w:szCs w:val="18"/>
                    </w:rPr>
                    <w:t xml:space="preserve">. </w:t>
                  </w:r>
                  <w:r w:rsidR="00E11C4F">
                    <w:rPr>
                      <w:sz w:val="18"/>
                      <w:szCs w:val="18"/>
                    </w:rPr>
                    <w:t xml:space="preserve">Individuals with no recorded HbA1c within the 13 months to 1 month prior to week of interest will be included in a missing category (people with </w:t>
                  </w:r>
                  <w:r w:rsidR="00E11C4F" w:rsidRPr="00E11C4F">
                    <w:rPr>
                      <w:sz w:val="18"/>
                      <w:szCs w:val="18"/>
                    </w:rPr>
                    <w:t xml:space="preserve">diabetes should have HbA1c measured at least once a year, so if </w:t>
                  </w:r>
                  <w:r w:rsidR="00E11C4F">
                    <w:rPr>
                      <w:sz w:val="18"/>
                      <w:szCs w:val="18"/>
                    </w:rPr>
                    <w:t>there is no</w:t>
                  </w:r>
                  <w:r w:rsidR="00E11C4F" w:rsidRPr="00E11C4F">
                    <w:rPr>
                      <w:sz w:val="18"/>
                      <w:szCs w:val="18"/>
                    </w:rPr>
                    <w:t xml:space="preserve"> recent record</w:t>
                  </w:r>
                  <w:r w:rsidR="00E11C4F">
                    <w:rPr>
                      <w:sz w:val="18"/>
                      <w:szCs w:val="18"/>
                    </w:rPr>
                    <w:t xml:space="preserve"> a missing category will capture </w:t>
                  </w:r>
                  <w:r w:rsidR="00E11C4F" w:rsidRPr="00E11C4F">
                    <w:rPr>
                      <w:sz w:val="18"/>
                      <w:szCs w:val="18"/>
                    </w:rPr>
                    <w:t xml:space="preserve">something </w:t>
                  </w:r>
                  <w:r w:rsidR="00E11C4F">
                    <w:rPr>
                      <w:sz w:val="18"/>
                      <w:szCs w:val="18"/>
                    </w:rPr>
                    <w:t xml:space="preserve">meaningful </w:t>
                  </w:r>
                  <w:r w:rsidR="00E11C4F" w:rsidRPr="00E11C4F">
                    <w:rPr>
                      <w:sz w:val="18"/>
                      <w:szCs w:val="18"/>
                    </w:rPr>
                    <w:t>about consulting behaviour</w:t>
                  </w:r>
                  <w:r w:rsidR="00E11C4F">
                    <w:rPr>
                      <w:sz w:val="18"/>
                      <w:szCs w:val="18"/>
                    </w:rPr>
                    <w:t>).</w:t>
                  </w:r>
                </w:p>
              </w:tc>
            </w:tr>
            <w:tr w:rsidR="0066217A" w:rsidRPr="00105958" w14:paraId="293DE646" w14:textId="77777777" w:rsidTr="00413DD8">
              <w:tc>
                <w:tcPr>
                  <w:tcW w:w="1742" w:type="dxa"/>
                  <w:vMerge w:val="restart"/>
                </w:tcPr>
                <w:p w14:paraId="47C2B4D2" w14:textId="5344B217" w:rsidR="0066217A" w:rsidRDefault="0066217A" w:rsidP="001A69D6">
                  <w:pPr>
                    <w:rPr>
                      <w:sz w:val="18"/>
                      <w:szCs w:val="18"/>
                    </w:rPr>
                  </w:pPr>
                  <w:r>
                    <w:rPr>
                      <w:sz w:val="18"/>
                      <w:szCs w:val="18"/>
                    </w:rPr>
                    <w:t>Mental illness outcomes</w:t>
                  </w:r>
                </w:p>
              </w:tc>
              <w:tc>
                <w:tcPr>
                  <w:tcW w:w="3956" w:type="dxa"/>
                </w:tcPr>
                <w:p w14:paraId="139FBCA6" w14:textId="0D710FAC" w:rsidR="0066217A" w:rsidRDefault="0066217A" w:rsidP="001A69D6">
                  <w:pPr>
                    <w:rPr>
                      <w:sz w:val="18"/>
                      <w:szCs w:val="18"/>
                    </w:rPr>
                  </w:pPr>
                  <w:r w:rsidRPr="00462447">
                    <w:rPr>
                      <w:sz w:val="18"/>
                      <w:szCs w:val="18"/>
                    </w:rPr>
                    <w:t>History of common health disorders</w:t>
                  </w:r>
                </w:p>
              </w:tc>
              <w:tc>
                <w:tcPr>
                  <w:tcW w:w="4111" w:type="dxa"/>
                  <w:vMerge w:val="restart"/>
                </w:tcPr>
                <w:p w14:paraId="7214F668" w14:textId="457301DD" w:rsidR="0066217A" w:rsidRPr="0093251E" w:rsidRDefault="0066217A" w:rsidP="001A69D6">
                  <w:pPr>
                    <w:rPr>
                      <w:sz w:val="18"/>
                      <w:szCs w:val="18"/>
                    </w:rPr>
                  </w:pPr>
                  <w:r>
                    <w:rPr>
                      <w:sz w:val="18"/>
                      <w:szCs w:val="18"/>
                    </w:rPr>
                    <w:t>Defined using morbidity coding recorded at any time prior to the week of interest.</w:t>
                  </w:r>
                </w:p>
              </w:tc>
            </w:tr>
            <w:tr w:rsidR="0066217A" w:rsidRPr="00105958" w14:paraId="14581E12" w14:textId="77777777" w:rsidTr="00413DD8">
              <w:tc>
                <w:tcPr>
                  <w:tcW w:w="1742" w:type="dxa"/>
                  <w:vMerge/>
                </w:tcPr>
                <w:p w14:paraId="04EC1BDA" w14:textId="77777777" w:rsidR="0066217A" w:rsidRDefault="0066217A" w:rsidP="001A69D6">
                  <w:pPr>
                    <w:rPr>
                      <w:sz w:val="18"/>
                      <w:szCs w:val="18"/>
                    </w:rPr>
                  </w:pPr>
                </w:p>
              </w:tc>
              <w:tc>
                <w:tcPr>
                  <w:tcW w:w="3956" w:type="dxa"/>
                </w:tcPr>
                <w:p w14:paraId="70F51DDC" w14:textId="697974F9" w:rsidR="0066217A" w:rsidRDefault="0066217A" w:rsidP="001A69D6">
                  <w:pPr>
                    <w:rPr>
                      <w:sz w:val="18"/>
                      <w:szCs w:val="18"/>
                    </w:rPr>
                  </w:pPr>
                  <w:r w:rsidRPr="00462447">
                    <w:rPr>
                      <w:sz w:val="18"/>
                      <w:szCs w:val="18"/>
                    </w:rPr>
                    <w:t>History of serious mental illness</w:t>
                  </w:r>
                </w:p>
              </w:tc>
              <w:tc>
                <w:tcPr>
                  <w:tcW w:w="4111" w:type="dxa"/>
                  <w:vMerge/>
                </w:tcPr>
                <w:p w14:paraId="06876C73" w14:textId="77777777" w:rsidR="0066217A" w:rsidRPr="0093251E" w:rsidRDefault="0066217A" w:rsidP="001A69D6">
                  <w:pPr>
                    <w:rPr>
                      <w:sz w:val="18"/>
                      <w:szCs w:val="18"/>
                    </w:rPr>
                  </w:pPr>
                </w:p>
              </w:tc>
            </w:tr>
            <w:tr w:rsidR="00C70DF6" w:rsidRPr="00105958" w14:paraId="515C1F26" w14:textId="77777777" w:rsidTr="00413DD8">
              <w:tc>
                <w:tcPr>
                  <w:tcW w:w="1742" w:type="dxa"/>
                  <w:vMerge w:val="restart"/>
                </w:tcPr>
                <w:p w14:paraId="00D8D1D9" w14:textId="55CA318E" w:rsidR="00C70DF6" w:rsidRDefault="00C70DF6" w:rsidP="001A69D6">
                  <w:pPr>
                    <w:rPr>
                      <w:sz w:val="18"/>
                      <w:szCs w:val="18"/>
                    </w:rPr>
                  </w:pPr>
                  <w:r>
                    <w:rPr>
                      <w:sz w:val="18"/>
                      <w:szCs w:val="18"/>
                    </w:rPr>
                    <w:t>A</w:t>
                  </w:r>
                  <w:r w:rsidRPr="00105958">
                    <w:rPr>
                      <w:sz w:val="18"/>
                      <w:szCs w:val="18"/>
                    </w:rPr>
                    <w:t>sthma</w:t>
                  </w:r>
                  <w:r>
                    <w:rPr>
                      <w:sz w:val="18"/>
                      <w:szCs w:val="18"/>
                    </w:rPr>
                    <w:t xml:space="preserve"> exacerbations</w:t>
                  </w:r>
                </w:p>
              </w:tc>
              <w:tc>
                <w:tcPr>
                  <w:tcW w:w="3956" w:type="dxa"/>
                </w:tcPr>
                <w:p w14:paraId="18F71F51" w14:textId="48DBF432" w:rsidR="00C70DF6" w:rsidRDefault="00C70DF6" w:rsidP="001A69D6">
                  <w:pPr>
                    <w:rPr>
                      <w:sz w:val="18"/>
                      <w:szCs w:val="18"/>
                    </w:rPr>
                  </w:pPr>
                  <w:r>
                    <w:rPr>
                      <w:sz w:val="18"/>
                      <w:szCs w:val="18"/>
                    </w:rPr>
                    <w:t>Asthma severity</w:t>
                  </w:r>
                </w:p>
              </w:tc>
              <w:tc>
                <w:tcPr>
                  <w:tcW w:w="4111" w:type="dxa"/>
                </w:tcPr>
                <w:p w14:paraId="5B7923B8" w14:textId="3933F350" w:rsidR="00C70DF6" w:rsidRPr="0093251E" w:rsidRDefault="00C70DF6" w:rsidP="001A69D6">
                  <w:pPr>
                    <w:rPr>
                      <w:sz w:val="18"/>
                      <w:szCs w:val="18"/>
                    </w:rPr>
                  </w:pPr>
                  <w:r w:rsidRPr="0093251E">
                    <w:rPr>
                      <w:sz w:val="18"/>
                      <w:szCs w:val="18"/>
                    </w:rPr>
                    <w:t xml:space="preserve">Defined </w:t>
                  </w:r>
                  <w:r>
                    <w:rPr>
                      <w:sz w:val="18"/>
                      <w:szCs w:val="18"/>
                    </w:rPr>
                    <w:t>using British Thoracic Society</w:t>
                  </w:r>
                  <w:r w:rsidRPr="0093251E">
                    <w:rPr>
                      <w:sz w:val="18"/>
                      <w:szCs w:val="18"/>
                    </w:rPr>
                    <w:t xml:space="preserve"> </w:t>
                  </w:r>
                  <w:r>
                    <w:rPr>
                      <w:sz w:val="18"/>
                      <w:szCs w:val="18"/>
                    </w:rPr>
                    <w:t xml:space="preserve">(BTS) </w:t>
                  </w:r>
                  <w:r w:rsidRPr="0093251E">
                    <w:rPr>
                      <w:sz w:val="18"/>
                      <w:szCs w:val="18"/>
                    </w:rPr>
                    <w:t xml:space="preserve">standards applied to </w:t>
                  </w:r>
                  <w:r>
                    <w:rPr>
                      <w:sz w:val="18"/>
                      <w:szCs w:val="18"/>
                    </w:rPr>
                    <w:t xml:space="preserve">the most recent </w:t>
                  </w:r>
                  <w:r w:rsidRPr="0093251E">
                    <w:rPr>
                      <w:sz w:val="18"/>
                      <w:szCs w:val="18"/>
                    </w:rPr>
                    <w:t xml:space="preserve">primary care </w:t>
                  </w:r>
                  <w:r>
                    <w:rPr>
                      <w:sz w:val="18"/>
                      <w:szCs w:val="18"/>
                    </w:rPr>
                    <w:t>prescribing</w:t>
                  </w:r>
                  <w:r w:rsidRPr="0093251E">
                    <w:rPr>
                      <w:sz w:val="18"/>
                      <w:szCs w:val="18"/>
                    </w:rPr>
                    <w:t xml:space="preserve"> records</w:t>
                  </w:r>
                  <w:r>
                    <w:rPr>
                      <w:sz w:val="18"/>
                      <w:szCs w:val="18"/>
                    </w:rPr>
                    <w:t xml:space="preserve"> recorded between 13 months and 1 month prior to the week of interest, to capture baseline asthma severity.</w:t>
                  </w:r>
                  <w:r>
                    <w:rPr>
                      <w:sz w:val="18"/>
                      <w:szCs w:val="18"/>
                    </w:rPr>
                    <w:fldChar w:fldCharType="begin" w:fldLock="1"/>
                  </w:r>
                  <w:r>
                    <w:rPr>
                      <w:sz w:val="18"/>
                      <w:szCs w:val="18"/>
                    </w:rPr>
                    <w:instrText>ADDIN CSL_CITATION {"citationItems":[{"id":"ITEM-1","itemData":{"ISBN":"9781909103719","author":[{"dropping-particle":"","family":"Britiish Thoracic Society","given":"","non-dropping-particle":"","parse-names":false,"suffix":""},{"dropping-particle":"","family":"SIGN","given":"","non-dropping-particle":"","parse-names":false,"suffix":""}],"id":"ITEM-1","issue":"July","issued":{"date-parts":[["2019"]]},"number-of-pages":"1-28","title":"Sign 158: British guideline on the management of asthma","type":"report"},"uris":["http://www.mendeley.com/documents/?uuid=b18ded42-2842-4d82-ba31-b87c4126c276"]}],"mendeley":{"formattedCitation":"&lt;sup&gt;27&lt;/sup&gt;","plainTextFormattedCitation":"27","previouslyFormattedCitation":"&lt;sup&gt;27&lt;/sup&gt;"},"properties":{"noteIndex":0},"schema":"https://github.com/citation-style-language/schema/raw/master/csl-citation.json"}</w:instrText>
                  </w:r>
                  <w:r>
                    <w:rPr>
                      <w:sz w:val="18"/>
                      <w:szCs w:val="18"/>
                    </w:rPr>
                    <w:fldChar w:fldCharType="separate"/>
                  </w:r>
                  <w:r w:rsidRPr="00206238">
                    <w:rPr>
                      <w:noProof/>
                      <w:sz w:val="18"/>
                      <w:szCs w:val="18"/>
                      <w:vertAlign w:val="superscript"/>
                    </w:rPr>
                    <w:t>27</w:t>
                  </w:r>
                  <w:r>
                    <w:rPr>
                      <w:sz w:val="18"/>
                      <w:szCs w:val="18"/>
                    </w:rPr>
                    <w:fldChar w:fldCharType="end"/>
                  </w:r>
                  <w:r>
                    <w:rPr>
                      <w:sz w:val="18"/>
                      <w:szCs w:val="18"/>
                    </w:rPr>
                    <w:t xml:space="preserve"> </w:t>
                  </w:r>
                  <w:r w:rsidRPr="00A7482C">
                    <w:rPr>
                      <w:sz w:val="18"/>
                      <w:szCs w:val="18"/>
                    </w:rPr>
                    <w:t>The BTS stepwise approach (incorporating inhaler class and dose) is a recommended evidence-based method of measuring asthma severity.</w:t>
                  </w:r>
                  <w:r w:rsidDel="006C4DC9">
                    <w:rPr>
                      <w:sz w:val="18"/>
                      <w:szCs w:val="18"/>
                    </w:rPr>
                    <w:t xml:space="preserve"> </w:t>
                  </w:r>
                </w:p>
              </w:tc>
            </w:tr>
            <w:tr w:rsidR="00C70DF6" w:rsidRPr="00105958" w14:paraId="15FFFD3C" w14:textId="77777777" w:rsidTr="00413DD8">
              <w:tc>
                <w:tcPr>
                  <w:tcW w:w="1742" w:type="dxa"/>
                  <w:vMerge/>
                </w:tcPr>
                <w:p w14:paraId="14C3904E" w14:textId="77777777" w:rsidR="00C70DF6" w:rsidRDefault="00C70DF6" w:rsidP="001A69D6">
                  <w:pPr>
                    <w:rPr>
                      <w:sz w:val="18"/>
                      <w:szCs w:val="18"/>
                    </w:rPr>
                  </w:pPr>
                </w:p>
              </w:tc>
              <w:tc>
                <w:tcPr>
                  <w:tcW w:w="3956" w:type="dxa"/>
                </w:tcPr>
                <w:p w14:paraId="2D83B10A" w14:textId="190A130A" w:rsidR="00C70DF6" w:rsidRDefault="00C70DF6" w:rsidP="001A69D6">
                  <w:pPr>
                    <w:rPr>
                      <w:sz w:val="18"/>
                      <w:szCs w:val="18"/>
                    </w:rPr>
                  </w:pPr>
                  <w:r w:rsidRPr="00462447">
                    <w:rPr>
                      <w:sz w:val="18"/>
                      <w:szCs w:val="18"/>
                    </w:rPr>
                    <w:t>Prescription for a short acting beta-agonist</w:t>
                  </w:r>
                  <w:r>
                    <w:rPr>
                      <w:sz w:val="18"/>
                      <w:szCs w:val="18"/>
                    </w:rPr>
                    <w:t xml:space="preserve"> (SABA) </w:t>
                  </w:r>
                </w:p>
              </w:tc>
              <w:tc>
                <w:tcPr>
                  <w:tcW w:w="4111" w:type="dxa"/>
                </w:tcPr>
                <w:p w14:paraId="302BA905" w14:textId="32892B58" w:rsidR="00C70DF6" w:rsidRPr="0093251E" w:rsidRDefault="00C70DF6" w:rsidP="001A69D6">
                  <w:pPr>
                    <w:rPr>
                      <w:sz w:val="18"/>
                      <w:szCs w:val="18"/>
                    </w:rPr>
                  </w:pPr>
                  <w:r>
                    <w:rPr>
                      <w:sz w:val="18"/>
                      <w:szCs w:val="18"/>
                    </w:rPr>
                    <w:t>Defined using primary care prescribing records for SABA recorded between 13 months and 1 month prior to the week of interest.</w:t>
                  </w:r>
                </w:p>
              </w:tc>
            </w:tr>
            <w:tr w:rsidR="00C70DF6" w:rsidRPr="00105958" w14:paraId="72FC4D02" w14:textId="77777777" w:rsidTr="00413DD8">
              <w:tc>
                <w:tcPr>
                  <w:tcW w:w="1742" w:type="dxa"/>
                </w:tcPr>
                <w:p w14:paraId="175707A8" w14:textId="53509819" w:rsidR="00C70DF6" w:rsidRDefault="00C70DF6" w:rsidP="001A69D6">
                  <w:pPr>
                    <w:rPr>
                      <w:sz w:val="18"/>
                      <w:szCs w:val="18"/>
                    </w:rPr>
                  </w:pPr>
                  <w:r w:rsidRPr="00105958">
                    <w:rPr>
                      <w:sz w:val="18"/>
                      <w:szCs w:val="18"/>
                    </w:rPr>
                    <w:t>COPD exacerbations</w:t>
                  </w:r>
                </w:p>
              </w:tc>
              <w:tc>
                <w:tcPr>
                  <w:tcW w:w="3956" w:type="dxa"/>
                </w:tcPr>
                <w:p w14:paraId="00CD7301" w14:textId="55E7DBB6" w:rsidR="00C70DF6" w:rsidRDefault="00C70DF6" w:rsidP="001A69D6">
                  <w:pPr>
                    <w:rPr>
                      <w:sz w:val="18"/>
                      <w:szCs w:val="18"/>
                    </w:rPr>
                  </w:pPr>
                  <w:r>
                    <w:rPr>
                      <w:sz w:val="18"/>
                      <w:szCs w:val="18"/>
                    </w:rPr>
                    <w:t>Forced expiratory volume (</w:t>
                  </w:r>
                  <w:r w:rsidRPr="00462447">
                    <w:rPr>
                      <w:sz w:val="18"/>
                      <w:szCs w:val="18"/>
                    </w:rPr>
                    <w:t>FEV1</w:t>
                  </w:r>
                  <w:r>
                    <w:rPr>
                      <w:sz w:val="18"/>
                      <w:szCs w:val="18"/>
                    </w:rPr>
                    <w:t>)</w:t>
                  </w:r>
                </w:p>
              </w:tc>
              <w:tc>
                <w:tcPr>
                  <w:tcW w:w="4111" w:type="dxa"/>
                </w:tcPr>
                <w:p w14:paraId="64C19EF7" w14:textId="3AE4ACC9" w:rsidR="00C70DF6" w:rsidRPr="0093251E" w:rsidRDefault="00C70DF6" w:rsidP="001A69D6">
                  <w:pPr>
                    <w:rPr>
                      <w:sz w:val="18"/>
                      <w:szCs w:val="18"/>
                    </w:rPr>
                  </w:pPr>
                  <w:r w:rsidRPr="0093251E">
                    <w:rPr>
                      <w:sz w:val="18"/>
                      <w:szCs w:val="18"/>
                    </w:rPr>
                    <w:t>Defined using spirometry data derived from primary care records</w:t>
                  </w:r>
                  <w:r>
                    <w:rPr>
                      <w:sz w:val="18"/>
                      <w:szCs w:val="18"/>
                    </w:rPr>
                    <w:t>, using the latest recorded measure recorded between 19 months and 1 month prior to week of interest (with a missing category included to categorise people with no spirometry records during this period).</w:t>
                  </w:r>
                </w:p>
              </w:tc>
            </w:tr>
            <w:tr w:rsidR="00C70DF6" w:rsidRPr="00105958" w14:paraId="3380C02B" w14:textId="5874FD29" w:rsidTr="00413DD8">
              <w:tc>
                <w:tcPr>
                  <w:tcW w:w="1742" w:type="dxa"/>
                </w:tcPr>
                <w:p w14:paraId="2DBB1CC7" w14:textId="77777777" w:rsidR="00C70DF6" w:rsidRPr="00105958" w:rsidRDefault="00C70DF6" w:rsidP="001A69D6">
                  <w:pPr>
                    <w:rPr>
                      <w:sz w:val="18"/>
                      <w:szCs w:val="18"/>
                    </w:rPr>
                  </w:pPr>
                  <w:r>
                    <w:rPr>
                      <w:sz w:val="18"/>
                      <w:szCs w:val="18"/>
                    </w:rPr>
                    <w:t>Cardiovascular outcomes</w:t>
                  </w:r>
                </w:p>
                <w:p w14:paraId="2C4B9932" w14:textId="53F65F84" w:rsidR="00C70DF6" w:rsidRPr="00105958" w:rsidRDefault="00C70DF6" w:rsidP="001A69D6">
                  <w:pPr>
                    <w:rPr>
                      <w:sz w:val="18"/>
                      <w:szCs w:val="18"/>
                    </w:rPr>
                  </w:pPr>
                </w:p>
              </w:tc>
              <w:tc>
                <w:tcPr>
                  <w:tcW w:w="3956" w:type="dxa"/>
                </w:tcPr>
                <w:p w14:paraId="6B40E43C" w14:textId="48535204" w:rsidR="00C70DF6" w:rsidRPr="00462447" w:rsidRDefault="00C70DF6" w:rsidP="001A69D6">
                  <w:pPr>
                    <w:rPr>
                      <w:sz w:val="18"/>
                      <w:szCs w:val="18"/>
                    </w:rPr>
                  </w:pPr>
                  <w:r>
                    <w:rPr>
                      <w:sz w:val="18"/>
                      <w:szCs w:val="18"/>
                    </w:rPr>
                    <w:t>History of previous cardiovascular disease.</w:t>
                  </w:r>
                </w:p>
              </w:tc>
              <w:tc>
                <w:tcPr>
                  <w:tcW w:w="4111" w:type="dxa"/>
                </w:tcPr>
                <w:p w14:paraId="1B2100B1" w14:textId="6A44296E" w:rsidR="00C70DF6" w:rsidRPr="00A7482C" w:rsidRDefault="00C70DF6" w:rsidP="001A69D6">
                  <w:pPr>
                    <w:rPr>
                      <w:sz w:val="18"/>
                      <w:szCs w:val="18"/>
                    </w:rPr>
                  </w:pPr>
                  <w:r>
                    <w:rPr>
                      <w:sz w:val="18"/>
                      <w:szCs w:val="18"/>
                    </w:rPr>
                    <w:t xml:space="preserve">Defined using morbidity coding recorded at any time prior to the week of interest for: ischaemic heart disease, </w:t>
                  </w:r>
                  <w:r w:rsidRPr="0093251E">
                    <w:rPr>
                      <w:sz w:val="18"/>
                      <w:szCs w:val="18"/>
                    </w:rPr>
                    <w:t>heart failure</w:t>
                  </w:r>
                  <w:r>
                    <w:rPr>
                      <w:sz w:val="18"/>
                      <w:szCs w:val="18"/>
                    </w:rPr>
                    <w:t xml:space="preserve"> (except for analyses where cardiac failure is the outcome)</w:t>
                  </w:r>
                  <w:r w:rsidRPr="0093251E">
                    <w:rPr>
                      <w:sz w:val="18"/>
                      <w:szCs w:val="18"/>
                    </w:rPr>
                    <w:t xml:space="preserve">, </w:t>
                  </w:r>
                  <w:r>
                    <w:rPr>
                      <w:sz w:val="18"/>
                      <w:szCs w:val="18"/>
                    </w:rPr>
                    <w:t>cerebrovascular disease</w:t>
                  </w:r>
                  <w:r w:rsidRPr="0093251E">
                    <w:rPr>
                      <w:sz w:val="18"/>
                      <w:szCs w:val="18"/>
                    </w:rPr>
                    <w:t>, atrial fibrillation or peripheral vascular disease</w:t>
                  </w:r>
                  <w:r>
                    <w:rPr>
                      <w:sz w:val="18"/>
                      <w:szCs w:val="18"/>
                    </w:rPr>
                    <w:t>.</w:t>
                  </w:r>
                </w:p>
              </w:tc>
            </w:tr>
            <w:tr w:rsidR="0066217A" w:rsidRPr="00105958" w14:paraId="6F0CED8C" w14:textId="60B2FC88" w:rsidTr="00413DD8">
              <w:tc>
                <w:tcPr>
                  <w:tcW w:w="1742" w:type="dxa"/>
                  <w:vMerge w:val="restart"/>
                </w:tcPr>
                <w:p w14:paraId="36BAFFAA" w14:textId="52518459" w:rsidR="0066217A" w:rsidRPr="00105958" w:rsidRDefault="0066217A" w:rsidP="001A69D6">
                  <w:pPr>
                    <w:rPr>
                      <w:sz w:val="18"/>
                      <w:szCs w:val="18"/>
                    </w:rPr>
                  </w:pPr>
                  <w:r>
                    <w:rPr>
                      <w:sz w:val="18"/>
                      <w:szCs w:val="18"/>
                    </w:rPr>
                    <w:t>Alcohol-related harms</w:t>
                  </w:r>
                </w:p>
              </w:tc>
              <w:tc>
                <w:tcPr>
                  <w:tcW w:w="3956" w:type="dxa"/>
                </w:tcPr>
                <w:p w14:paraId="3EEEED28" w14:textId="1C4F291E" w:rsidR="0066217A" w:rsidRPr="00462447" w:rsidRDefault="0066217A" w:rsidP="001A69D6">
                  <w:pPr>
                    <w:rPr>
                      <w:sz w:val="18"/>
                      <w:szCs w:val="18"/>
                    </w:rPr>
                  </w:pPr>
                  <w:r w:rsidRPr="00462447">
                    <w:rPr>
                      <w:sz w:val="18"/>
                      <w:szCs w:val="18"/>
                    </w:rPr>
                    <w:t xml:space="preserve">History of </w:t>
                  </w:r>
                  <w:r>
                    <w:rPr>
                      <w:sz w:val="18"/>
                      <w:szCs w:val="18"/>
                    </w:rPr>
                    <w:t>mental illness (common mental disorders or serious mental illness)</w:t>
                  </w:r>
                </w:p>
              </w:tc>
              <w:tc>
                <w:tcPr>
                  <w:tcW w:w="4111" w:type="dxa"/>
                  <w:vMerge w:val="restart"/>
                </w:tcPr>
                <w:p w14:paraId="4D8ED2EF" w14:textId="02E8B7D6" w:rsidR="0066217A" w:rsidRPr="00105958" w:rsidRDefault="0066217A" w:rsidP="001A69D6">
                  <w:pPr>
                    <w:rPr>
                      <w:sz w:val="18"/>
                      <w:szCs w:val="18"/>
                    </w:rPr>
                  </w:pPr>
                  <w:r>
                    <w:rPr>
                      <w:sz w:val="18"/>
                      <w:szCs w:val="18"/>
                    </w:rPr>
                    <w:t>Defined using morbidity coding recorded at any time prior to the week of interest.</w:t>
                  </w:r>
                </w:p>
              </w:tc>
            </w:tr>
            <w:tr w:rsidR="0066217A" w:rsidRPr="00105958" w14:paraId="0F2A2E25" w14:textId="77777777" w:rsidTr="00413DD8">
              <w:tc>
                <w:tcPr>
                  <w:tcW w:w="1742" w:type="dxa"/>
                  <w:vMerge/>
                </w:tcPr>
                <w:p w14:paraId="34C1BCA1" w14:textId="77777777" w:rsidR="0066217A" w:rsidRDefault="0066217A" w:rsidP="001A69D6">
                  <w:pPr>
                    <w:rPr>
                      <w:sz w:val="18"/>
                      <w:szCs w:val="18"/>
                    </w:rPr>
                  </w:pPr>
                </w:p>
              </w:tc>
              <w:tc>
                <w:tcPr>
                  <w:tcW w:w="3956" w:type="dxa"/>
                </w:tcPr>
                <w:p w14:paraId="076E2E21" w14:textId="71EBFDD7" w:rsidR="0066217A" w:rsidRPr="00462447" w:rsidRDefault="0066217A" w:rsidP="001A69D6">
                  <w:pPr>
                    <w:rPr>
                      <w:sz w:val="18"/>
                      <w:szCs w:val="18"/>
                    </w:rPr>
                  </w:pPr>
                  <w:r w:rsidRPr="00462447">
                    <w:rPr>
                      <w:sz w:val="18"/>
                      <w:szCs w:val="18"/>
                    </w:rPr>
                    <w:t>Existing chronic alcohol problems</w:t>
                  </w:r>
                </w:p>
              </w:tc>
              <w:tc>
                <w:tcPr>
                  <w:tcW w:w="4111" w:type="dxa"/>
                  <w:vMerge/>
                </w:tcPr>
                <w:p w14:paraId="28EC5FF6" w14:textId="77777777" w:rsidR="0066217A" w:rsidRDefault="0066217A" w:rsidP="001A69D6">
                  <w:pPr>
                    <w:rPr>
                      <w:sz w:val="18"/>
                      <w:szCs w:val="18"/>
                    </w:rPr>
                  </w:pPr>
                </w:p>
              </w:tc>
            </w:tr>
          </w:tbl>
          <w:p w14:paraId="0026A28E" w14:textId="5F43F1D5" w:rsidR="009957A8" w:rsidRPr="00CD13D5" w:rsidRDefault="005B6A20" w:rsidP="001A69D6">
            <w:pPr>
              <w:pStyle w:val="ListParagraph"/>
              <w:spacing w:before="120" w:after="120"/>
              <w:ind w:left="0"/>
            </w:pPr>
            <w:r>
              <w:t>Please note that for</w:t>
            </w:r>
            <w:r w:rsidR="003B2785">
              <w:t xml:space="preserve"> outcomes where </w:t>
            </w:r>
            <w:r>
              <w:t xml:space="preserve">an age-restricted subset of the </w:t>
            </w:r>
            <w:proofErr w:type="spellStart"/>
            <w:r>
              <w:t>Aurum</w:t>
            </w:r>
            <w:proofErr w:type="spellEnd"/>
            <w:r>
              <w:t xml:space="preserve"> population is the study population (i.e. for the mental illness, alcohol-related harms and cardiovascular outcomes) we will identify stratifying variables using </w:t>
            </w:r>
            <w:r>
              <w:lastRenderedPageBreak/>
              <w:t xml:space="preserve">the CPRD Define tool. We will run a series of Defines to </w:t>
            </w:r>
            <w:r w:rsidRPr="005B6A20">
              <w:t xml:space="preserve">extract files with </w:t>
            </w:r>
            <w:r w:rsidR="00C816F3">
              <w:t xml:space="preserve">patient identifiers </w:t>
            </w:r>
            <w:r w:rsidRPr="005B6A20">
              <w:t>and event dates for all conditions that are defined using</w:t>
            </w:r>
            <w:r>
              <w:t xml:space="preserve"> relevant</w:t>
            </w:r>
            <w:r w:rsidRPr="005B6A20">
              <w:t xml:space="preserve"> medical </w:t>
            </w:r>
            <w:r>
              <w:t>or</w:t>
            </w:r>
            <w:r w:rsidRPr="005B6A20">
              <w:t xml:space="preserve"> product code lists. This will avoid us extracting the full</w:t>
            </w:r>
            <w:r>
              <w:t xml:space="preserve"> </w:t>
            </w:r>
            <w:proofErr w:type="spellStart"/>
            <w:r>
              <w:t>Aurum</w:t>
            </w:r>
            <w:proofErr w:type="spellEnd"/>
            <w:r>
              <w:t xml:space="preserve"> population</w:t>
            </w:r>
            <w:r w:rsidRPr="005B6A20">
              <w:t xml:space="preserve"> dataset.</w:t>
            </w:r>
            <w:r w:rsidR="009957A8">
              <w:t xml:space="preserve"> However, we</w:t>
            </w:r>
            <w:r w:rsidR="0068195D">
              <w:t xml:space="preserve"> are aware that currently there is no procedure in place for us to be able to identify BMI</w:t>
            </w:r>
            <w:r w:rsidR="000D77EB">
              <w:t xml:space="preserve"> using this Define approach, so we may not be able to stratify results by BMI for outcomes where the denominators are the </w:t>
            </w:r>
            <w:r w:rsidR="009957A8">
              <w:t xml:space="preserve">overall study population (i.e. mental illness, alcohol-related harms, and cardiovascular </w:t>
            </w:r>
            <w:proofErr w:type="spellStart"/>
            <w:r w:rsidR="009957A8">
              <w:t>diseaseses</w:t>
            </w:r>
            <w:proofErr w:type="spellEnd"/>
            <w:r w:rsidR="009957A8">
              <w:t>). We have discussed this limitation directly with CPRD and we are aware that CPRD are developing a n</w:t>
            </w:r>
            <w:r w:rsidR="009957A8" w:rsidRPr="009957A8">
              <w:t>ew version of Define that will return a wider</w:t>
            </w:r>
            <w:r w:rsidR="009957A8">
              <w:t xml:space="preserve"> range of</w:t>
            </w:r>
            <w:r w:rsidR="009957A8" w:rsidRPr="009957A8">
              <w:t xml:space="preserve"> record</w:t>
            </w:r>
            <w:r w:rsidR="009957A8">
              <w:t>s, potentially including</w:t>
            </w:r>
            <w:r w:rsidR="009957A8" w:rsidRPr="009957A8">
              <w:t xml:space="preserve"> </w:t>
            </w:r>
            <w:r w:rsidR="009957A8">
              <w:t xml:space="preserve">height and weight </w:t>
            </w:r>
            <w:r w:rsidR="009957A8" w:rsidRPr="009957A8">
              <w:t>measurements</w:t>
            </w:r>
            <w:r w:rsidR="009957A8">
              <w:t>. We will use this new Define functionality</w:t>
            </w:r>
            <w:r w:rsidR="005B3426">
              <w:t xml:space="preserve"> to identify BMI</w:t>
            </w:r>
            <w:r w:rsidR="009957A8">
              <w:t xml:space="preserve"> if it becomes available within the lifespan of the project. </w:t>
            </w:r>
          </w:p>
        </w:tc>
      </w:tr>
      <w:tr w:rsidR="00672602" w:rsidRPr="00CD13D5" w14:paraId="22459EAA" w14:textId="77777777" w:rsidTr="001A69D6">
        <w:tc>
          <w:tcPr>
            <w:tcW w:w="10456" w:type="dxa"/>
            <w:shd w:val="clear" w:color="auto" w:fill="auto"/>
          </w:tcPr>
          <w:p w14:paraId="00DA3CA8" w14:textId="77777777" w:rsidR="00672602" w:rsidRPr="00CD13D5" w:rsidRDefault="00672602" w:rsidP="001A69D6">
            <w:pPr>
              <w:pStyle w:val="Heading2"/>
              <w:numPr>
                <w:ilvl w:val="0"/>
                <w:numId w:val="8"/>
              </w:numPr>
            </w:pPr>
            <w:r w:rsidRPr="00CD13D5">
              <w:lastRenderedPageBreak/>
              <w:t>Data/ Statistical Analysis</w:t>
            </w:r>
          </w:p>
          <w:p w14:paraId="0E50C757" w14:textId="6D064F54" w:rsidR="002F1730" w:rsidRPr="00253652" w:rsidRDefault="002F1730" w:rsidP="001A69D6">
            <w:pPr>
              <w:spacing w:after="120"/>
              <w:rPr>
                <w:rFonts w:cs="Arial"/>
                <w:szCs w:val="20"/>
              </w:rPr>
            </w:pPr>
            <w:r>
              <w:rPr>
                <w:rFonts w:cs="Arial"/>
                <w:szCs w:val="20"/>
              </w:rPr>
              <w:t xml:space="preserve">We will collect counts for each outcome </w:t>
            </w:r>
            <w:r w:rsidRPr="00253652">
              <w:rPr>
                <w:rFonts w:cs="Arial"/>
                <w:szCs w:val="20"/>
              </w:rPr>
              <w:t xml:space="preserve">from three years prior to the COVID-19 outbreak (2017/2018/2019), as well as all </w:t>
            </w:r>
            <w:r>
              <w:rPr>
                <w:rFonts w:cs="Arial"/>
                <w:szCs w:val="20"/>
              </w:rPr>
              <w:t>data</w:t>
            </w:r>
            <w:r w:rsidRPr="00253652">
              <w:rPr>
                <w:rFonts w:cs="Arial"/>
                <w:szCs w:val="20"/>
              </w:rPr>
              <w:t xml:space="preserve"> during and following the pandemic</w:t>
            </w:r>
            <w:r>
              <w:rPr>
                <w:rFonts w:cs="Arial"/>
                <w:szCs w:val="20"/>
              </w:rPr>
              <w:t xml:space="preserve">, and calculate proportions of each outcome using the denominator populations (see </w:t>
            </w:r>
            <w:r w:rsidRPr="002F1730">
              <w:rPr>
                <w:rFonts w:cs="Arial"/>
                <w:b/>
                <w:bCs/>
                <w:szCs w:val="20"/>
              </w:rPr>
              <w:t>Section L</w:t>
            </w:r>
            <w:r>
              <w:rPr>
                <w:rFonts w:cs="Arial"/>
                <w:szCs w:val="20"/>
              </w:rPr>
              <w:t xml:space="preserve"> above). We will</w:t>
            </w:r>
            <w:r w:rsidRPr="00253652">
              <w:rPr>
                <w:rFonts w:cs="Arial"/>
                <w:szCs w:val="20"/>
              </w:rPr>
              <w:t xml:space="preserve"> </w:t>
            </w:r>
            <w:r>
              <w:rPr>
                <w:rFonts w:cs="Arial"/>
                <w:szCs w:val="20"/>
              </w:rPr>
              <w:t xml:space="preserve">report </w:t>
            </w:r>
            <w:r w:rsidR="00121197">
              <w:rPr>
                <w:rFonts w:cs="Arial"/>
                <w:szCs w:val="20"/>
              </w:rPr>
              <w:t xml:space="preserve">the </w:t>
            </w:r>
            <w:r>
              <w:rPr>
                <w:rFonts w:cs="Arial"/>
                <w:szCs w:val="20"/>
              </w:rPr>
              <w:t>proportion of each outcome aggregated</w:t>
            </w:r>
            <w:r w:rsidRPr="00253652">
              <w:rPr>
                <w:rFonts w:cs="Arial"/>
                <w:szCs w:val="20"/>
              </w:rPr>
              <w:t xml:space="preserve"> by week</w:t>
            </w:r>
            <w:r>
              <w:rPr>
                <w:rFonts w:cs="Arial"/>
                <w:szCs w:val="20"/>
              </w:rPr>
              <w:t>, and by week and strata defined by:</w:t>
            </w:r>
            <w:r w:rsidRPr="001620B2">
              <w:rPr>
                <w:rFonts w:cs="Arial"/>
                <w:szCs w:val="20"/>
              </w:rPr>
              <w:t xml:space="preserve"> age, sex, ethnicity, vulnerability status (“vulnerable”, “not vulnerable”), </w:t>
            </w:r>
            <w:r w:rsidR="0058767E">
              <w:rPr>
                <w:rFonts w:cs="Arial"/>
                <w:szCs w:val="20"/>
              </w:rPr>
              <w:t xml:space="preserve">relationship status, </w:t>
            </w:r>
            <w:r w:rsidRPr="001620B2">
              <w:rPr>
                <w:rFonts w:cs="Arial"/>
                <w:szCs w:val="20"/>
              </w:rPr>
              <w:t>socioeconomic deprivation</w:t>
            </w:r>
            <w:r w:rsidR="00F4063A">
              <w:rPr>
                <w:rFonts w:cs="Arial"/>
                <w:szCs w:val="20"/>
              </w:rPr>
              <w:t>, region</w:t>
            </w:r>
            <w:r w:rsidRPr="001620B2">
              <w:rPr>
                <w:rFonts w:cs="Arial"/>
                <w:szCs w:val="20"/>
              </w:rPr>
              <w:t xml:space="preserve"> and urban/rural location</w:t>
            </w:r>
            <w:r>
              <w:rPr>
                <w:rFonts w:cs="Arial"/>
                <w:szCs w:val="20"/>
              </w:rPr>
              <w:t>. We will plot these proportions against time to describe pre- and post-COVID trends in health outcomes and upload them to LSHTM’s website via an interactive data dashboard</w:t>
            </w:r>
            <w:r w:rsidR="00A70EED">
              <w:rPr>
                <w:rFonts w:cs="Arial"/>
                <w:szCs w:val="20"/>
              </w:rPr>
              <w:t xml:space="preserve"> (supressing any small event counts to preserve confidentiality)</w:t>
            </w:r>
            <w:r w:rsidRPr="00253652">
              <w:rPr>
                <w:rFonts w:cs="Arial"/>
                <w:szCs w:val="20"/>
              </w:rPr>
              <w:t xml:space="preserve">. </w:t>
            </w:r>
            <w:r>
              <w:rPr>
                <w:rFonts w:cs="Arial"/>
                <w:szCs w:val="20"/>
              </w:rPr>
              <w:t>We will update the calculations regularly as new data are released</w:t>
            </w:r>
            <w:r w:rsidR="000A3200">
              <w:rPr>
                <w:rFonts w:cs="Arial"/>
                <w:szCs w:val="20"/>
              </w:rPr>
              <w:t xml:space="preserve"> (</w:t>
            </w:r>
            <w:r w:rsidR="000A3200" w:rsidRPr="00A857E5">
              <w:rPr>
                <w:rFonts w:cs="Arial"/>
                <w:b/>
                <w:bCs/>
                <w:szCs w:val="20"/>
              </w:rPr>
              <w:t xml:space="preserve">Appendix </w:t>
            </w:r>
            <w:r w:rsidR="00B72B5D">
              <w:rPr>
                <w:rFonts w:cs="Arial"/>
                <w:b/>
                <w:bCs/>
                <w:szCs w:val="20"/>
              </w:rPr>
              <w:t>1</w:t>
            </w:r>
            <w:r w:rsidR="000A3200">
              <w:rPr>
                <w:rFonts w:cs="Arial"/>
                <w:szCs w:val="20"/>
              </w:rPr>
              <w:t xml:space="preserve"> includes a</w:t>
            </w:r>
            <w:r w:rsidR="00A857E5">
              <w:rPr>
                <w:rFonts w:cs="Arial"/>
                <w:szCs w:val="20"/>
              </w:rPr>
              <w:t>n example of how we might present our results)</w:t>
            </w:r>
            <w:r>
              <w:rPr>
                <w:rFonts w:cs="Arial"/>
                <w:szCs w:val="20"/>
              </w:rPr>
              <w:t>.</w:t>
            </w:r>
            <w:r w:rsidR="00515708">
              <w:rPr>
                <w:rFonts w:cs="Arial"/>
                <w:szCs w:val="20"/>
              </w:rPr>
              <w:t xml:space="preserve"> </w:t>
            </w:r>
          </w:p>
          <w:p w14:paraId="1DD1EAAF" w14:textId="1829CF1D" w:rsidR="002F1730" w:rsidRDefault="002F1730" w:rsidP="001A69D6">
            <w:pPr>
              <w:spacing w:after="120"/>
              <w:rPr>
                <w:rFonts w:cs="Arial"/>
                <w:szCs w:val="20"/>
              </w:rPr>
            </w:pPr>
            <w:r>
              <w:rPr>
                <w:rFonts w:cs="Arial"/>
                <w:szCs w:val="20"/>
              </w:rPr>
              <w:t>To formally test our hypotheses, w</w:t>
            </w:r>
            <w:r w:rsidRPr="001620B2">
              <w:rPr>
                <w:rFonts w:cs="Arial"/>
                <w:szCs w:val="20"/>
              </w:rPr>
              <w:t xml:space="preserve">e will </w:t>
            </w:r>
            <w:r>
              <w:rPr>
                <w:rFonts w:cs="Arial"/>
                <w:szCs w:val="20"/>
              </w:rPr>
              <w:t>perform</w:t>
            </w:r>
            <w:r w:rsidRPr="001620B2">
              <w:rPr>
                <w:rFonts w:cs="Arial"/>
                <w:szCs w:val="20"/>
              </w:rPr>
              <w:t xml:space="preserve"> interrupted time series analyses</w:t>
            </w:r>
            <w:r>
              <w:rPr>
                <w:rFonts w:cs="Arial"/>
                <w:szCs w:val="20"/>
              </w:rPr>
              <w:t>.</w:t>
            </w:r>
            <w:r w:rsidRPr="001620B2">
              <w:rPr>
                <w:rFonts w:cs="Arial"/>
                <w:szCs w:val="20"/>
              </w:rPr>
              <w:t xml:space="preserve"> </w:t>
            </w:r>
            <w:r>
              <w:rPr>
                <w:rFonts w:cs="Arial"/>
                <w:szCs w:val="20"/>
              </w:rPr>
              <w:t>The</w:t>
            </w:r>
            <w:r w:rsidRPr="001620B2">
              <w:rPr>
                <w:rFonts w:cs="Arial"/>
                <w:szCs w:val="20"/>
              </w:rPr>
              <w:t xml:space="preserve"> interruption </w:t>
            </w:r>
            <w:r>
              <w:rPr>
                <w:rFonts w:cs="Arial"/>
                <w:szCs w:val="20"/>
              </w:rPr>
              <w:t>will be</w:t>
            </w:r>
            <w:r w:rsidRPr="001620B2">
              <w:rPr>
                <w:rFonts w:cs="Arial"/>
                <w:szCs w:val="20"/>
              </w:rPr>
              <w:t xml:space="preserve"> defined from the initiation of population-wide social distancing measures (</w:t>
            </w:r>
            <w:r w:rsidR="00A70EED">
              <w:rPr>
                <w:rFonts w:cs="Arial"/>
                <w:szCs w:val="20"/>
              </w:rPr>
              <w:t>13</w:t>
            </w:r>
            <w:r w:rsidR="00A70EED" w:rsidRPr="00A70EED">
              <w:rPr>
                <w:rFonts w:cs="Arial"/>
                <w:szCs w:val="20"/>
                <w:vertAlign w:val="superscript"/>
              </w:rPr>
              <w:t>th</w:t>
            </w:r>
            <w:r w:rsidR="00A70EED">
              <w:rPr>
                <w:rFonts w:cs="Arial"/>
                <w:szCs w:val="20"/>
              </w:rPr>
              <w:t xml:space="preserve"> </w:t>
            </w:r>
            <w:r w:rsidRPr="001620B2">
              <w:rPr>
                <w:rFonts w:cs="Arial"/>
                <w:szCs w:val="20"/>
              </w:rPr>
              <w:t xml:space="preserve">March 2020). We will produce population-level </w:t>
            </w:r>
            <w:r>
              <w:rPr>
                <w:rFonts w:cs="Arial"/>
                <w:szCs w:val="20"/>
              </w:rPr>
              <w:t xml:space="preserve">and stratified </w:t>
            </w:r>
            <w:r w:rsidRPr="001620B2">
              <w:rPr>
                <w:rFonts w:cs="Arial"/>
                <w:szCs w:val="20"/>
              </w:rPr>
              <w:t xml:space="preserve">estimates of the difference between observed and expected health burden for our selected physical and mental health outcomes during this time. To minimise the risk of false positive findings from multiple statistical analyses, we will report </w:t>
            </w:r>
            <w:r>
              <w:rPr>
                <w:rFonts w:cs="Arial"/>
                <w:szCs w:val="20"/>
              </w:rPr>
              <w:t xml:space="preserve">this </w:t>
            </w:r>
            <w:r w:rsidRPr="001620B2">
              <w:rPr>
                <w:rFonts w:cs="Arial"/>
                <w:szCs w:val="20"/>
              </w:rPr>
              <w:t xml:space="preserve">change at one week, one month and six months post-lockdown (interruption).  </w:t>
            </w:r>
          </w:p>
          <w:p w14:paraId="293DBB0E" w14:textId="261E333E" w:rsidR="00943719" w:rsidRPr="00AF4B55" w:rsidRDefault="002F1730" w:rsidP="001A69D6">
            <w:pPr>
              <w:spacing w:after="120"/>
              <w:rPr>
                <w:rFonts w:cs="Arial"/>
                <w:szCs w:val="20"/>
              </w:rPr>
            </w:pPr>
            <w:r>
              <w:rPr>
                <w:rFonts w:cs="Arial"/>
                <w:szCs w:val="20"/>
              </w:rPr>
              <w:t>To carry out</w:t>
            </w:r>
            <w:r w:rsidRPr="001620B2">
              <w:rPr>
                <w:rFonts w:cs="Arial"/>
                <w:szCs w:val="20"/>
              </w:rPr>
              <w:t xml:space="preserve"> these analyses</w:t>
            </w:r>
            <w:r>
              <w:rPr>
                <w:rFonts w:cs="Arial"/>
                <w:szCs w:val="20"/>
              </w:rPr>
              <w:t>,</w:t>
            </w:r>
            <w:r w:rsidRPr="001620B2">
              <w:rPr>
                <w:rFonts w:cs="Arial"/>
                <w:szCs w:val="20"/>
              </w:rPr>
              <w:t xml:space="preserve"> we will model the proportion of outcomes within the population</w:t>
            </w:r>
            <w:r>
              <w:rPr>
                <w:rFonts w:cs="Arial"/>
                <w:szCs w:val="20"/>
              </w:rPr>
              <w:t>s</w:t>
            </w:r>
            <w:r w:rsidRPr="001620B2">
              <w:rPr>
                <w:rFonts w:cs="Arial"/>
                <w:szCs w:val="20"/>
              </w:rPr>
              <w:t xml:space="preserve"> </w:t>
            </w:r>
            <w:r>
              <w:rPr>
                <w:rFonts w:cs="Arial"/>
                <w:szCs w:val="20"/>
              </w:rPr>
              <w:t xml:space="preserve">defined in </w:t>
            </w:r>
            <w:r w:rsidRPr="00013C20">
              <w:rPr>
                <w:rFonts w:cs="Arial"/>
                <w:b/>
                <w:bCs/>
                <w:szCs w:val="20"/>
              </w:rPr>
              <w:t xml:space="preserve">Sections </w:t>
            </w:r>
            <w:r w:rsidR="00013C20" w:rsidRPr="00013C20">
              <w:rPr>
                <w:rFonts w:cs="Arial"/>
                <w:b/>
                <w:bCs/>
                <w:szCs w:val="20"/>
              </w:rPr>
              <w:t>L</w:t>
            </w:r>
            <w:r w:rsidRPr="00013C20">
              <w:rPr>
                <w:rFonts w:cs="Arial"/>
                <w:b/>
                <w:bCs/>
                <w:szCs w:val="20"/>
              </w:rPr>
              <w:t xml:space="preserve"> and M</w:t>
            </w:r>
            <w:r w:rsidRPr="001620B2">
              <w:rPr>
                <w:rFonts w:cs="Arial"/>
                <w:szCs w:val="20"/>
              </w:rPr>
              <w:t xml:space="preserve"> </w:t>
            </w:r>
            <w:r>
              <w:rPr>
                <w:rFonts w:cs="Arial"/>
                <w:szCs w:val="20"/>
              </w:rPr>
              <w:t>each week using a</w:t>
            </w:r>
            <w:r w:rsidRPr="001620B2">
              <w:rPr>
                <w:rFonts w:cs="Arial"/>
                <w:szCs w:val="20"/>
              </w:rPr>
              <w:t xml:space="preserve"> binomial generalised linear model </w:t>
            </w:r>
            <w:r>
              <w:rPr>
                <w:rFonts w:cs="Arial"/>
                <w:szCs w:val="20"/>
              </w:rPr>
              <w:t>and</w:t>
            </w:r>
            <w:r w:rsidRPr="001620B2">
              <w:rPr>
                <w:rFonts w:cs="Arial"/>
                <w:szCs w:val="20"/>
              </w:rPr>
              <w:t xml:space="preserve"> </w:t>
            </w:r>
            <w:r>
              <w:rPr>
                <w:rFonts w:cs="Arial"/>
                <w:szCs w:val="20"/>
              </w:rPr>
              <w:t>weight each week’s data by the population size</w:t>
            </w:r>
            <w:r w:rsidRPr="001620B2">
              <w:rPr>
                <w:rFonts w:cs="Arial"/>
                <w:szCs w:val="20"/>
              </w:rPr>
              <w:t xml:space="preserve">. We will use flexible functions of time to control for </w:t>
            </w:r>
            <w:r>
              <w:rPr>
                <w:rFonts w:cs="Arial"/>
                <w:szCs w:val="20"/>
              </w:rPr>
              <w:t xml:space="preserve">temporal </w:t>
            </w:r>
            <w:r w:rsidRPr="001620B2">
              <w:rPr>
                <w:rFonts w:cs="Arial"/>
                <w:szCs w:val="20"/>
              </w:rPr>
              <w:t>trends and seasonality</w:t>
            </w:r>
            <w:r>
              <w:rPr>
                <w:rFonts w:cs="Arial"/>
                <w:szCs w:val="20"/>
              </w:rPr>
              <w:t>.</w:t>
            </w:r>
            <w:r w:rsidRPr="001620B2">
              <w:rPr>
                <w:rFonts w:cs="Arial"/>
                <w:szCs w:val="20"/>
              </w:rPr>
              <w:t xml:space="preserve"> Effect modification by time-invariant or time-varying factors will be evaluated by including interaction terms in the statistical model.</w:t>
            </w:r>
          </w:p>
          <w:p w14:paraId="23DA6FF2" w14:textId="4E8A431E" w:rsidR="00E37693" w:rsidRPr="00E37693" w:rsidRDefault="00E37693" w:rsidP="001A69D6">
            <w:pPr>
              <w:rPr>
                <w:rFonts w:cs="Arial"/>
                <w:b/>
                <w:bCs/>
                <w:szCs w:val="20"/>
              </w:rPr>
            </w:pPr>
            <w:r w:rsidRPr="00E37693">
              <w:rPr>
                <w:rFonts w:cs="Arial"/>
                <w:b/>
                <w:bCs/>
                <w:szCs w:val="20"/>
              </w:rPr>
              <w:t>Sensitivity analyses</w:t>
            </w:r>
          </w:p>
          <w:p w14:paraId="230F5BEC" w14:textId="19158411" w:rsidR="003401CF" w:rsidRDefault="00E37693" w:rsidP="001A69D6">
            <w:pPr>
              <w:pStyle w:val="ListParagraph"/>
              <w:numPr>
                <w:ilvl w:val="0"/>
                <w:numId w:val="32"/>
              </w:numPr>
              <w:rPr>
                <w:rFonts w:cs="Arial"/>
                <w:szCs w:val="20"/>
              </w:rPr>
            </w:pPr>
            <w:r>
              <w:rPr>
                <w:rFonts w:cs="Arial"/>
                <w:szCs w:val="20"/>
              </w:rPr>
              <w:t xml:space="preserve">In order to rapidly answer the important research questions asked by our study, our initial analyses will use CPRD data only and not be restricted to those eligible for HES linkage. When </w:t>
            </w:r>
            <w:r w:rsidR="00CF3D52">
              <w:rPr>
                <w:rFonts w:cs="Arial"/>
                <w:szCs w:val="20"/>
              </w:rPr>
              <w:t>up to date</w:t>
            </w:r>
            <w:r>
              <w:rPr>
                <w:rFonts w:cs="Arial"/>
                <w:szCs w:val="20"/>
              </w:rPr>
              <w:t xml:space="preserve"> HES data becomes available, we will rerun our analyses restricting to those eligible for HES linkage, and </w:t>
            </w:r>
            <w:r w:rsidRPr="00E37693">
              <w:rPr>
                <w:rFonts w:cs="Arial"/>
                <w:b/>
                <w:bCs/>
                <w:szCs w:val="20"/>
              </w:rPr>
              <w:t>additionally using hospital record data</w:t>
            </w:r>
            <w:r w:rsidR="00116AB2">
              <w:rPr>
                <w:rFonts w:cs="Arial"/>
                <w:b/>
                <w:bCs/>
                <w:szCs w:val="20"/>
              </w:rPr>
              <w:t xml:space="preserve"> </w:t>
            </w:r>
            <w:r w:rsidR="00116AB2" w:rsidRPr="003E558A">
              <w:rPr>
                <w:rFonts w:cs="Arial"/>
                <w:szCs w:val="20"/>
              </w:rPr>
              <w:t>(from both inpatient admissions</w:t>
            </w:r>
            <w:r w:rsidR="003E558A" w:rsidRPr="003E558A">
              <w:rPr>
                <w:rFonts w:cs="Arial"/>
                <w:szCs w:val="20"/>
              </w:rPr>
              <w:t>,</w:t>
            </w:r>
            <w:r w:rsidR="00116AB2" w:rsidRPr="003E558A">
              <w:rPr>
                <w:rFonts w:cs="Arial"/>
                <w:szCs w:val="20"/>
              </w:rPr>
              <w:t xml:space="preserve"> and</w:t>
            </w:r>
            <w:r w:rsidR="00400349">
              <w:rPr>
                <w:rFonts w:cs="Arial"/>
                <w:szCs w:val="20"/>
              </w:rPr>
              <w:t>, if funding permits,</w:t>
            </w:r>
            <w:r w:rsidR="00116AB2" w:rsidRPr="003E558A">
              <w:rPr>
                <w:rFonts w:cs="Arial"/>
                <w:szCs w:val="20"/>
              </w:rPr>
              <w:t xml:space="preserve"> accident and emergency </w:t>
            </w:r>
            <w:r w:rsidR="003E558A" w:rsidRPr="003E558A">
              <w:rPr>
                <w:rFonts w:cs="Arial"/>
                <w:szCs w:val="20"/>
              </w:rPr>
              <w:t>records)</w:t>
            </w:r>
            <w:r>
              <w:rPr>
                <w:rFonts w:cs="Arial"/>
                <w:szCs w:val="20"/>
              </w:rPr>
              <w:t xml:space="preserve"> to more completely capture our outcomes</w:t>
            </w:r>
            <w:r w:rsidR="00800C57">
              <w:rPr>
                <w:rFonts w:cs="Arial"/>
                <w:szCs w:val="20"/>
              </w:rPr>
              <w:t>, and</w:t>
            </w:r>
            <w:r w:rsidR="00786E14">
              <w:rPr>
                <w:rFonts w:cs="Arial"/>
                <w:szCs w:val="20"/>
              </w:rPr>
              <w:t xml:space="preserve"> also allow us to</w:t>
            </w:r>
            <w:r w:rsidR="00800C57">
              <w:rPr>
                <w:rFonts w:cs="Arial"/>
                <w:szCs w:val="20"/>
              </w:rPr>
              <w:t xml:space="preserve"> explore whether any potential decreases in primary care coding are explained by increased hospital admissions</w:t>
            </w:r>
            <w:r>
              <w:rPr>
                <w:rFonts w:cs="Arial"/>
                <w:szCs w:val="20"/>
              </w:rPr>
              <w:t>.</w:t>
            </w:r>
          </w:p>
          <w:p w14:paraId="736ED57B" w14:textId="50FF4003" w:rsidR="003401CF" w:rsidRDefault="0056143F" w:rsidP="001A69D6">
            <w:pPr>
              <w:pStyle w:val="ListParagraph"/>
              <w:numPr>
                <w:ilvl w:val="0"/>
                <w:numId w:val="32"/>
              </w:numPr>
              <w:rPr>
                <w:rFonts w:cs="Arial"/>
                <w:szCs w:val="20"/>
              </w:rPr>
            </w:pPr>
            <w:r w:rsidRPr="003401CF">
              <w:rPr>
                <w:rFonts w:cs="Arial"/>
                <w:szCs w:val="20"/>
              </w:rPr>
              <w:t xml:space="preserve">To assess the impact of </w:t>
            </w:r>
            <w:r w:rsidRPr="003401CF">
              <w:rPr>
                <w:rFonts w:cs="Arial"/>
                <w:b/>
                <w:bCs/>
                <w:szCs w:val="20"/>
              </w:rPr>
              <w:t>including codes for symptoms of</w:t>
            </w:r>
            <w:r w:rsidR="00C1043D" w:rsidRPr="003401CF">
              <w:rPr>
                <w:rFonts w:cs="Arial"/>
                <w:b/>
                <w:bCs/>
                <w:szCs w:val="20"/>
              </w:rPr>
              <w:t xml:space="preserve"> anxiety and depression</w:t>
            </w:r>
            <w:r w:rsidRPr="003401CF">
              <w:rPr>
                <w:rFonts w:cs="Arial"/>
                <w:szCs w:val="20"/>
              </w:rPr>
              <w:t xml:space="preserve"> </w:t>
            </w:r>
            <w:r w:rsidR="00DC2929" w:rsidRPr="003401CF">
              <w:rPr>
                <w:rFonts w:cs="Arial"/>
                <w:szCs w:val="20"/>
              </w:rPr>
              <w:t>for</w:t>
            </w:r>
            <w:r w:rsidRPr="003401CF">
              <w:rPr>
                <w:rFonts w:cs="Arial"/>
                <w:szCs w:val="20"/>
              </w:rPr>
              <w:t xml:space="preserve"> anxiety and depression</w:t>
            </w:r>
            <w:r w:rsidR="00C1043D" w:rsidRPr="003401CF">
              <w:rPr>
                <w:rFonts w:cs="Arial"/>
                <w:szCs w:val="20"/>
              </w:rPr>
              <w:t xml:space="preserve"> outcome</w:t>
            </w:r>
            <w:r w:rsidR="00DC2929" w:rsidRPr="003401CF">
              <w:rPr>
                <w:rFonts w:cs="Arial"/>
                <w:szCs w:val="20"/>
              </w:rPr>
              <w:t xml:space="preserve"> definitions</w:t>
            </w:r>
            <w:r w:rsidRPr="003401CF">
              <w:rPr>
                <w:rFonts w:cs="Arial"/>
                <w:szCs w:val="20"/>
              </w:rPr>
              <w:t xml:space="preserve">, we will repeat </w:t>
            </w:r>
            <w:r w:rsidR="00E7455C" w:rsidRPr="003401CF">
              <w:rPr>
                <w:rFonts w:cs="Arial"/>
                <w:szCs w:val="20"/>
              </w:rPr>
              <w:t>analyses for these outcomes</w:t>
            </w:r>
            <w:r w:rsidR="00C1043D" w:rsidRPr="003401CF">
              <w:rPr>
                <w:rFonts w:cs="Arial"/>
                <w:szCs w:val="20"/>
              </w:rPr>
              <w:t xml:space="preserve"> using diagnostic codes only</w:t>
            </w:r>
            <w:r w:rsidR="00565F81" w:rsidRPr="003401CF">
              <w:rPr>
                <w:rFonts w:cs="Arial"/>
                <w:szCs w:val="20"/>
              </w:rPr>
              <w:t xml:space="preserve"> to define outcomes</w:t>
            </w:r>
            <w:r w:rsidR="00C1043D" w:rsidRPr="003401CF">
              <w:rPr>
                <w:rFonts w:cs="Arial"/>
                <w:szCs w:val="20"/>
              </w:rPr>
              <w:t xml:space="preserve"> (i.e. </w:t>
            </w:r>
            <w:r w:rsidR="00E7455C" w:rsidRPr="003401CF">
              <w:rPr>
                <w:rFonts w:cs="Arial"/>
                <w:szCs w:val="20"/>
              </w:rPr>
              <w:t xml:space="preserve">excluding </w:t>
            </w:r>
            <w:r w:rsidR="00C1043D" w:rsidRPr="003401CF">
              <w:rPr>
                <w:rFonts w:cs="Arial"/>
                <w:szCs w:val="20"/>
              </w:rPr>
              <w:t>symptom codes).</w:t>
            </w:r>
          </w:p>
          <w:p w14:paraId="6B478A87" w14:textId="227720FB" w:rsidR="00CF3D52" w:rsidRDefault="00CF3D52" w:rsidP="001A69D6">
            <w:pPr>
              <w:pStyle w:val="ListParagraph"/>
              <w:numPr>
                <w:ilvl w:val="0"/>
                <w:numId w:val="32"/>
              </w:numPr>
              <w:rPr>
                <w:rFonts w:cs="Arial"/>
                <w:szCs w:val="20"/>
              </w:rPr>
            </w:pPr>
            <w:r>
              <w:rPr>
                <w:rFonts w:cs="Arial"/>
                <w:szCs w:val="20"/>
              </w:rPr>
              <w:t xml:space="preserve">We will repeat our analyses allowing alternative </w:t>
            </w:r>
            <w:r w:rsidRPr="00CF3D52">
              <w:rPr>
                <w:rFonts w:cs="Arial"/>
                <w:b/>
                <w:bCs/>
                <w:szCs w:val="20"/>
              </w:rPr>
              <w:t>durations between records to define outcome events</w:t>
            </w:r>
            <w:r>
              <w:rPr>
                <w:rFonts w:cs="Arial"/>
                <w:szCs w:val="20"/>
              </w:rPr>
              <w:t xml:space="preserve"> (see Table 1) to define outcomes (e.g. in our main analysis we will allow </w:t>
            </w:r>
            <w:r w:rsidRPr="00CF3D52">
              <w:rPr>
                <w:rFonts w:cs="Arial"/>
                <w:szCs w:val="20"/>
              </w:rPr>
              <w:t>for a 1-year window between successive records</w:t>
            </w:r>
            <w:r>
              <w:rPr>
                <w:rFonts w:cs="Arial"/>
                <w:szCs w:val="20"/>
              </w:rPr>
              <w:t xml:space="preserve"> to define myocardial infarction events, we will repeat our main analysis changing this to a 6-month window).</w:t>
            </w:r>
          </w:p>
          <w:p w14:paraId="7CCABC11" w14:textId="5838E30E" w:rsidR="0096091C" w:rsidRDefault="0076311F" w:rsidP="001A69D6">
            <w:pPr>
              <w:pStyle w:val="ListParagraph"/>
              <w:numPr>
                <w:ilvl w:val="0"/>
                <w:numId w:val="32"/>
              </w:numPr>
              <w:rPr>
                <w:rFonts w:cs="Arial"/>
                <w:szCs w:val="20"/>
              </w:rPr>
            </w:pPr>
            <w:r w:rsidRPr="003401CF">
              <w:rPr>
                <w:rFonts w:cs="Arial"/>
                <w:szCs w:val="20"/>
              </w:rPr>
              <w:t>We</w:t>
            </w:r>
            <w:r w:rsidR="003753F2" w:rsidRPr="003401CF">
              <w:rPr>
                <w:rFonts w:cs="Arial"/>
                <w:szCs w:val="20"/>
              </w:rPr>
              <w:t xml:space="preserve"> will also repeat our </w:t>
            </w:r>
            <w:r w:rsidR="00CD5CE9">
              <w:rPr>
                <w:rFonts w:cs="Arial"/>
                <w:szCs w:val="20"/>
              </w:rPr>
              <w:t>formal interrupted time series</w:t>
            </w:r>
            <w:r w:rsidRPr="003401CF">
              <w:rPr>
                <w:rFonts w:cs="Arial"/>
                <w:szCs w:val="20"/>
              </w:rPr>
              <w:t xml:space="preserve"> </w:t>
            </w:r>
            <w:r w:rsidR="003753F2" w:rsidRPr="003401CF">
              <w:rPr>
                <w:rFonts w:cs="Arial"/>
                <w:szCs w:val="20"/>
              </w:rPr>
              <w:t xml:space="preserve">analyses using </w:t>
            </w:r>
            <w:r w:rsidR="003753F2" w:rsidRPr="003401CF">
              <w:rPr>
                <w:rFonts w:cs="Arial"/>
                <w:b/>
                <w:bCs/>
                <w:szCs w:val="20"/>
              </w:rPr>
              <w:t>alternative cut points</w:t>
            </w:r>
            <w:r w:rsidRPr="003401CF">
              <w:rPr>
                <w:rFonts w:cs="Arial"/>
                <w:szCs w:val="20"/>
              </w:rPr>
              <w:t>, that is, rather than focussing on when lockdown measures were introduced, we will instead</w:t>
            </w:r>
            <w:r w:rsidR="00CD5CE9">
              <w:rPr>
                <w:rFonts w:cs="Arial"/>
                <w:szCs w:val="20"/>
              </w:rPr>
              <w:t xml:space="preserve">: </w:t>
            </w:r>
            <w:proofErr w:type="spellStart"/>
            <w:r w:rsidR="00CD5CE9">
              <w:rPr>
                <w:rFonts w:cs="Arial"/>
                <w:szCs w:val="20"/>
              </w:rPr>
              <w:t>i</w:t>
            </w:r>
            <w:proofErr w:type="spellEnd"/>
            <w:r w:rsidR="00CD5CE9">
              <w:rPr>
                <w:rFonts w:cs="Arial"/>
                <w:szCs w:val="20"/>
              </w:rPr>
              <w:t>)</w:t>
            </w:r>
            <w:r w:rsidRPr="003401CF">
              <w:rPr>
                <w:rFonts w:cs="Arial"/>
                <w:szCs w:val="20"/>
              </w:rPr>
              <w:t xml:space="preserve"> </w:t>
            </w:r>
            <w:r w:rsidR="0091602B" w:rsidRPr="003401CF">
              <w:rPr>
                <w:rFonts w:cs="Arial"/>
                <w:color w:val="000000"/>
                <w:szCs w:val="20"/>
              </w:rPr>
              <w:t xml:space="preserve">go back </w:t>
            </w:r>
            <w:r w:rsidR="00B804BD">
              <w:rPr>
                <w:rFonts w:cs="Arial"/>
                <w:color w:val="000000"/>
                <w:szCs w:val="20"/>
              </w:rPr>
              <w:t xml:space="preserve">both two weeks and </w:t>
            </w:r>
            <w:r w:rsidR="0091602B" w:rsidRPr="003401CF">
              <w:rPr>
                <w:rFonts w:cs="Arial"/>
                <w:color w:val="000000"/>
                <w:szCs w:val="20"/>
              </w:rPr>
              <w:t>one month before measures were introduced</w:t>
            </w:r>
            <w:r w:rsidR="00F85E96">
              <w:rPr>
                <w:rFonts w:cs="Arial"/>
                <w:color w:val="000000"/>
                <w:szCs w:val="20"/>
              </w:rPr>
              <w:t xml:space="preserve"> (as health may have already been effected by the impending lockdown)</w:t>
            </w:r>
            <w:r w:rsidR="00CD5CE9">
              <w:rPr>
                <w:rFonts w:cs="Arial"/>
                <w:color w:val="000000"/>
                <w:szCs w:val="20"/>
              </w:rPr>
              <w:t>; ii)</w:t>
            </w:r>
            <w:r w:rsidR="0091602B" w:rsidRPr="003401CF">
              <w:rPr>
                <w:rFonts w:cs="Arial"/>
                <w:color w:val="000000"/>
                <w:szCs w:val="20"/>
              </w:rPr>
              <w:t xml:space="preserve"> </w:t>
            </w:r>
            <w:r w:rsidRPr="003401CF">
              <w:rPr>
                <w:rFonts w:cs="Arial"/>
                <w:szCs w:val="20"/>
              </w:rPr>
              <w:t xml:space="preserve">look at graded points as successive measures are lifted (e.g. </w:t>
            </w:r>
            <w:r w:rsidR="0053652B">
              <w:rPr>
                <w:rFonts w:cs="Arial"/>
                <w:szCs w:val="20"/>
              </w:rPr>
              <w:t xml:space="preserve">when guidance was changed to </w:t>
            </w:r>
            <w:r w:rsidR="00090146" w:rsidRPr="003401CF">
              <w:rPr>
                <w:rFonts w:cs="Arial"/>
                <w:szCs w:val="20"/>
              </w:rPr>
              <w:t xml:space="preserve">allow individuals regarded as non-essential workers back to work, </w:t>
            </w:r>
            <w:r w:rsidRPr="003401CF">
              <w:rPr>
                <w:rFonts w:cs="Arial"/>
                <w:szCs w:val="20"/>
              </w:rPr>
              <w:t>reopening retail spaces</w:t>
            </w:r>
            <w:r w:rsidR="00090146" w:rsidRPr="003401CF">
              <w:rPr>
                <w:rFonts w:cs="Arial"/>
                <w:szCs w:val="20"/>
              </w:rPr>
              <w:t>, reopening</w:t>
            </w:r>
            <w:r w:rsidRPr="003401CF">
              <w:rPr>
                <w:rFonts w:cs="Arial"/>
                <w:szCs w:val="20"/>
              </w:rPr>
              <w:t xml:space="preserve"> schools</w:t>
            </w:r>
            <w:r w:rsidR="00090146" w:rsidRPr="003401CF">
              <w:rPr>
                <w:rFonts w:cs="Arial"/>
                <w:szCs w:val="20"/>
              </w:rPr>
              <w:t>, etc)</w:t>
            </w:r>
            <w:r w:rsidR="00CD5CE9">
              <w:rPr>
                <w:rFonts w:cs="Arial"/>
                <w:szCs w:val="20"/>
              </w:rPr>
              <w:t xml:space="preserve">; </w:t>
            </w:r>
            <w:r w:rsidR="00090146" w:rsidRPr="003401CF">
              <w:rPr>
                <w:rFonts w:cs="Arial"/>
                <w:szCs w:val="20"/>
              </w:rPr>
              <w:t xml:space="preserve">and </w:t>
            </w:r>
            <w:r w:rsidR="00CD5CE9">
              <w:rPr>
                <w:rFonts w:cs="Arial"/>
                <w:szCs w:val="20"/>
              </w:rPr>
              <w:t xml:space="preserve">iii) </w:t>
            </w:r>
            <w:r w:rsidR="007B4FCC" w:rsidRPr="003401CF">
              <w:rPr>
                <w:rFonts w:cs="Arial"/>
                <w:szCs w:val="20"/>
              </w:rPr>
              <w:t xml:space="preserve">when </w:t>
            </w:r>
            <w:r w:rsidR="00090146" w:rsidRPr="003401CF">
              <w:rPr>
                <w:rFonts w:cs="Arial"/>
                <w:szCs w:val="20"/>
              </w:rPr>
              <w:t>potential subsequent lockdowns</w:t>
            </w:r>
            <w:r w:rsidR="007B4FCC" w:rsidRPr="003401CF">
              <w:rPr>
                <w:rFonts w:cs="Arial"/>
                <w:szCs w:val="20"/>
              </w:rPr>
              <w:t xml:space="preserve"> are instated</w:t>
            </w:r>
            <w:r w:rsidR="00090146" w:rsidRPr="003401CF">
              <w:rPr>
                <w:rFonts w:cs="Arial"/>
                <w:szCs w:val="20"/>
              </w:rPr>
              <w:t>.</w:t>
            </w:r>
          </w:p>
          <w:p w14:paraId="7E3D1DD2" w14:textId="380F20DB" w:rsidR="00E37693" w:rsidRPr="00AF4B55" w:rsidRDefault="0096091C" w:rsidP="001A69D6">
            <w:pPr>
              <w:pStyle w:val="ListParagraph"/>
              <w:numPr>
                <w:ilvl w:val="0"/>
                <w:numId w:val="32"/>
              </w:numPr>
              <w:spacing w:after="120"/>
              <w:ind w:left="357" w:hanging="357"/>
              <w:rPr>
                <w:rFonts w:cs="Arial"/>
                <w:szCs w:val="20"/>
              </w:rPr>
            </w:pPr>
            <w:r>
              <w:rPr>
                <w:rFonts w:cs="Arial"/>
                <w:szCs w:val="20"/>
              </w:rPr>
              <w:t xml:space="preserve">We will repeat our analyses stratified by </w:t>
            </w:r>
            <w:r w:rsidRPr="0096091C">
              <w:rPr>
                <w:rFonts w:cs="Arial"/>
                <w:b/>
                <w:bCs/>
                <w:szCs w:val="20"/>
              </w:rPr>
              <w:t>vulnerable status</w:t>
            </w:r>
            <w:r>
              <w:rPr>
                <w:rFonts w:cs="Arial"/>
                <w:szCs w:val="20"/>
              </w:rPr>
              <w:t xml:space="preserve"> using more complex definitions of vulnerable status.</w:t>
            </w:r>
            <w:r w:rsidR="00090146" w:rsidRPr="003401CF">
              <w:rPr>
                <w:rFonts w:cs="Arial"/>
                <w:szCs w:val="20"/>
              </w:rPr>
              <w:t xml:space="preserve"> </w:t>
            </w:r>
            <w:r>
              <w:t xml:space="preserve">Initially, we will define clinically vulnerable people based on records for any of the medical reasons for influenza vaccination </w:t>
            </w:r>
            <w:r w:rsidRPr="00203CED">
              <w:rPr>
                <w:i/>
                <w:iCs/>
              </w:rPr>
              <w:t>at any time</w:t>
            </w:r>
            <w:r>
              <w:t xml:space="preserve"> prior to the week of interest. In sensitivity analyses – to account for the differing natural history of the different conditions included in the vulnerable definition – we will redefine vulnerable status by </w:t>
            </w:r>
            <w:r w:rsidRPr="0096091C">
              <w:rPr>
                <w:i/>
                <w:iCs/>
              </w:rPr>
              <w:t>varying the times</w:t>
            </w:r>
            <w:r>
              <w:t xml:space="preserve"> when different conditions need to be recorded prior to the week of interest (e.g. individuals will be considered clinically vulnerable if they have a record of being HIV positive at any time prior to the week of interest, but we will only consider individuals as vulnerable if they are prescribed a high-dose oral steroid in the </w:t>
            </w:r>
            <w:r>
              <w:lastRenderedPageBreak/>
              <w:t>three months preceding the week of interest as the effect of the oral steroid on the immune system will wane over time).</w:t>
            </w:r>
          </w:p>
          <w:p w14:paraId="455913CA" w14:textId="77777777" w:rsidR="00124581" w:rsidRDefault="00E37693" w:rsidP="001A69D6">
            <w:pPr>
              <w:rPr>
                <w:rFonts w:cs="Arial"/>
                <w:b/>
                <w:bCs/>
                <w:szCs w:val="20"/>
              </w:rPr>
            </w:pPr>
            <w:r w:rsidRPr="00E37693">
              <w:rPr>
                <w:rFonts w:cs="Arial"/>
                <w:b/>
                <w:bCs/>
                <w:szCs w:val="20"/>
              </w:rPr>
              <w:t>Secondary analyses</w:t>
            </w:r>
          </w:p>
          <w:p w14:paraId="52D43D24" w14:textId="03630F51" w:rsidR="001338C7" w:rsidRDefault="00124581" w:rsidP="001A69D6">
            <w:pPr>
              <w:pStyle w:val="ListParagraph"/>
              <w:numPr>
                <w:ilvl w:val="0"/>
                <w:numId w:val="35"/>
              </w:numPr>
              <w:rPr>
                <w:rFonts w:cs="Arial"/>
                <w:szCs w:val="20"/>
              </w:rPr>
            </w:pPr>
            <w:r w:rsidRPr="003753F2">
              <w:rPr>
                <w:rFonts w:cs="Arial"/>
                <w:szCs w:val="20"/>
              </w:rPr>
              <w:t xml:space="preserve">A limitation of our study is that </w:t>
            </w:r>
            <w:r w:rsidR="009871F0" w:rsidRPr="003753F2">
              <w:rPr>
                <w:rFonts w:cs="Arial"/>
                <w:szCs w:val="20"/>
              </w:rPr>
              <w:t>while more outcomes may occur there may be</w:t>
            </w:r>
            <w:r w:rsidR="00E37693" w:rsidRPr="003753F2">
              <w:rPr>
                <w:rFonts w:cs="Arial"/>
                <w:szCs w:val="20"/>
              </w:rPr>
              <w:t xml:space="preserve"> fewer primary care consultations recorded </w:t>
            </w:r>
            <w:r w:rsidR="009871F0" w:rsidRPr="003753F2">
              <w:rPr>
                <w:rFonts w:cs="Arial"/>
                <w:szCs w:val="20"/>
              </w:rPr>
              <w:t xml:space="preserve">for them </w:t>
            </w:r>
            <w:r w:rsidR="00E37693" w:rsidRPr="003753F2">
              <w:rPr>
                <w:rFonts w:cs="Arial"/>
                <w:szCs w:val="20"/>
              </w:rPr>
              <w:t>because of reluctance to go to GPs, or to burden the health services. We will explore this limitation by</w:t>
            </w:r>
            <w:r w:rsidR="0000173C">
              <w:rPr>
                <w:rFonts w:cs="Arial"/>
                <w:szCs w:val="20"/>
              </w:rPr>
              <w:t>:</w:t>
            </w:r>
          </w:p>
          <w:p w14:paraId="2E5BE3A8" w14:textId="4F9360CA" w:rsidR="001338C7" w:rsidRDefault="001338C7" w:rsidP="001A69D6">
            <w:pPr>
              <w:pStyle w:val="ListParagraph"/>
              <w:numPr>
                <w:ilvl w:val="1"/>
                <w:numId w:val="35"/>
              </w:numPr>
              <w:rPr>
                <w:rFonts w:cs="Arial"/>
                <w:szCs w:val="20"/>
              </w:rPr>
            </w:pPr>
            <w:r>
              <w:rPr>
                <w:rFonts w:cs="Arial"/>
                <w:szCs w:val="20"/>
              </w:rPr>
              <w:t>C</w:t>
            </w:r>
            <w:r w:rsidR="00E37693" w:rsidRPr="003753F2">
              <w:rPr>
                <w:rFonts w:cs="Arial"/>
                <w:szCs w:val="20"/>
              </w:rPr>
              <w:t xml:space="preserve">omparing numbers of </w:t>
            </w:r>
            <w:r w:rsidR="00E37693" w:rsidRPr="003753F2">
              <w:rPr>
                <w:rFonts w:cs="Arial"/>
                <w:b/>
                <w:bCs/>
                <w:szCs w:val="20"/>
              </w:rPr>
              <w:t xml:space="preserve">consultations (for </w:t>
            </w:r>
            <w:r w:rsidR="0000173C">
              <w:rPr>
                <w:rFonts w:cs="Arial"/>
                <w:b/>
                <w:bCs/>
                <w:szCs w:val="20"/>
              </w:rPr>
              <w:t>any</w:t>
            </w:r>
            <w:r w:rsidR="00E37693" w:rsidRPr="003753F2">
              <w:rPr>
                <w:rFonts w:cs="Arial"/>
                <w:b/>
                <w:bCs/>
                <w:szCs w:val="20"/>
              </w:rPr>
              <w:t xml:space="preserve"> condition) </w:t>
            </w:r>
            <w:r w:rsidR="00E37693" w:rsidRPr="00892CE7">
              <w:rPr>
                <w:rFonts w:cs="Arial"/>
                <w:szCs w:val="20"/>
              </w:rPr>
              <w:t>and</w:t>
            </w:r>
            <w:r w:rsidR="00E37693" w:rsidRPr="003753F2">
              <w:rPr>
                <w:rFonts w:cs="Arial"/>
                <w:b/>
                <w:bCs/>
                <w:szCs w:val="20"/>
              </w:rPr>
              <w:t xml:space="preserve"> number of codes per consultation</w:t>
            </w:r>
            <w:r w:rsidR="00E37693" w:rsidRPr="003753F2">
              <w:rPr>
                <w:rFonts w:cs="Arial"/>
                <w:szCs w:val="20"/>
              </w:rPr>
              <w:t xml:space="preserve"> between the time periods.</w:t>
            </w:r>
            <w:r w:rsidR="00AB4640">
              <w:rPr>
                <w:rFonts w:cs="Arial"/>
                <w:szCs w:val="20"/>
              </w:rPr>
              <w:t xml:space="preserve"> </w:t>
            </w:r>
          </w:p>
          <w:p w14:paraId="0B62DCA6" w14:textId="4ABB6772" w:rsidR="00DB26BD" w:rsidRDefault="00892CE7" w:rsidP="001A69D6">
            <w:pPr>
              <w:pStyle w:val="ListParagraph"/>
              <w:numPr>
                <w:ilvl w:val="1"/>
                <w:numId w:val="35"/>
              </w:numPr>
              <w:rPr>
                <w:rFonts w:cs="Arial"/>
                <w:szCs w:val="20"/>
              </w:rPr>
            </w:pPr>
            <w:r>
              <w:rPr>
                <w:rFonts w:cs="Arial"/>
                <w:szCs w:val="20"/>
              </w:rPr>
              <w:t>Using</w:t>
            </w:r>
            <w:r w:rsidR="00AB4640">
              <w:rPr>
                <w:rFonts w:cs="Arial"/>
                <w:szCs w:val="20"/>
              </w:rPr>
              <w:t xml:space="preserve"> the total </w:t>
            </w:r>
            <w:r w:rsidR="00AB4640" w:rsidRPr="0000173C">
              <w:rPr>
                <w:rFonts w:cs="Arial"/>
                <w:b/>
                <w:bCs/>
                <w:szCs w:val="20"/>
              </w:rPr>
              <w:t>number of consultations</w:t>
            </w:r>
            <w:r w:rsidR="0000173C">
              <w:rPr>
                <w:rFonts w:cs="Arial"/>
                <w:b/>
                <w:bCs/>
                <w:szCs w:val="20"/>
              </w:rPr>
              <w:t xml:space="preserve"> </w:t>
            </w:r>
            <w:r w:rsidR="0000173C">
              <w:rPr>
                <w:rFonts w:cs="Arial"/>
                <w:szCs w:val="20"/>
              </w:rPr>
              <w:t>in a specific time period</w:t>
            </w:r>
            <w:r w:rsidR="0000173C">
              <w:rPr>
                <w:rFonts w:cs="Arial"/>
                <w:b/>
                <w:bCs/>
                <w:szCs w:val="20"/>
              </w:rPr>
              <w:t xml:space="preserve"> </w:t>
            </w:r>
            <w:r w:rsidR="00AB4640">
              <w:rPr>
                <w:rFonts w:cs="Arial"/>
                <w:szCs w:val="20"/>
              </w:rPr>
              <w:t>as the denominator and examin</w:t>
            </w:r>
            <w:r>
              <w:rPr>
                <w:rFonts w:cs="Arial"/>
                <w:szCs w:val="20"/>
              </w:rPr>
              <w:t>ing</w:t>
            </w:r>
            <w:r w:rsidR="00AB4640">
              <w:rPr>
                <w:rFonts w:cs="Arial"/>
                <w:szCs w:val="20"/>
              </w:rPr>
              <w:t xml:space="preserve"> the proportion of consultations</w:t>
            </w:r>
            <w:r w:rsidR="0000173C">
              <w:rPr>
                <w:rFonts w:cs="Arial"/>
                <w:szCs w:val="20"/>
              </w:rPr>
              <w:t xml:space="preserve"> in that period</w:t>
            </w:r>
            <w:r w:rsidR="00AB4640">
              <w:rPr>
                <w:rFonts w:cs="Arial"/>
                <w:szCs w:val="20"/>
              </w:rPr>
              <w:t xml:space="preserve"> </w:t>
            </w:r>
            <w:r>
              <w:rPr>
                <w:rFonts w:cs="Arial"/>
                <w:szCs w:val="20"/>
              </w:rPr>
              <w:t>that resulted</w:t>
            </w:r>
            <w:r w:rsidR="00AB4640">
              <w:rPr>
                <w:rFonts w:cs="Arial"/>
                <w:szCs w:val="20"/>
              </w:rPr>
              <w:t xml:space="preserve"> in a code for </w:t>
            </w:r>
            <w:r>
              <w:rPr>
                <w:rFonts w:cs="Arial"/>
                <w:szCs w:val="20"/>
              </w:rPr>
              <w:t>each</w:t>
            </w:r>
            <w:r w:rsidR="00AB4640">
              <w:rPr>
                <w:rFonts w:cs="Arial"/>
                <w:szCs w:val="20"/>
              </w:rPr>
              <w:t xml:space="preserve"> </w:t>
            </w:r>
            <w:r w:rsidR="00AB4640" w:rsidRPr="0000173C">
              <w:rPr>
                <w:rFonts w:cs="Arial"/>
                <w:b/>
                <w:bCs/>
                <w:szCs w:val="20"/>
              </w:rPr>
              <w:t>specific outcome</w:t>
            </w:r>
            <w:r w:rsidR="00AB4640">
              <w:rPr>
                <w:rFonts w:cs="Arial"/>
                <w:szCs w:val="20"/>
              </w:rPr>
              <w:t xml:space="preserve"> of interest.</w:t>
            </w:r>
          </w:p>
          <w:p w14:paraId="0767D6C0" w14:textId="574778E2" w:rsidR="00E9599D" w:rsidRPr="00DC4836" w:rsidRDefault="00E9599D" w:rsidP="001A69D6">
            <w:pPr>
              <w:pStyle w:val="ListParagraph"/>
              <w:numPr>
                <w:ilvl w:val="0"/>
                <w:numId w:val="35"/>
              </w:numPr>
              <w:rPr>
                <w:rFonts w:cs="Arial"/>
                <w:szCs w:val="20"/>
              </w:rPr>
            </w:pPr>
            <w:r w:rsidRPr="003401CF">
              <w:rPr>
                <w:rFonts w:cs="Arial"/>
                <w:szCs w:val="20"/>
              </w:rPr>
              <w:t xml:space="preserve">As presentations for some conditions are likely to happen later in the illness (due to reduced primary care access as a result of social distancing, fear of infection and perceived burden on health services) we will repeat our analyses using </w:t>
            </w:r>
            <w:r w:rsidRPr="003401CF">
              <w:rPr>
                <w:rFonts w:cs="Arial"/>
                <w:b/>
                <w:bCs/>
                <w:szCs w:val="20"/>
              </w:rPr>
              <w:t>cause-specific deaths</w:t>
            </w:r>
            <w:r w:rsidRPr="003401CF">
              <w:rPr>
                <w:rFonts w:cs="Arial"/>
                <w:szCs w:val="20"/>
              </w:rPr>
              <w:t xml:space="preserve"> as an outcome </w:t>
            </w:r>
            <w:r>
              <w:rPr>
                <w:rFonts w:cs="Arial"/>
                <w:szCs w:val="20"/>
              </w:rPr>
              <w:t>(</w:t>
            </w:r>
            <w:r w:rsidRPr="003401CF">
              <w:rPr>
                <w:rFonts w:cs="Arial"/>
                <w:szCs w:val="20"/>
              </w:rPr>
              <w:t>restricted to those eligible for linkage with ONS data</w:t>
            </w:r>
            <w:r>
              <w:rPr>
                <w:rFonts w:cs="Arial"/>
                <w:szCs w:val="20"/>
              </w:rPr>
              <w:t>)</w:t>
            </w:r>
            <w:r w:rsidRPr="003401CF">
              <w:rPr>
                <w:rFonts w:cs="Arial"/>
                <w:szCs w:val="20"/>
              </w:rPr>
              <w:t xml:space="preserve">. We will use ONS recording to identify the following specific causes of death: </w:t>
            </w:r>
            <w:r w:rsidR="00067DB5">
              <w:rPr>
                <w:rFonts w:cs="Arial"/>
                <w:szCs w:val="20"/>
              </w:rPr>
              <w:t>myocardial infarction</w:t>
            </w:r>
            <w:r w:rsidRPr="003401CF">
              <w:rPr>
                <w:rFonts w:cs="Arial"/>
                <w:szCs w:val="20"/>
              </w:rPr>
              <w:t>,</w:t>
            </w:r>
            <w:r w:rsidR="00067DB5">
              <w:rPr>
                <w:rFonts w:cs="Arial"/>
                <w:szCs w:val="20"/>
              </w:rPr>
              <w:t xml:space="preserve"> stroke (ischaemic or haemorrhagic),</w:t>
            </w:r>
            <w:r w:rsidRPr="003401CF">
              <w:rPr>
                <w:rFonts w:cs="Arial"/>
                <w:szCs w:val="20"/>
              </w:rPr>
              <w:t xml:space="preserve"> diabet</w:t>
            </w:r>
            <w:r w:rsidR="00067DB5">
              <w:rPr>
                <w:rFonts w:cs="Arial"/>
                <w:szCs w:val="20"/>
              </w:rPr>
              <w:t>ic emergencies</w:t>
            </w:r>
            <w:r w:rsidRPr="003401CF">
              <w:rPr>
                <w:rFonts w:cs="Arial"/>
                <w:szCs w:val="20"/>
              </w:rPr>
              <w:t xml:space="preserve">, </w:t>
            </w:r>
            <w:r w:rsidR="00067DB5">
              <w:rPr>
                <w:rFonts w:cs="Arial"/>
                <w:szCs w:val="20"/>
              </w:rPr>
              <w:t>asthma</w:t>
            </w:r>
            <w:r w:rsidRPr="003401CF">
              <w:rPr>
                <w:rFonts w:cs="Arial"/>
                <w:szCs w:val="20"/>
              </w:rPr>
              <w:t>,</w:t>
            </w:r>
            <w:r w:rsidR="00067DB5">
              <w:rPr>
                <w:rFonts w:cs="Arial"/>
                <w:szCs w:val="20"/>
              </w:rPr>
              <w:t xml:space="preserve"> COPD</w:t>
            </w:r>
            <w:r w:rsidRPr="003401CF">
              <w:rPr>
                <w:rFonts w:cs="Arial"/>
                <w:szCs w:val="20"/>
              </w:rPr>
              <w:t xml:space="preserve"> and suicide.</w:t>
            </w:r>
          </w:p>
          <w:p w14:paraId="12820D51" w14:textId="6873DDF1" w:rsidR="00A7067C" w:rsidRPr="00AF4B55" w:rsidRDefault="00B641B6" w:rsidP="001A69D6">
            <w:pPr>
              <w:pStyle w:val="ListParagraph"/>
              <w:numPr>
                <w:ilvl w:val="0"/>
                <w:numId w:val="35"/>
              </w:numPr>
              <w:spacing w:after="120"/>
              <w:ind w:left="357" w:hanging="357"/>
              <w:rPr>
                <w:rFonts w:cs="Arial"/>
                <w:szCs w:val="20"/>
              </w:rPr>
            </w:pPr>
            <w:r w:rsidRPr="00DB26BD">
              <w:rPr>
                <w:rFonts w:cs="Arial"/>
                <w:szCs w:val="20"/>
              </w:rPr>
              <w:t xml:space="preserve">To identify the </w:t>
            </w:r>
            <w:r w:rsidRPr="00DB26BD">
              <w:rPr>
                <w:rFonts w:cs="Arial"/>
                <w:b/>
                <w:bCs/>
                <w:szCs w:val="20"/>
              </w:rPr>
              <w:t>most severe cases of anxiety and depression</w:t>
            </w:r>
            <w:r w:rsidRPr="00DB26BD">
              <w:rPr>
                <w:rFonts w:cs="Arial"/>
                <w:szCs w:val="20"/>
              </w:rPr>
              <w:t>, we will also: 1) ascertain the proportion of individuals who consulted for anxiety who received a selective serotonin receptor inhibitor (SSRI) prescription; and 2) we will quantify the proportion of consultations for depression where an antidepressant was prescribed.</w:t>
            </w:r>
          </w:p>
        </w:tc>
      </w:tr>
      <w:tr w:rsidR="00672602" w:rsidRPr="00CD13D5" w14:paraId="724CB93C" w14:textId="77777777" w:rsidTr="001A69D6">
        <w:trPr>
          <w:cantSplit/>
        </w:trPr>
        <w:tc>
          <w:tcPr>
            <w:tcW w:w="10456" w:type="dxa"/>
            <w:shd w:val="clear" w:color="auto" w:fill="auto"/>
          </w:tcPr>
          <w:p w14:paraId="29CFDC11" w14:textId="77777777" w:rsidR="00672602" w:rsidRPr="00CD13D5" w:rsidRDefault="00672602" w:rsidP="001A69D6">
            <w:pPr>
              <w:pStyle w:val="Heading2"/>
              <w:numPr>
                <w:ilvl w:val="0"/>
                <w:numId w:val="8"/>
              </w:numPr>
            </w:pPr>
            <w:r w:rsidRPr="00CD13D5">
              <w:lastRenderedPageBreak/>
              <w:t>Plan for addressing confounding</w:t>
            </w:r>
          </w:p>
          <w:p w14:paraId="57F1CCDA" w14:textId="3A5EA2B2" w:rsidR="003523B9" w:rsidRPr="00AF4B55" w:rsidRDefault="00515708" w:rsidP="001A69D6">
            <w:pPr>
              <w:spacing w:after="120"/>
              <w:rPr>
                <w:rFonts w:ascii="Calibri" w:hAnsi="Calibri" w:cs="Calibri"/>
                <w:color w:val="000000"/>
                <w:sz w:val="22"/>
                <w:szCs w:val="22"/>
              </w:rPr>
            </w:pPr>
            <w:r>
              <w:rPr>
                <w:rFonts w:cs="Arial"/>
                <w:color w:val="000000"/>
                <w:szCs w:val="20"/>
              </w:rPr>
              <w:t xml:space="preserve">This study determines population-level change in outcomes after the introduction of population-wide infection control measures, thus we do not expect confounding of this effect to be a major issue. However, temporal trends pre-dating the pandemic will influence these outcomes so our statistical models will finely model seasonality and trends over time. There may also be effect modification by characteristics such as age and socioeconomic deprivation, which we will explore as detailed in </w:t>
            </w:r>
            <w:r w:rsidRPr="00515708">
              <w:rPr>
                <w:rFonts w:cs="Arial"/>
                <w:b/>
                <w:bCs/>
                <w:color w:val="000000"/>
                <w:szCs w:val="20"/>
              </w:rPr>
              <w:t>Section O</w:t>
            </w:r>
            <w:r>
              <w:rPr>
                <w:rFonts w:cs="Arial"/>
                <w:color w:val="000000"/>
                <w:szCs w:val="20"/>
              </w:rPr>
              <w:t>. </w:t>
            </w:r>
          </w:p>
        </w:tc>
      </w:tr>
      <w:tr w:rsidR="00672602" w:rsidRPr="00CD13D5" w14:paraId="3F327A24" w14:textId="77777777" w:rsidTr="001A69D6">
        <w:trPr>
          <w:cantSplit/>
        </w:trPr>
        <w:tc>
          <w:tcPr>
            <w:tcW w:w="10456" w:type="dxa"/>
            <w:shd w:val="clear" w:color="auto" w:fill="auto"/>
          </w:tcPr>
          <w:p w14:paraId="1E562BB1" w14:textId="77777777" w:rsidR="00672602" w:rsidRPr="00CD13D5" w:rsidRDefault="00672602" w:rsidP="001A69D6">
            <w:pPr>
              <w:pStyle w:val="Heading2"/>
              <w:numPr>
                <w:ilvl w:val="0"/>
                <w:numId w:val="8"/>
              </w:numPr>
            </w:pPr>
            <w:r w:rsidRPr="00CD13D5">
              <w:t>Plans for addressing missing data</w:t>
            </w:r>
          </w:p>
          <w:p w14:paraId="62582E1C" w14:textId="78F8D7EB" w:rsidR="00BC2EA9" w:rsidRDefault="00B16351" w:rsidP="001A69D6">
            <w:pPr>
              <w:spacing w:after="120"/>
              <w:rPr>
                <w:rFonts w:cs="Arial"/>
                <w:szCs w:val="20"/>
              </w:rPr>
            </w:pPr>
            <w:r w:rsidRPr="00253652">
              <w:rPr>
                <w:rFonts w:cs="Arial"/>
                <w:szCs w:val="20"/>
              </w:rPr>
              <w:t xml:space="preserve">We do not anticipate that missing data will be a problem, as we expect that most severe outcomes will be captured in medical records. However, it is likely that some outcomes will not be captured following the onset of the pandemic as individuals may avoid consulting for their symptoms due to concerns about infection or limiting burden on the health service. </w:t>
            </w:r>
            <w:r w:rsidR="007F4113">
              <w:rPr>
                <w:rFonts w:cs="Arial"/>
                <w:szCs w:val="20"/>
              </w:rPr>
              <w:t>Therefore, w</w:t>
            </w:r>
            <w:r w:rsidRPr="00253652">
              <w:rPr>
                <w:rFonts w:cs="Arial"/>
                <w:szCs w:val="20"/>
              </w:rPr>
              <w:t xml:space="preserve">e may see lower rates of some outcomes during the </w:t>
            </w:r>
            <w:r w:rsidR="007F4113">
              <w:rPr>
                <w:rFonts w:cs="Arial"/>
                <w:szCs w:val="20"/>
              </w:rPr>
              <w:t xml:space="preserve">post-lockdown </w:t>
            </w:r>
            <w:r w:rsidRPr="00253652">
              <w:rPr>
                <w:rFonts w:cs="Arial"/>
                <w:szCs w:val="20"/>
              </w:rPr>
              <w:t xml:space="preserve">period, but higher rates of </w:t>
            </w:r>
            <w:r>
              <w:rPr>
                <w:rFonts w:cs="Arial"/>
                <w:szCs w:val="20"/>
              </w:rPr>
              <w:t xml:space="preserve">the </w:t>
            </w:r>
            <w:r w:rsidRPr="00253652">
              <w:rPr>
                <w:rFonts w:cs="Arial"/>
                <w:szCs w:val="20"/>
              </w:rPr>
              <w:t>more serious outcomes</w:t>
            </w:r>
            <w:r>
              <w:rPr>
                <w:rFonts w:cs="Arial"/>
                <w:szCs w:val="20"/>
              </w:rPr>
              <w:t xml:space="preserve"> we are </w:t>
            </w:r>
            <w:r w:rsidR="0023495F">
              <w:rPr>
                <w:rFonts w:cs="Arial"/>
                <w:szCs w:val="20"/>
              </w:rPr>
              <w:t>focussing</w:t>
            </w:r>
            <w:r>
              <w:rPr>
                <w:rFonts w:cs="Arial"/>
                <w:szCs w:val="20"/>
              </w:rPr>
              <w:t xml:space="preserve"> on</w:t>
            </w:r>
            <w:r w:rsidRPr="00253652">
              <w:rPr>
                <w:rFonts w:cs="Arial"/>
                <w:szCs w:val="20"/>
              </w:rPr>
              <w:t xml:space="preserve">. A reduction in capture of some of our outcomes may therefore be informative, rather than being regarded as missing data (discussed further in </w:t>
            </w:r>
            <w:r w:rsidRPr="00253652">
              <w:rPr>
                <w:rFonts w:cs="Arial"/>
                <w:b/>
                <w:bCs/>
                <w:szCs w:val="20"/>
              </w:rPr>
              <w:t>Section L</w:t>
            </w:r>
            <w:r w:rsidRPr="00253652">
              <w:rPr>
                <w:rFonts w:cs="Arial"/>
                <w:szCs w:val="20"/>
              </w:rPr>
              <w:t>).</w:t>
            </w:r>
          </w:p>
          <w:p w14:paraId="1C713CB4" w14:textId="795F6134" w:rsidR="00BC2EA9" w:rsidRPr="00CD13D5" w:rsidRDefault="00BC2EA9" w:rsidP="001A69D6">
            <w:pPr>
              <w:spacing w:after="120"/>
            </w:pPr>
            <w:r>
              <w:rPr>
                <w:rFonts w:cs="Arial"/>
                <w:szCs w:val="20"/>
              </w:rPr>
              <w:t xml:space="preserve">We plan to use ethnicity as a stratifying variable, it is likely that </w:t>
            </w:r>
            <w:r w:rsidR="00D23660">
              <w:rPr>
                <w:rFonts w:cs="Arial"/>
                <w:szCs w:val="20"/>
              </w:rPr>
              <w:t>ethnicity will be missing in some instance</w:t>
            </w:r>
            <w:r w:rsidR="00B53593">
              <w:rPr>
                <w:rFonts w:cs="Arial"/>
                <w:szCs w:val="20"/>
              </w:rPr>
              <w:t>s.</w:t>
            </w:r>
            <w:r w:rsidR="00B53593">
              <w:rPr>
                <w:rFonts w:cs="Arial"/>
                <w:szCs w:val="20"/>
              </w:rPr>
              <w:fldChar w:fldCharType="begin" w:fldLock="1"/>
            </w:r>
            <w:r w:rsidR="00F90A11">
              <w:rPr>
                <w:rFonts w:cs="Arial"/>
                <w:szCs w:val="20"/>
              </w:rPr>
              <w:instrText>ADDIN CSL_CITATION {"citationItems":[{"id":"ITEM-1","itemData":{"DOI":"10.1093/pubmed/fdt116","ISSN":"1741-3850","PMID":"24323951","abstract":"BACKGROUND: Ethnicity recording across the National Health Service (NHS) has improved dramatically over the past decade. This study profiles the completeness, consistency and representativeness of routinely collected ethnicity data in both primary care and hospital settings. METHODS: Completeness and consistency of ethnicity recording was examined in the Clinical Practice Research Datalink (CPRD) and Hospital Episode Statistics (HES), and the ethnic breakdown of the CPRD was compared with that of the 2011 UK censuses. RESULTS: 27.1% of all patients in the CPRD (1990-2012) have ethnicity recorded. This proportion rises to 78.3% for patients registered since April 2006. The ethnic breakdown of the CPRD is comparable to the UK censuses. 79.4% of HES inpatients, 46.8% of outpatients and 26.8% of A&amp;E patients had their ethnicity recorded. Amongst those with ethnicity recorded on &gt;1 occasion, consistency was over 90% in all data sets except for HES inpatients. Combining CPRD and HES increased completeness to 97%, with 85% of patients having the same ethnicity recorded in both databases. CONCLUSIONS: Using CPRD ethnicity from 2006 onwards maximizes completeness and comparability with the UK population. High concordance within and across NHS sources suggests these data are of high value when examining the continuum of care. Poor completeness and consistency of A&amp;E and outpatient data render these sources unreliable.","author":[{"dropping-particle":"","family":"Mathur","given":"Rohini","non-dropping-particle":"","parse-names":false,"suffix":""},{"dropping-particle":"","family":"Bhaskaran","given":"Krishnan","non-dropping-particle":"","parse-names":false,"suffix":""},{"dropping-particle":"","family":"Chaturvedi","given":"Nish","non-dropping-particle":"","parse-names":false,"suffix":""},{"dropping-particle":"","family":"Leon","given":"David A","non-dropping-particle":"","parse-names":false,"suffix":""},{"dropping-particle":"","family":"Vanstaa","given":"Tjeerd","non-dropping-particle":"","parse-names":false,"suffix":""},{"dropping-particle":"","family":"Grundy","given":"Emily","non-dropping-particle":"","parse-names":false,"suffix":""},{"dropping-particle":"","family":"Smeeth","given":"Liam","non-dropping-particle":"","parse-names":false,"suffix":""}],"container-title":"Journal of public health (Oxford, England)","id":"ITEM-1","issue":"4","issued":{"date-parts":[["2013","12","8"]]},"page":"684-92","title":"Completeness and usability of ethnicity data in UK-based primary care and hospital databases.","type":"article-journal","volume":"36"},"uris":["http://www.mendeley.com/documents/?uuid=6530783f-df51-4b2f-831f-1c896bf49219"]}],"mendeley":{"formattedCitation":"&lt;sup&gt;28&lt;/sup&gt;","plainTextFormattedCitation":"28","previouslyFormattedCitation":"&lt;sup&gt;28&lt;/sup&gt;"},"properties":{"noteIndex":0},"schema":"https://github.com/citation-style-language/schema/raw/master/csl-citation.json"}</w:instrText>
            </w:r>
            <w:r w:rsidR="00B53593">
              <w:rPr>
                <w:rFonts w:cs="Arial"/>
                <w:szCs w:val="20"/>
              </w:rPr>
              <w:fldChar w:fldCharType="separate"/>
            </w:r>
            <w:r w:rsidR="00206238" w:rsidRPr="00206238">
              <w:rPr>
                <w:rFonts w:cs="Arial"/>
                <w:noProof/>
                <w:szCs w:val="20"/>
                <w:vertAlign w:val="superscript"/>
              </w:rPr>
              <w:t>28</w:t>
            </w:r>
            <w:r w:rsidR="00B53593">
              <w:rPr>
                <w:rFonts w:cs="Arial"/>
                <w:szCs w:val="20"/>
              </w:rPr>
              <w:fldChar w:fldCharType="end"/>
            </w:r>
            <w:r w:rsidR="00D23660">
              <w:rPr>
                <w:rFonts w:cs="Arial"/>
                <w:szCs w:val="20"/>
              </w:rPr>
              <w:t xml:space="preserve"> </w:t>
            </w:r>
            <w:r w:rsidR="002F74CE">
              <w:rPr>
                <w:rFonts w:cs="Arial"/>
                <w:szCs w:val="20"/>
              </w:rPr>
              <w:t>W</w:t>
            </w:r>
            <w:r w:rsidR="00D23660">
              <w:rPr>
                <w:rFonts w:cs="Arial"/>
                <w:szCs w:val="20"/>
              </w:rPr>
              <w:t>e will therefore include individuals with missing ethnicity as a separate category rather than excluding them from stratified analyses.</w:t>
            </w:r>
            <w:r w:rsidR="00D23660">
              <w:rPr>
                <w:rFonts w:cs="Arial"/>
                <w:szCs w:val="20"/>
              </w:rPr>
              <w:fldChar w:fldCharType="begin" w:fldLock="1"/>
            </w:r>
            <w:r w:rsidR="00F90A11">
              <w:rPr>
                <w:rFonts w:cs="Arial"/>
                <w:szCs w:val="20"/>
              </w:rPr>
              <w:instrText>ADDIN CSL_CITATION {"citationItems":[{"id":"ITEM-1","itemData":{"DOI":"10.1002/bimj.201900041","author":[{"dropping-particle":"","family":"Blake","given":"Helen A","non-dropping-particle":"","parse-names":false,"suffix":""},{"dropping-particle":"","family":"Tomlinson","given":"Laurie A","non-dropping-particle":"","parse-names":false,"suffix":""},{"dropping-particle":"","family":"Leyrat","given":"Clémence","non-dropping-particle":"","parse-names":false,"suffix":""},{"dropping-particle":"","family":"Carpenter","given":"James","non-dropping-particle":"","parse-names":false,"suffix":""},{"dropping-particle":"","family":"Mansfield","given":"Kathryn E","non-dropping-particle":"","parse-names":false,"suffix":""},{"dropping-particle":"","family":"Williamson","given":"Elizabeth J","non-dropping-particle":"","parse-names":false,"suffix":""}],"container-title":"Biometrical Journal","id":"ITEM-1","issue":"January 2019","issued":{"date-parts":[["2020"]]},"page":"1-16","title":"Estimating treatment effects with partially observed covariates using outcome regression with missing indicators","type":"article-journal"},"uris":["http://www.mendeley.com/documents/?uuid=75d00ede-06bd-4142-ab2e-a72432f26f73"]}],"mendeley":{"formattedCitation":"&lt;sup&gt;29&lt;/sup&gt;","plainTextFormattedCitation":"29","previouslyFormattedCitation":"&lt;sup&gt;29&lt;/sup&gt;"},"properties":{"noteIndex":0},"schema":"https://github.com/citation-style-language/schema/raw/master/csl-citation.json"}</w:instrText>
            </w:r>
            <w:r w:rsidR="00D23660">
              <w:rPr>
                <w:rFonts w:cs="Arial"/>
                <w:szCs w:val="20"/>
              </w:rPr>
              <w:fldChar w:fldCharType="separate"/>
            </w:r>
            <w:r w:rsidR="00206238" w:rsidRPr="00206238">
              <w:rPr>
                <w:rFonts w:cs="Arial"/>
                <w:noProof/>
                <w:szCs w:val="20"/>
                <w:vertAlign w:val="superscript"/>
              </w:rPr>
              <w:t>29</w:t>
            </w:r>
            <w:r w:rsidR="00D23660">
              <w:rPr>
                <w:rFonts w:cs="Arial"/>
                <w:szCs w:val="20"/>
              </w:rPr>
              <w:fldChar w:fldCharType="end"/>
            </w:r>
          </w:p>
        </w:tc>
      </w:tr>
      <w:tr w:rsidR="00672602" w:rsidRPr="00CD13D5" w14:paraId="3FA25B62" w14:textId="77777777" w:rsidTr="001A69D6">
        <w:trPr>
          <w:cantSplit/>
        </w:trPr>
        <w:tc>
          <w:tcPr>
            <w:tcW w:w="10456" w:type="dxa"/>
            <w:shd w:val="clear" w:color="auto" w:fill="auto"/>
          </w:tcPr>
          <w:p w14:paraId="3783B28A" w14:textId="5D9BF3CA" w:rsidR="00672602" w:rsidRPr="00CD13D5" w:rsidRDefault="0F0BB5F6" w:rsidP="001A69D6">
            <w:pPr>
              <w:pStyle w:val="Heading2"/>
              <w:numPr>
                <w:ilvl w:val="0"/>
                <w:numId w:val="8"/>
              </w:numPr>
            </w:pPr>
            <w:r>
              <w:t>Patient or user group involvement</w:t>
            </w:r>
          </w:p>
          <w:p w14:paraId="0E006153" w14:textId="45D444BE" w:rsidR="003523B9" w:rsidRPr="00AF4B55" w:rsidRDefault="00BA14A2" w:rsidP="001A69D6">
            <w:pPr>
              <w:spacing w:after="120"/>
              <w:rPr>
                <w:rFonts w:cs="Arial"/>
                <w:szCs w:val="20"/>
              </w:rPr>
            </w:pPr>
            <w:r w:rsidRPr="00253652">
              <w:rPr>
                <w:rFonts w:cs="Arial"/>
                <w:szCs w:val="20"/>
              </w:rPr>
              <w:t>Current population health measures inhibit n</w:t>
            </w:r>
            <w:r>
              <w:rPr>
                <w:rFonts w:cs="Arial"/>
                <w:szCs w:val="20"/>
              </w:rPr>
              <w:t>ew r</w:t>
            </w:r>
            <w:r w:rsidRPr="00253652">
              <w:rPr>
                <w:rFonts w:cs="Arial"/>
                <w:szCs w:val="20"/>
              </w:rPr>
              <w:t xml:space="preserve">ecruitment and involvement of patients/public and users. </w:t>
            </w:r>
            <w:r>
              <w:rPr>
                <w:rFonts w:cs="Arial"/>
                <w:szCs w:val="20"/>
              </w:rPr>
              <w:t>Hence, we will liaise with existing groups and relevant charities about involvement with this work. We will also liaise with longstanding patient collaborators</w:t>
            </w:r>
            <w:r w:rsidR="00B46BFA">
              <w:rPr>
                <w:rFonts w:cs="Arial"/>
                <w:szCs w:val="20"/>
              </w:rPr>
              <w:t>.</w:t>
            </w:r>
            <w:r>
              <w:rPr>
                <w:rFonts w:cs="Arial"/>
                <w:szCs w:val="20"/>
              </w:rPr>
              <w:t xml:space="preserve"> </w:t>
            </w:r>
          </w:p>
        </w:tc>
      </w:tr>
      <w:tr w:rsidR="00672602" w:rsidRPr="00CD13D5" w14:paraId="414A80FF" w14:textId="77777777" w:rsidTr="001A69D6">
        <w:trPr>
          <w:cantSplit/>
        </w:trPr>
        <w:tc>
          <w:tcPr>
            <w:tcW w:w="10456" w:type="dxa"/>
            <w:shd w:val="clear" w:color="auto" w:fill="auto"/>
          </w:tcPr>
          <w:p w14:paraId="52989B36" w14:textId="77777777" w:rsidR="00672602" w:rsidRPr="00CD13D5" w:rsidRDefault="00672602" w:rsidP="001A69D6">
            <w:pPr>
              <w:pStyle w:val="Heading2"/>
              <w:numPr>
                <w:ilvl w:val="0"/>
                <w:numId w:val="8"/>
              </w:numPr>
            </w:pPr>
            <w:r w:rsidRPr="00CD13D5">
              <w:t>Plans for disseminating and communicating study results, including the presence or absence of any restrictions on the extent and timing of publication</w:t>
            </w:r>
          </w:p>
          <w:p w14:paraId="6B94BD52" w14:textId="74F27A64" w:rsidR="00375EF4" w:rsidRPr="00AF4B55" w:rsidRDefault="00375EF4" w:rsidP="001A69D6">
            <w:pPr>
              <w:spacing w:after="120"/>
              <w:rPr>
                <w:rFonts w:cs="Arial"/>
                <w:szCs w:val="20"/>
              </w:rPr>
            </w:pPr>
            <w:r w:rsidRPr="00253652">
              <w:rPr>
                <w:rFonts w:cs="Arial"/>
                <w:szCs w:val="20"/>
              </w:rPr>
              <w:t>The study findings will be submitted for publication in peer-reviewed scientific journals, and</w:t>
            </w:r>
            <w:r w:rsidR="00F9729C">
              <w:rPr>
                <w:rFonts w:cs="Arial"/>
                <w:szCs w:val="20"/>
              </w:rPr>
              <w:t xml:space="preserve"> also</w:t>
            </w:r>
            <w:r w:rsidRPr="00253652">
              <w:rPr>
                <w:rFonts w:cs="Arial"/>
                <w:szCs w:val="20"/>
              </w:rPr>
              <w:t xml:space="preserve"> presented at appropriate conferences and other meetings. </w:t>
            </w:r>
            <w:r w:rsidR="002C77B9">
              <w:rPr>
                <w:rFonts w:cs="Arial"/>
                <w:szCs w:val="20"/>
              </w:rPr>
              <w:t>We will post findings</w:t>
            </w:r>
            <w:r w:rsidRPr="00253652">
              <w:rPr>
                <w:rFonts w:cs="Arial"/>
                <w:szCs w:val="20"/>
              </w:rPr>
              <w:t xml:space="preserve"> from </w:t>
            </w:r>
            <w:r w:rsidR="002C77B9">
              <w:rPr>
                <w:rFonts w:cs="Arial"/>
                <w:szCs w:val="20"/>
              </w:rPr>
              <w:t>our</w:t>
            </w:r>
            <w:r w:rsidRPr="00253652">
              <w:rPr>
                <w:rFonts w:cs="Arial"/>
                <w:szCs w:val="20"/>
              </w:rPr>
              <w:t xml:space="preserve"> research as news stories on the LSHTM website as they arise. We will also </w:t>
            </w:r>
            <w:r w:rsidR="00931DE7">
              <w:rPr>
                <w:rFonts w:cs="Arial"/>
                <w:szCs w:val="20"/>
              </w:rPr>
              <w:t>develop</w:t>
            </w:r>
            <w:r w:rsidRPr="00253652">
              <w:rPr>
                <w:rFonts w:cs="Arial"/>
                <w:szCs w:val="20"/>
              </w:rPr>
              <w:t xml:space="preserve"> a Shiny app</w:t>
            </w:r>
            <w:r w:rsidR="00931DE7">
              <w:rPr>
                <w:rFonts w:cs="Arial"/>
                <w:szCs w:val="20"/>
              </w:rPr>
              <w:t xml:space="preserve"> (</w:t>
            </w:r>
            <w:r w:rsidR="00931DE7" w:rsidRPr="00931DE7">
              <w:rPr>
                <w:rFonts w:cs="Arial"/>
                <w:szCs w:val="20"/>
              </w:rPr>
              <w:t xml:space="preserve">Shiny is an R package </w:t>
            </w:r>
            <w:r w:rsidR="00931DE7">
              <w:rPr>
                <w:rFonts w:cs="Arial"/>
                <w:szCs w:val="20"/>
              </w:rPr>
              <w:t>for building</w:t>
            </w:r>
            <w:r w:rsidR="00931DE7" w:rsidRPr="00931DE7">
              <w:rPr>
                <w:rFonts w:cs="Arial"/>
                <w:szCs w:val="20"/>
              </w:rPr>
              <w:t xml:space="preserve"> interactive web apps </w:t>
            </w:r>
            <w:r w:rsidR="00931DE7">
              <w:rPr>
                <w:rFonts w:cs="Arial"/>
                <w:szCs w:val="20"/>
              </w:rPr>
              <w:t>using</w:t>
            </w:r>
            <w:r w:rsidR="00931DE7" w:rsidRPr="00931DE7">
              <w:rPr>
                <w:rFonts w:cs="Arial"/>
                <w:szCs w:val="20"/>
              </w:rPr>
              <w:t xml:space="preserve"> R</w:t>
            </w:r>
            <w:r w:rsidR="00931DE7">
              <w:rPr>
                <w:rFonts w:cs="Arial"/>
                <w:szCs w:val="20"/>
              </w:rPr>
              <w:t>)</w:t>
            </w:r>
            <w:r w:rsidRPr="00253652">
              <w:rPr>
                <w:rFonts w:cs="Arial"/>
                <w:szCs w:val="20"/>
              </w:rPr>
              <w:t xml:space="preserve"> to our </w:t>
            </w:r>
            <w:r w:rsidR="00931DE7">
              <w:rPr>
                <w:rFonts w:cs="Arial"/>
                <w:szCs w:val="20"/>
              </w:rPr>
              <w:t xml:space="preserve">institutional </w:t>
            </w:r>
            <w:r w:rsidRPr="00253652">
              <w:rPr>
                <w:rFonts w:cs="Arial"/>
                <w:szCs w:val="20"/>
              </w:rPr>
              <w:t xml:space="preserve">website to more fully share our </w:t>
            </w:r>
            <w:r w:rsidR="00931DE7">
              <w:rPr>
                <w:rFonts w:cs="Arial"/>
                <w:szCs w:val="20"/>
              </w:rPr>
              <w:t>results (we will supress data for small event counts)</w:t>
            </w:r>
            <w:r w:rsidRPr="00253652">
              <w:rPr>
                <w:rFonts w:cs="Arial"/>
                <w:szCs w:val="20"/>
              </w:rPr>
              <w:t xml:space="preserve">. </w:t>
            </w:r>
            <w:r w:rsidR="002C77B9">
              <w:rPr>
                <w:rFonts w:cs="Arial"/>
                <w:szCs w:val="20"/>
              </w:rPr>
              <w:t>We will</w:t>
            </w:r>
            <w:r w:rsidRPr="00253652">
              <w:rPr>
                <w:rFonts w:cs="Arial"/>
                <w:szCs w:val="20"/>
              </w:rPr>
              <w:t xml:space="preserve"> make</w:t>
            </w:r>
            <w:r w:rsidR="002C77B9">
              <w:rPr>
                <w:rFonts w:cs="Arial"/>
                <w:szCs w:val="20"/>
              </w:rPr>
              <w:t xml:space="preserve"> our</w:t>
            </w:r>
            <w:r w:rsidRPr="00253652">
              <w:rPr>
                <w:rFonts w:cs="Arial"/>
                <w:szCs w:val="20"/>
              </w:rPr>
              <w:t xml:space="preserve"> findings available to our infectious disease modelling group, the wider NHS and policy makers. We plan to share our statistical code and simulated data through institutional and personal repositories (e.g., GitHub).</w:t>
            </w:r>
          </w:p>
          <w:p w14:paraId="2929BD28" w14:textId="442FD672" w:rsidR="00672602" w:rsidRPr="00CD13D5" w:rsidRDefault="00375EF4" w:rsidP="001A69D6">
            <w:pPr>
              <w:rPr>
                <w:rFonts w:cs="Arial"/>
                <w:szCs w:val="20"/>
              </w:rPr>
            </w:pPr>
            <w:r w:rsidRPr="00253652">
              <w:rPr>
                <w:rFonts w:cs="Arial"/>
                <w:b/>
                <w:szCs w:val="20"/>
              </w:rPr>
              <w:t>Conflict of interest statement:</w:t>
            </w:r>
            <w:r>
              <w:rPr>
                <w:rFonts w:cs="Arial"/>
                <w:b/>
                <w:szCs w:val="20"/>
              </w:rPr>
              <w:t xml:space="preserve"> </w:t>
            </w:r>
            <w:r w:rsidRPr="000C1D3D">
              <w:rPr>
                <w:rFonts w:cs="Arial"/>
                <w:bCs/>
                <w:szCs w:val="20"/>
              </w:rPr>
              <w:t>None known</w:t>
            </w:r>
          </w:p>
        </w:tc>
      </w:tr>
      <w:tr w:rsidR="00672602" w:rsidRPr="00CD13D5" w14:paraId="56836971" w14:textId="77777777" w:rsidTr="001A69D6">
        <w:tc>
          <w:tcPr>
            <w:tcW w:w="10456" w:type="dxa"/>
            <w:shd w:val="clear" w:color="auto" w:fill="auto"/>
          </w:tcPr>
          <w:p w14:paraId="10C77C2B" w14:textId="77777777" w:rsidR="00672602" w:rsidRPr="00CD13D5" w:rsidRDefault="00672602" w:rsidP="001A69D6">
            <w:pPr>
              <w:pStyle w:val="Heading2"/>
              <w:numPr>
                <w:ilvl w:val="0"/>
                <w:numId w:val="8"/>
              </w:numPr>
            </w:pPr>
            <w:r w:rsidRPr="00CD13D5">
              <w:t>Limitations of the study design, data sources, and analytic methods</w:t>
            </w:r>
          </w:p>
          <w:p w14:paraId="333B87E7" w14:textId="4FB78BED" w:rsidR="00BF4ADD" w:rsidRDefault="00BF4ADD" w:rsidP="001A69D6">
            <w:pPr>
              <w:spacing w:after="120"/>
              <w:ind w:left="28"/>
              <w:rPr>
                <w:rFonts w:cs="Arial"/>
                <w:szCs w:val="20"/>
              </w:rPr>
            </w:pPr>
            <w:r w:rsidRPr="00253652">
              <w:rPr>
                <w:rFonts w:cs="Arial"/>
                <w:szCs w:val="20"/>
              </w:rPr>
              <w:t xml:space="preserve">There may be under-ascertainment of outcomes, as people are less likely to present to their GP following the pandemic. For example, there could be more anxiety and other outcomes, yet fewer consultations recorded because of reluctance to go to GPs, or to burden the health services. This will need to be considered when </w:t>
            </w:r>
            <w:r w:rsidRPr="00253652">
              <w:rPr>
                <w:rFonts w:cs="Arial"/>
                <w:szCs w:val="20"/>
              </w:rPr>
              <w:lastRenderedPageBreak/>
              <w:t>interpreting the data. We will explore this limitation by comparing numbers of consultations (for COVID-19 and other conditions) and number of codes per consultation between the time periods</w:t>
            </w:r>
            <w:r w:rsidR="00846220">
              <w:rPr>
                <w:rFonts w:cs="Arial"/>
                <w:szCs w:val="20"/>
              </w:rPr>
              <w:t xml:space="preserve"> (</w:t>
            </w:r>
            <w:r w:rsidR="00846220" w:rsidRPr="00846220">
              <w:rPr>
                <w:rFonts w:cs="Arial"/>
                <w:b/>
                <w:bCs/>
                <w:szCs w:val="20"/>
              </w:rPr>
              <w:t>Section O</w:t>
            </w:r>
            <w:r w:rsidR="00846220">
              <w:rPr>
                <w:rFonts w:cs="Arial"/>
                <w:szCs w:val="20"/>
              </w:rPr>
              <w:t>)</w:t>
            </w:r>
            <w:r w:rsidRPr="00253652">
              <w:rPr>
                <w:rFonts w:cs="Arial"/>
                <w:szCs w:val="20"/>
              </w:rPr>
              <w:t xml:space="preserve">. </w:t>
            </w:r>
          </w:p>
          <w:p w14:paraId="6C37C8D3" w14:textId="2C3AE3FF" w:rsidR="00BF4ADD" w:rsidRDefault="00BF4ADD" w:rsidP="001A69D6">
            <w:pPr>
              <w:spacing w:after="120"/>
              <w:ind w:left="28"/>
              <w:rPr>
                <w:rFonts w:cs="Arial"/>
                <w:color w:val="000000" w:themeColor="text1"/>
                <w:szCs w:val="20"/>
              </w:rPr>
            </w:pPr>
            <w:r w:rsidRPr="00253652">
              <w:rPr>
                <w:rFonts w:cs="Arial"/>
                <w:szCs w:val="20"/>
              </w:rPr>
              <w:t xml:space="preserve">It will be difficult to assess lower level mental health issues accurately in </w:t>
            </w:r>
            <w:r w:rsidR="00E527C7">
              <w:rPr>
                <w:rFonts w:cs="Arial"/>
                <w:szCs w:val="20"/>
              </w:rPr>
              <w:t>electronic health records</w:t>
            </w:r>
            <w:r w:rsidRPr="00253652">
              <w:rPr>
                <w:rFonts w:cs="Arial"/>
                <w:szCs w:val="20"/>
              </w:rPr>
              <w:t xml:space="preserve">. </w:t>
            </w:r>
            <w:r>
              <w:rPr>
                <w:rFonts w:cs="Arial"/>
                <w:szCs w:val="20"/>
              </w:rPr>
              <w:t>It will therefore</w:t>
            </w:r>
            <w:r w:rsidRPr="00253652">
              <w:rPr>
                <w:rFonts w:cs="Arial"/>
                <w:szCs w:val="20"/>
              </w:rPr>
              <w:t xml:space="preserve"> be important to compare </w:t>
            </w:r>
            <w:r>
              <w:rPr>
                <w:rFonts w:cs="Arial"/>
                <w:szCs w:val="20"/>
              </w:rPr>
              <w:t xml:space="preserve">our results with those from </w:t>
            </w:r>
            <w:r w:rsidRPr="00253652">
              <w:rPr>
                <w:rFonts w:cs="Arial"/>
                <w:szCs w:val="20"/>
              </w:rPr>
              <w:t xml:space="preserve">various population mental health surveys currently being rolled out </w:t>
            </w:r>
            <w:r w:rsidR="00E527C7">
              <w:rPr>
                <w:rFonts w:cs="Arial"/>
                <w:szCs w:val="20"/>
              </w:rPr>
              <w:t>(</w:t>
            </w:r>
            <w:r w:rsidRPr="00253652">
              <w:rPr>
                <w:rFonts w:cs="Arial"/>
                <w:szCs w:val="20"/>
              </w:rPr>
              <w:t>e.g</w:t>
            </w:r>
            <w:r w:rsidRPr="00F309DC">
              <w:rPr>
                <w:rFonts w:cs="Arial"/>
                <w:color w:val="000000" w:themeColor="text1"/>
                <w:szCs w:val="20"/>
              </w:rPr>
              <w:t>.</w:t>
            </w:r>
            <w:r w:rsidR="00925A58" w:rsidRPr="00F309DC">
              <w:rPr>
                <w:rFonts w:cs="Arial"/>
                <w:color w:val="000000" w:themeColor="text1"/>
                <w:szCs w:val="20"/>
              </w:rPr>
              <w:t xml:space="preserve"> </w:t>
            </w:r>
            <w:hyperlink r:id="rId12" w:history="1">
              <w:r w:rsidR="003C0F65" w:rsidRPr="00E527C7">
                <w:t>https://www.ucl.ac.uk/news/2020/mar/new-study-psychological-and-social-effects-COVID-19</w:t>
              </w:r>
            </w:hyperlink>
            <w:r w:rsidR="00E527C7">
              <w:t>)</w:t>
            </w:r>
            <w:r w:rsidRPr="00E527C7">
              <w:rPr>
                <w:rFonts w:cs="Arial"/>
                <w:szCs w:val="20"/>
              </w:rPr>
              <w:t>.</w:t>
            </w:r>
            <w:r w:rsidRPr="00F309DC">
              <w:rPr>
                <w:rFonts w:cs="Arial"/>
                <w:color w:val="000000" w:themeColor="text1"/>
                <w:szCs w:val="20"/>
              </w:rPr>
              <w:t xml:space="preserve"> For </w:t>
            </w:r>
            <w:r w:rsidRPr="003516EB">
              <w:rPr>
                <w:rFonts w:cs="Arial"/>
                <w:color w:val="000000" w:themeColor="text1"/>
                <w:szCs w:val="20"/>
              </w:rPr>
              <w:t xml:space="preserve">mental health outcomes, we will incorporate symptom codes as well as diagnostic codes </w:t>
            </w:r>
            <w:r>
              <w:rPr>
                <w:rFonts w:cs="Arial"/>
                <w:color w:val="000000" w:themeColor="text1"/>
                <w:szCs w:val="20"/>
              </w:rPr>
              <w:t>(as there is known</w:t>
            </w:r>
            <w:r w:rsidRPr="003516EB">
              <w:rPr>
                <w:rFonts w:cs="Arial"/>
                <w:color w:val="000000" w:themeColor="text1"/>
                <w:szCs w:val="20"/>
              </w:rPr>
              <w:t xml:space="preserve"> under-</w:t>
            </w:r>
            <w:r>
              <w:rPr>
                <w:rFonts w:cs="Arial"/>
                <w:color w:val="000000" w:themeColor="text1"/>
                <w:szCs w:val="20"/>
              </w:rPr>
              <w:t>use</w:t>
            </w:r>
            <w:r w:rsidRPr="003516EB">
              <w:rPr>
                <w:rFonts w:cs="Arial"/>
                <w:color w:val="000000" w:themeColor="text1"/>
                <w:szCs w:val="20"/>
              </w:rPr>
              <w:t xml:space="preserve"> of the specific diagnostic codes in recent years</w:t>
            </w:r>
            <w:r w:rsidR="00846220">
              <w:rPr>
                <w:rFonts w:cs="Arial"/>
                <w:color w:val="000000" w:themeColor="text1"/>
                <w:szCs w:val="20"/>
              </w:rPr>
              <w:fldChar w:fldCharType="begin" w:fldLock="1"/>
            </w:r>
            <w:r w:rsidR="00F90A11">
              <w:rPr>
                <w:rFonts w:cs="Arial"/>
                <w:color w:val="000000" w:themeColor="text1"/>
                <w:szCs w:val="20"/>
              </w:rPr>
              <w:instrText>ADDIN CSL_CITATION {"citationItems":[{"id":"ITEM-1","itemData":{"DOI":"10.1371/journal.pone.0041670","ISSN":"19326203","abstract":"Background: Anxiety is common, with significant morbidity, but little is known about presentations and recording of anxiety diagnoses and symptoms in primary care. This study aimed to determine trends in incidence and socio-demographic variation in General Practitioner (GP) recorded diagnoses of anxiety, mixed anxiety/depression, panic and anxiety symptoms. Methodology/Principal Findings: Annual incidence rates of anxiety diagnoses and symptoms were calculated from 361 UK general practices contributing to The Health Improvement Network (THIN) database between 1998 and 2008, adjusted for year of diagnosis, gender, age, and deprivation. Incidence of GP recorded anxiety diagnosis fell from 7.9 to 4.9/1000PYAR from 1998 to 2008, while incidence of anxiety symptoms rose from 3.9 to 5.8/1000PYAR. Incidence of mixed anxiety/depression fell from 4.0 to 2.2/1000PYAR, and incidence of panic disorder fell from 0.9/1000PYAR in 1998 to 0.5/1000PYAR in 2008. All these entries were approximately twice as common in women and more common in deprived areas. GP-recorded anxiety diagnoses, symptoms and mixed anxiety/depression were commonest aged 45-64 years, whilst panic disorder/attacks were more common in those 16-44 years. GPs predominately use broad non-specific codes to record anxiety problems in the UK. Conclusions/Significance: GP recording of anxiety diagnoses has fallen whilst recording of anxiety symptoms has increased over time. The incidence of GP recorded diagnoses of anxiety diagnoses was lower than in screened populations in primary care. The reasons for this apparent under-recording and whether it represents under-detection in those being seen, a reluctance to report anxiety to their GP, or a reluctance amongst GPs to label people with anxiety requires investigation. © 2012 Walters et al.","author":[{"dropping-particle":"","family":"Walters","given":"Kate","non-dropping-particle":"","parse-names":false,"suffix":""},{"dropping-particle":"","family":"Rait","given":"Greta","non-dropping-particle":"","parse-names":false,"suffix":""},{"dropping-particle":"","family":"Griffin","given":"Mark","non-dropping-particle":"","parse-names":false,"suffix":""},{"dropping-particle":"","family":"Buszewicz","given":"Marta","non-dropping-particle":"","parse-names":false,"suffix":""},{"dropping-particle":"","family":"Nazareth","given":"Irwin","non-dropping-particle":"","parse-names":false,"suffix":""}],"container-title":"PLoS ONE","id":"ITEM-1","issue":"8","issued":{"date-parts":[["2012"]]},"title":"Recent trends in the incidence of anxiety diagnoses and symptoms in primary care","type":"article-journal","volume":"7"},"uris":["http://www.mendeley.com/documents/?uuid=80c342d0-9308-40f5-8ea6-6dbaa7df0ed1"]},{"id":"ITEM-2","itemData":{"DOI":"10.1192/bjp.bp.108.058636","ISSN":"00071250","abstract":"Background: There is a paucity of data describing how general practitioners (GPs) label or record depression. Aims: To determine incidence and sociodemographic variation in GP-recorded depression diagnoses and depressive symptoms. Method: Annual incidence rates calculated using data from 298 UK general practices between 1996 and 2006, adjusted for year of diagnosis, gender, age and deprivation. Results: Incidence of diagnosed depression fell from 22.5 to 14.0 per 1000 person-years at risk (PYAR) from 1996 to 2006. The incidence of depressive symptoms rose threefold from 5.1 to 15.5 per 1000 PYAR. Combined incidence of diagnoses and symptoms remained stable. Diagnosed depression and symptoms were more common in women and in more deprived areas. Conclusions: Depression recorded by general practitioners has lower incidence rates than depression recorded in epidemiological studies, although there are similar associations with gender and deprivation. General practitioners increasingly use symptoms rather than diagnostic labels to categorise people's illnesses. Studies using standardised diagnostic instruments may not be easily comparable with clinical practice.","author":[{"dropping-particle":"","family":"Rait","given":"Greta","non-dropping-particle":"","parse-names":false,"suffix":""},{"dropping-particle":"","family":"Walters","given":"Kate","non-dropping-particle":"","parse-names":false,"suffix":""},{"dropping-particle":"","family":"Griffin","given":"Mark","non-dropping-particle":"","parse-names":false,"suffix":""},{"dropping-particle":"","family":"Buszewicz","given":"Marta","non-dropping-particle":"","parse-names":false,"suffix":""},{"dropping-particle":"","family":"Petersen","given":"Irene","non-dropping-particle":"","parse-names":false,"suffix":""},{"dropping-particle":"","family":"Nazareth","given":"Irwin","non-dropping-particle":"","parse-names":false,"suffix":""}],"container-title":"British Journal of Psychiatry","id":"ITEM-2","issue":"6","issued":{"date-parts":[["2009"]]},"page":"520-524","title":"Recent trends in the incidence of recorded depression in primary care","type":"article-journal","volume":"195"},"uris":["http://www.mendeley.com/documents/?uuid=aba78d3c-e54c-4036-9501-89a75950f5f8"]}],"mendeley":{"formattedCitation":"&lt;sup&gt;30,31&lt;/sup&gt;","plainTextFormattedCitation":"30,31","previouslyFormattedCitation":"&lt;sup&gt;30&lt;/sup&gt;"},"properties":{"noteIndex":0},"schema":"https://github.com/citation-style-language/schema/raw/master/csl-citation.json"}</w:instrText>
            </w:r>
            <w:r w:rsidR="00846220">
              <w:rPr>
                <w:rFonts w:cs="Arial"/>
                <w:color w:val="000000" w:themeColor="text1"/>
                <w:szCs w:val="20"/>
              </w:rPr>
              <w:fldChar w:fldCharType="separate"/>
            </w:r>
            <w:r w:rsidR="00F90A11" w:rsidRPr="00F90A11">
              <w:rPr>
                <w:rFonts w:cs="Arial"/>
                <w:noProof/>
                <w:color w:val="000000" w:themeColor="text1"/>
                <w:szCs w:val="20"/>
                <w:vertAlign w:val="superscript"/>
              </w:rPr>
              <w:t>30,31</w:t>
            </w:r>
            <w:r w:rsidR="00846220">
              <w:rPr>
                <w:rFonts w:cs="Arial"/>
                <w:color w:val="000000" w:themeColor="text1"/>
                <w:szCs w:val="20"/>
              </w:rPr>
              <w:fldChar w:fldCharType="end"/>
            </w:r>
            <w:r>
              <w:rPr>
                <w:rFonts w:cs="Arial"/>
                <w:color w:val="000000" w:themeColor="text1"/>
                <w:szCs w:val="20"/>
              </w:rPr>
              <w:t>)</w:t>
            </w:r>
            <w:r w:rsidRPr="00F309DC">
              <w:rPr>
                <w:rFonts w:cs="Arial"/>
                <w:color w:val="000000" w:themeColor="text1"/>
                <w:szCs w:val="20"/>
              </w:rPr>
              <w:t xml:space="preserve">. </w:t>
            </w:r>
            <w:r w:rsidR="00FC3F22">
              <w:rPr>
                <w:rFonts w:cs="Arial"/>
                <w:color w:val="000000" w:themeColor="text1"/>
                <w:szCs w:val="20"/>
              </w:rPr>
              <w:t>We will also quantify</w:t>
            </w:r>
            <w:r w:rsidR="00565F81">
              <w:rPr>
                <w:rFonts w:cs="Arial"/>
                <w:color w:val="000000" w:themeColor="text1"/>
                <w:szCs w:val="20"/>
              </w:rPr>
              <w:t xml:space="preserve"> the proportion of</w:t>
            </w:r>
            <w:r w:rsidR="00FC3F22">
              <w:rPr>
                <w:rFonts w:cs="Arial"/>
                <w:color w:val="000000" w:themeColor="text1"/>
                <w:szCs w:val="20"/>
              </w:rPr>
              <w:t xml:space="preserve"> </w:t>
            </w:r>
            <w:r w:rsidR="00B641B6">
              <w:rPr>
                <w:rFonts w:cs="Arial"/>
                <w:color w:val="000000" w:themeColor="text1"/>
                <w:szCs w:val="20"/>
              </w:rPr>
              <w:t xml:space="preserve">mental illness </w:t>
            </w:r>
            <w:r w:rsidR="00FC3F22">
              <w:rPr>
                <w:rFonts w:cs="Arial"/>
                <w:color w:val="000000" w:themeColor="text1"/>
                <w:szCs w:val="20"/>
              </w:rPr>
              <w:t xml:space="preserve">consultations that resulted in prescriptions as a measure of disease severity. We acknowledge that antidepressants have indications other than anxiety and depression (e.g. pain). We </w:t>
            </w:r>
            <w:r w:rsidR="00B474E9">
              <w:rPr>
                <w:rFonts w:cs="Arial"/>
                <w:color w:val="000000" w:themeColor="text1"/>
                <w:szCs w:val="20"/>
              </w:rPr>
              <w:t>will</w:t>
            </w:r>
            <w:r w:rsidR="00565F81">
              <w:rPr>
                <w:rFonts w:cs="Arial"/>
                <w:color w:val="000000" w:themeColor="text1"/>
                <w:szCs w:val="20"/>
              </w:rPr>
              <w:t xml:space="preserve"> therefore</w:t>
            </w:r>
            <w:r w:rsidR="00B474E9">
              <w:rPr>
                <w:rFonts w:cs="Arial"/>
                <w:color w:val="000000" w:themeColor="text1"/>
                <w:szCs w:val="20"/>
              </w:rPr>
              <w:t xml:space="preserve"> </w:t>
            </w:r>
            <w:r w:rsidR="00FC3F22">
              <w:rPr>
                <w:rFonts w:cs="Arial"/>
                <w:color w:val="000000" w:themeColor="text1"/>
                <w:szCs w:val="20"/>
              </w:rPr>
              <w:t xml:space="preserve">attempt to minimise the potential for misclassification by quantifying the proportion of consultations for anxiety/depression where </w:t>
            </w:r>
            <w:r w:rsidR="00B474E9">
              <w:rPr>
                <w:rFonts w:cs="Arial"/>
                <w:color w:val="000000" w:themeColor="text1"/>
                <w:szCs w:val="20"/>
              </w:rPr>
              <w:t>anxiolytics/antidepressants</w:t>
            </w:r>
            <w:r w:rsidR="00FC3F22">
              <w:rPr>
                <w:rFonts w:cs="Arial"/>
                <w:color w:val="000000" w:themeColor="text1"/>
                <w:szCs w:val="20"/>
              </w:rPr>
              <w:t xml:space="preserve"> were prescribed, rather than solely </w:t>
            </w:r>
            <w:r w:rsidR="00B474E9">
              <w:rPr>
                <w:rFonts w:cs="Arial"/>
                <w:color w:val="000000" w:themeColor="text1"/>
                <w:szCs w:val="20"/>
              </w:rPr>
              <w:t>identifying</w:t>
            </w:r>
            <w:r w:rsidR="00FC3F22">
              <w:rPr>
                <w:rFonts w:cs="Arial"/>
                <w:color w:val="000000" w:themeColor="text1"/>
                <w:szCs w:val="20"/>
              </w:rPr>
              <w:t xml:space="preserve"> prescriptions. Self-harm is underestimated in primary care records but we </w:t>
            </w:r>
            <w:r w:rsidR="00B474E9">
              <w:rPr>
                <w:rFonts w:cs="Arial"/>
                <w:color w:val="000000" w:themeColor="text1"/>
                <w:szCs w:val="20"/>
              </w:rPr>
              <w:t>do not</w:t>
            </w:r>
            <w:r w:rsidR="00FC3F22">
              <w:rPr>
                <w:rFonts w:cs="Arial"/>
                <w:color w:val="000000" w:themeColor="text1"/>
                <w:szCs w:val="20"/>
              </w:rPr>
              <w:t xml:space="preserve"> expect this to vary over time.</w:t>
            </w:r>
            <w:r w:rsidR="00B474E9">
              <w:rPr>
                <w:rFonts w:cs="Arial"/>
                <w:color w:val="000000" w:themeColor="text1"/>
                <w:szCs w:val="20"/>
              </w:rPr>
              <w:fldChar w:fldCharType="begin" w:fldLock="1"/>
            </w:r>
            <w:r w:rsidR="00F90A11">
              <w:rPr>
                <w:rFonts w:cs="Arial"/>
                <w:color w:val="000000" w:themeColor="text1"/>
                <w:szCs w:val="20"/>
              </w:rPr>
              <w:instrText>ADDIN CSL_CITATION {"citationItems":[{"id":"ITEM-1","itemData":{"DOI":"10.1111/bcp.12059","ISSN":"03065251","abstract":"Aims: The UK Clinical Practice Research Datalink (CPRD) is increasingly being used to investigate suicide-related adverse drug reactions. No studies have comprehensively validated the recording of suicide and nonfatal self-harm in the CPRD. We validated general practitioners' recording of these outcomes using linked Office for National Statistics (ONS) mortality and Hospital Episode Statistics (HES) admission data. Methods: We identified cases of suicide and self-harm recorded using appropriate Read codes in the CPRD between 1998 and 2010 in patients aged ≥15 years. Suicides were defined as patients with Read codes for suicide recorded within 95 days of their death. International Classification of Diseases codes were used to identify suicides/hospital admissions for self-harm in the linked ONS and HES data sets. We compared CPRD-derived cases/incidence of suicide and self-harm with those identified from linked ONS mortality and HES data, national suicide incidence rates and published self-harm incidence data. Results: Only 26.1% (n = 590) of the 'true' (ONS-confirmed) suicides were identified using Read codes. Furthermore, only 55.5% of Read code-identified suicides were confirmed as suicide by the ONS data. Of the HES-identified cases of self-harm, 68.4% were identified in the CPRD using Read codes. The CPRD self-harm rates based on Read codes had similar age and sex distributions to rates observed in self-harm hospital registers, although rates were underestimated in all age groups. Conclusions: The CPRD recording of suicide using Read codes is unreliable, with significant inaccuracy (over- and under-reporting). Future CPRD suicide studies should use linked ONS mortality data. The under-reporting of self-harm appears to be less marked. © 2012 The Authors. British Journal of Clinical Pharmacology © 2012 The British Pharmacological Society.","author":[{"dropping-particle":"","family":"Thomas","given":"Kyla H.","non-dropping-particle":"","parse-names":false,"suffix":""},{"dropping-particle":"","family":"Davies","given":"Neil","non-dropping-particle":"","parse-names":false,"suffix":""},{"dropping-particle":"","family":"Metcalfe","given":"Chris","non-dropping-particle":"","parse-names":false,"suffix":""},{"dropping-particle":"","family":"Windmeijer","given":"Frank","non-dropping-particle":"","parse-names":false,"suffix":""},{"dropping-particle":"","family":"Martin","given":"Richard M.","non-dropping-particle":"","parse-names":false,"suffix":""},{"dropping-particle":"","family":"Gunnell","given":"David","non-dropping-particle":"","parse-names":false,"suffix":""}],"container-title":"British Journal of Clinical Pharmacology","id":"ITEM-1","issue":"1","issued":{"date-parts":[["2013"]]},"page":"145-157","title":"Validation of suicide and self-harm records in the clinical practice research datalink","type":"article-journal","volume":"76"},"uris":["http://www.mendeley.com/documents/?uuid=33830998-1882-4064-b907-79e94f04df67"]}],"mendeley":{"formattedCitation":"&lt;sup&gt;32&lt;/sup&gt;","plainTextFormattedCitation":"32","previouslyFormattedCitation":"&lt;sup&gt;31&lt;/sup&gt;"},"properties":{"noteIndex":0},"schema":"https://github.com/citation-style-language/schema/raw/master/csl-citation.json"}</w:instrText>
            </w:r>
            <w:r w:rsidR="00B474E9">
              <w:rPr>
                <w:rFonts w:cs="Arial"/>
                <w:color w:val="000000" w:themeColor="text1"/>
                <w:szCs w:val="20"/>
              </w:rPr>
              <w:fldChar w:fldCharType="separate"/>
            </w:r>
            <w:r w:rsidR="00F90A11" w:rsidRPr="00F90A11">
              <w:rPr>
                <w:rFonts w:cs="Arial"/>
                <w:noProof/>
                <w:color w:val="000000" w:themeColor="text1"/>
                <w:szCs w:val="20"/>
                <w:vertAlign w:val="superscript"/>
              </w:rPr>
              <w:t>32</w:t>
            </w:r>
            <w:r w:rsidR="00B474E9">
              <w:rPr>
                <w:rFonts w:cs="Arial"/>
                <w:color w:val="000000" w:themeColor="text1"/>
                <w:szCs w:val="20"/>
              </w:rPr>
              <w:fldChar w:fldCharType="end"/>
            </w:r>
            <w:r w:rsidR="00FC3F22">
              <w:rPr>
                <w:rFonts w:cs="Arial"/>
                <w:color w:val="000000" w:themeColor="text1"/>
                <w:szCs w:val="20"/>
              </w:rPr>
              <w:t xml:space="preserve"> We will conduct analysis with self-harm ascertained in CPRD </w:t>
            </w:r>
            <w:proofErr w:type="spellStart"/>
            <w:r w:rsidR="00FC3F22">
              <w:rPr>
                <w:rFonts w:cs="Arial"/>
                <w:color w:val="000000" w:themeColor="text1"/>
                <w:szCs w:val="20"/>
              </w:rPr>
              <w:t>Aurum</w:t>
            </w:r>
            <w:proofErr w:type="spellEnd"/>
            <w:r w:rsidR="00FC3F22">
              <w:rPr>
                <w:rFonts w:cs="Arial"/>
                <w:color w:val="000000" w:themeColor="text1"/>
                <w:szCs w:val="20"/>
              </w:rPr>
              <w:t xml:space="preserve"> as well as in HES to improve outcome definition.</w:t>
            </w:r>
          </w:p>
          <w:p w14:paraId="70496FAB" w14:textId="7842E9BC" w:rsidR="00B03B0A" w:rsidRDefault="00BF4ADD" w:rsidP="001A69D6">
            <w:pPr>
              <w:spacing w:after="120"/>
              <w:ind w:left="28"/>
              <w:rPr>
                <w:rFonts w:cs="Arial"/>
                <w:szCs w:val="20"/>
              </w:rPr>
            </w:pPr>
            <w:r w:rsidRPr="00F309DC">
              <w:rPr>
                <w:rFonts w:cs="Arial"/>
                <w:color w:val="000000" w:themeColor="text1"/>
                <w:szCs w:val="20"/>
              </w:rPr>
              <w:t xml:space="preserve">For respiratory outcomes, </w:t>
            </w:r>
            <w:r w:rsidRPr="00F309DC">
              <w:rPr>
                <w:rFonts w:cs="Arial"/>
                <w:szCs w:val="20"/>
              </w:rPr>
              <w:t>ac</w:t>
            </w:r>
            <w:r w:rsidRPr="0086171F">
              <w:rPr>
                <w:rFonts w:cs="Arial"/>
                <w:szCs w:val="20"/>
              </w:rPr>
              <w:t xml:space="preserve">ute respiratory illness caused by COVID-19 could lead to asthma and </w:t>
            </w:r>
            <w:r>
              <w:rPr>
                <w:rFonts w:cs="Arial"/>
                <w:szCs w:val="20"/>
              </w:rPr>
              <w:t>COPD</w:t>
            </w:r>
            <w:r w:rsidRPr="0086171F">
              <w:rPr>
                <w:rFonts w:cs="Arial"/>
                <w:szCs w:val="20"/>
              </w:rPr>
              <w:t xml:space="preserve"> exacerbations, so these may not strictly be indirect effects. </w:t>
            </w:r>
            <w:r>
              <w:rPr>
                <w:rFonts w:cs="Arial"/>
                <w:szCs w:val="20"/>
              </w:rPr>
              <w:t>Similarly, there have been reports of COVID-related heart disease.</w:t>
            </w:r>
            <w:r w:rsidR="00AC298C">
              <w:rPr>
                <w:rFonts w:cs="Arial"/>
                <w:szCs w:val="20"/>
              </w:rPr>
              <w:fldChar w:fldCharType="begin" w:fldLock="1"/>
            </w:r>
            <w:r w:rsidR="007A3B21">
              <w:rPr>
                <w:rFonts w:cs="Arial"/>
                <w:szCs w:val="20"/>
              </w:rPr>
              <w:instrText>ADDIN CSL_CITATION {"citationItems":[{"id":"ITEM-1","itemData":{"DOI":"10.1161/CIRCOUTCOMES.120.006631","ISSN":"19417705","PMID":"32182131","author":[{"dropping-particle":"","family":"Tam","given":"Chor Cheung Frankie","non-dropping-particle":"","parse-names":false,"suffix":""},{"dropping-particle":"","family":"Cheung","given":"Kent Shek","non-dropping-particle":"","parse-names":false,"suffix":""},{"dropping-particle":"","family":"Lam","given":"Simon","non-dropping-particle":"","parse-names":false,"suffix":""},{"dropping-particle":"","family":"Wong","given":"Anthony","non-dropping-particle":"","parse-names":false,"suffix":""},{"dropping-particle":"","family":"Yung","given":"Arthur","non-dropping-particle":"","parse-names":false,"suffix":""},{"dropping-particle":"","family":"Sze","given":"Michael","non-dropping-particle":"","parse-names":false,"suffix":""},{"dropping-particle":"","family":"Lam","given":"Yui Ming","non-dropping-particle":"","parse-names":false,"suffix":""},{"dropping-particle":"","family":"Chan","given":"Carmen","non-dropping-particle":"","parse-names":false,"suffix":""},{"dropping-particle":"","family":"Tsang","given":"Tat Chi","non-dropping-particle":"","parse-names":false,"suffix":""},{"dropping-particle":"","family":"Tsui","given":"Matthew","non-dropping-particle":"","parse-names":false,"suffix":""},{"dropping-particle":"","family":"Tse","given":"Hung Fat","non-dropping-particle":"","parse-names":false,"suffix":""},{"dropping-particle":"","family":"Siu","given":"Chung Wah","non-dropping-particle":"","parse-names":false,"suffix":""}],"container-title":"Circulation: Cardiovascular Quality and Outcomes","id":"ITEM-1","issued":{"date-parts":[["2020"]]},"title":"Impact of Coronavirus Disease 2019 (COVID-19) Outbreak on ST-Segment-Elevation Myocardial Infarction Care in Hong Kong, China","type":"article"},"uris":["http://www.mendeley.com/documents/?uuid=3abe2de6-560b-4594-b2fb-6c351f108537"]}],"mendeley":{"formattedCitation":"&lt;sup&gt;7&lt;/sup&gt;","plainTextFormattedCitation":"7","previouslyFormattedCitation":"&lt;sup&gt;7&lt;/sup&gt;"},"properties":{"noteIndex":0},"schema":"https://github.com/citation-style-language/schema/raw/master/csl-citation.json"}</w:instrText>
            </w:r>
            <w:r w:rsidR="00AC298C">
              <w:rPr>
                <w:rFonts w:cs="Arial"/>
                <w:szCs w:val="20"/>
              </w:rPr>
              <w:fldChar w:fldCharType="separate"/>
            </w:r>
            <w:r w:rsidR="003A0F30" w:rsidRPr="003A0F30">
              <w:rPr>
                <w:rFonts w:cs="Arial"/>
                <w:noProof/>
                <w:szCs w:val="20"/>
                <w:vertAlign w:val="superscript"/>
              </w:rPr>
              <w:t>7</w:t>
            </w:r>
            <w:r w:rsidR="00AC298C">
              <w:rPr>
                <w:rFonts w:cs="Arial"/>
                <w:szCs w:val="20"/>
              </w:rPr>
              <w:fldChar w:fldCharType="end"/>
            </w:r>
          </w:p>
          <w:p w14:paraId="54583202" w14:textId="3A0DC7E9" w:rsidR="003523B9" w:rsidRPr="00AF4B55" w:rsidRDefault="00B03B0A" w:rsidP="001A69D6">
            <w:pPr>
              <w:spacing w:after="120"/>
              <w:ind w:left="28"/>
              <w:rPr>
                <w:rFonts w:cs="Arial"/>
                <w:szCs w:val="20"/>
              </w:rPr>
            </w:pPr>
            <w:r>
              <w:rPr>
                <w:rFonts w:cs="Arial"/>
                <w:szCs w:val="20"/>
              </w:rPr>
              <w:t>We are aware that by using morbidity coding related to relationship status (as a proxy for isolation), we are unlikely to reliably capture this stratifying variable. We will therefore interpret all results using relationship status with caution.</w:t>
            </w:r>
          </w:p>
        </w:tc>
      </w:tr>
      <w:tr w:rsidR="00672602" w:rsidRPr="00CD13D5" w14:paraId="182A19C1" w14:textId="77777777" w:rsidTr="001A69D6">
        <w:tc>
          <w:tcPr>
            <w:tcW w:w="10456" w:type="dxa"/>
            <w:shd w:val="clear" w:color="auto" w:fill="auto"/>
          </w:tcPr>
          <w:p w14:paraId="5DFCBEFB" w14:textId="77777777" w:rsidR="00672602" w:rsidRPr="00CD13D5" w:rsidRDefault="00672602" w:rsidP="001A69D6">
            <w:pPr>
              <w:pStyle w:val="Heading2"/>
              <w:numPr>
                <w:ilvl w:val="0"/>
                <w:numId w:val="8"/>
              </w:numPr>
            </w:pPr>
            <w:r w:rsidRPr="00CD13D5">
              <w:lastRenderedPageBreak/>
              <w:t>References</w:t>
            </w:r>
          </w:p>
          <w:p w14:paraId="790685D4" w14:textId="2B9CD7F9" w:rsidR="00F90A11" w:rsidRPr="00F90A11" w:rsidRDefault="00DD74C2" w:rsidP="001A69D6">
            <w:pPr>
              <w:widowControl w:val="0"/>
              <w:autoSpaceDE w:val="0"/>
              <w:autoSpaceDN w:val="0"/>
              <w:adjustRightInd w:val="0"/>
              <w:spacing w:after="120"/>
              <w:ind w:left="640" w:hanging="640"/>
              <w:rPr>
                <w:rFonts w:cs="Arial"/>
                <w:noProof/>
              </w:rPr>
            </w:pPr>
            <w:r>
              <w:fldChar w:fldCharType="begin" w:fldLock="1"/>
            </w:r>
            <w:r>
              <w:instrText xml:space="preserve">ADDIN Mendeley Bibliography CSL_BIBLIOGRAPHY </w:instrText>
            </w:r>
            <w:r>
              <w:fldChar w:fldCharType="separate"/>
            </w:r>
            <w:r w:rsidR="00F90A11" w:rsidRPr="00F90A11">
              <w:rPr>
                <w:rFonts w:cs="Arial"/>
                <w:noProof/>
              </w:rPr>
              <w:t>1</w:t>
            </w:r>
            <w:r w:rsidR="00F90A11" w:rsidRPr="00F90A11">
              <w:rPr>
                <w:rFonts w:cs="Arial"/>
                <w:noProof/>
              </w:rPr>
              <w:tab/>
              <w:t>Winstock A, Davies E, Ferris J, Maier L, Barratt M. Global drug survey: Special edition on COVID-19. 2020 https://www.globaldrugsurvey.com/wp-content/themes/globaldrugsurvey/assets/GDS_COVID-19-GLOBAL_Interim Report-FINAL.pdf.</w:t>
            </w:r>
          </w:p>
          <w:p w14:paraId="0A490E21"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w:t>
            </w:r>
            <w:r w:rsidRPr="00F90A11">
              <w:rPr>
                <w:rFonts w:cs="Arial"/>
                <w:noProof/>
              </w:rPr>
              <w:tab/>
              <w:t>Public Health England. COVID-19: guidance on shielding and protecting people defined on medical grounds as extremely vulnerable. 2020. https://www.gov.uk/government/publications/guidance-on-shielding-and-protecting-extremely-vulnerable-persons-from-covid-19 (accessed March 31, 2020).</w:t>
            </w:r>
          </w:p>
          <w:p w14:paraId="2FAFC20F"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3</w:t>
            </w:r>
            <w:r w:rsidRPr="00F90A11">
              <w:rPr>
                <w:rFonts w:cs="Arial"/>
                <w:noProof/>
              </w:rPr>
              <w:tab/>
              <w:t>Johns Hopkins. COVID-19 Map. Johns Hopkins Coronavirus Resour. Cent. 2020. https://coronavirus.jhu.edu/map.html (accessed June 16, 2020).</w:t>
            </w:r>
          </w:p>
          <w:p w14:paraId="04B48A87"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4</w:t>
            </w:r>
            <w:r w:rsidRPr="00F90A11">
              <w:rPr>
                <w:rFonts w:cs="Arial"/>
                <w:noProof/>
              </w:rPr>
              <w:tab/>
              <w:t>World Health Organization (WHO). COVID-19 significantly impacts health services for noncommunicable diseases. 2020. https://www.who.int/news-room/detail/01-06-2020-covid-19-significantly-impacts-health-services-for-noncommunicable-diseases (accessed June 2, 2020).</w:t>
            </w:r>
          </w:p>
          <w:p w14:paraId="1D32FEB0"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5</w:t>
            </w:r>
            <w:r w:rsidRPr="00F90A11">
              <w:rPr>
                <w:rFonts w:cs="Arial"/>
                <w:noProof/>
              </w:rPr>
              <w:tab/>
              <w:t xml:space="preserve">Yu N, Li W, Kang Q, </w:t>
            </w:r>
            <w:r w:rsidRPr="00F90A11">
              <w:rPr>
                <w:rFonts w:cs="Arial"/>
                <w:i/>
                <w:iCs/>
                <w:noProof/>
              </w:rPr>
              <w:t>et al.</w:t>
            </w:r>
            <w:r w:rsidRPr="00F90A11">
              <w:rPr>
                <w:rFonts w:cs="Arial"/>
                <w:noProof/>
              </w:rPr>
              <w:t xml:space="preserve"> Clinical features and obstetric and neonatal outcomes of pregnant patients with COVID-19 in Wuhan, China: a retrospective, single-centre, descriptive study. </w:t>
            </w:r>
            <w:r w:rsidRPr="00F90A11">
              <w:rPr>
                <w:rFonts w:cs="Arial"/>
                <w:i/>
                <w:iCs/>
                <w:noProof/>
              </w:rPr>
              <w:t>Lancet Infect Dis</w:t>
            </w:r>
            <w:r w:rsidRPr="00F90A11">
              <w:rPr>
                <w:rFonts w:cs="Arial"/>
                <w:noProof/>
              </w:rPr>
              <w:t xml:space="preserve"> 2020. DOI:10.1016/S1473-3099(20)30176-6.</w:t>
            </w:r>
          </w:p>
          <w:p w14:paraId="48616EC5"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6</w:t>
            </w:r>
            <w:r w:rsidRPr="00F90A11">
              <w:rPr>
                <w:rFonts w:cs="Arial"/>
                <w:noProof/>
              </w:rPr>
              <w:tab/>
              <w:t xml:space="preserve">Driggin E, Madhavan M V., Bikdeli B, </w:t>
            </w:r>
            <w:r w:rsidRPr="00F90A11">
              <w:rPr>
                <w:rFonts w:cs="Arial"/>
                <w:i/>
                <w:iCs/>
                <w:noProof/>
              </w:rPr>
              <w:t>et al.</w:t>
            </w:r>
            <w:r w:rsidRPr="00F90A11">
              <w:rPr>
                <w:rFonts w:cs="Arial"/>
                <w:noProof/>
              </w:rPr>
              <w:t xml:space="preserve"> Cardiovascular Considerations for Patients, Health Care Workers, and Health Systems During the COVID-19 Pandemic. J. Am. Coll. Cardiol. 2020. DOI:10.1016/j.jacc.2020.03.031.</w:t>
            </w:r>
          </w:p>
          <w:p w14:paraId="5CE34452"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7</w:t>
            </w:r>
            <w:r w:rsidRPr="00F90A11">
              <w:rPr>
                <w:rFonts w:cs="Arial"/>
                <w:noProof/>
              </w:rPr>
              <w:tab/>
              <w:t xml:space="preserve">Tam CCF, Cheung KS, Lam S, </w:t>
            </w:r>
            <w:r w:rsidRPr="00F90A11">
              <w:rPr>
                <w:rFonts w:cs="Arial"/>
                <w:i/>
                <w:iCs/>
                <w:noProof/>
              </w:rPr>
              <w:t>et al.</w:t>
            </w:r>
            <w:r w:rsidRPr="00F90A11">
              <w:rPr>
                <w:rFonts w:cs="Arial"/>
                <w:noProof/>
              </w:rPr>
              <w:t xml:space="preserve"> Impact of Coronavirus Disease 2019 (COVID-19) Outbreak on ST-Segment-Elevation Myocardial Infarction Care in Hong Kong, China. Circ. Cardiovasc. Qual. Outcomes. 2020. DOI:10.1161/CIRCOUTCOMES.120.006631.</w:t>
            </w:r>
          </w:p>
          <w:p w14:paraId="15C0E5F1"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8</w:t>
            </w:r>
            <w:r w:rsidRPr="00F90A11">
              <w:rPr>
                <w:rFonts w:cs="Arial"/>
                <w:noProof/>
              </w:rPr>
              <w:tab/>
              <w:t xml:space="preserve">Cluver L, Lachman JM, Sherr L, </w:t>
            </w:r>
            <w:r w:rsidRPr="00F90A11">
              <w:rPr>
                <w:rFonts w:cs="Arial"/>
                <w:i/>
                <w:iCs/>
                <w:noProof/>
              </w:rPr>
              <w:t>et al.</w:t>
            </w:r>
            <w:r w:rsidRPr="00F90A11">
              <w:rPr>
                <w:rFonts w:cs="Arial"/>
                <w:noProof/>
              </w:rPr>
              <w:t xml:space="preserve"> Parenting in a time of COVID-19. Lancet. 2020. DOI:10.1016/S0140-6736(20)30736-4.</w:t>
            </w:r>
          </w:p>
          <w:p w14:paraId="24421476"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9</w:t>
            </w:r>
            <w:r w:rsidRPr="00F90A11">
              <w:rPr>
                <w:rFonts w:cs="Arial"/>
                <w:noProof/>
              </w:rPr>
              <w:tab/>
              <w:t xml:space="preserve">Douglas M, Katikireddi SV, Taulbut M, McKee M, McCartney G. Mitigating the wider health effects of covid-19 pandemic response. </w:t>
            </w:r>
            <w:r w:rsidRPr="00F90A11">
              <w:rPr>
                <w:rFonts w:cs="Arial"/>
                <w:i/>
                <w:iCs/>
                <w:noProof/>
              </w:rPr>
              <w:t>BMJ</w:t>
            </w:r>
            <w:r w:rsidRPr="00F90A11">
              <w:rPr>
                <w:rFonts w:cs="Arial"/>
                <w:noProof/>
              </w:rPr>
              <w:t xml:space="preserve"> 2020; </w:t>
            </w:r>
            <w:r w:rsidRPr="00F90A11">
              <w:rPr>
                <w:rFonts w:cs="Arial"/>
                <w:b/>
                <w:bCs/>
                <w:noProof/>
              </w:rPr>
              <w:t>369</w:t>
            </w:r>
            <w:r w:rsidRPr="00F90A11">
              <w:rPr>
                <w:rFonts w:cs="Arial"/>
                <w:noProof/>
              </w:rPr>
              <w:t>: 1–6.</w:t>
            </w:r>
          </w:p>
          <w:p w14:paraId="1617B867"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10</w:t>
            </w:r>
            <w:r w:rsidRPr="00F90A11">
              <w:rPr>
                <w:rFonts w:cs="Arial"/>
                <w:noProof/>
              </w:rPr>
              <w:tab/>
              <w:t xml:space="preserve">Wolf A, Dedman D, Campbell J, </w:t>
            </w:r>
            <w:r w:rsidRPr="00F90A11">
              <w:rPr>
                <w:rFonts w:cs="Arial"/>
                <w:i/>
                <w:iCs/>
                <w:noProof/>
              </w:rPr>
              <w:t>et al.</w:t>
            </w:r>
            <w:r w:rsidRPr="00F90A11">
              <w:rPr>
                <w:rFonts w:cs="Arial"/>
                <w:noProof/>
              </w:rPr>
              <w:t xml:space="preserve"> Data resource profile: Clinical Practice Research Datalink (CPRD) Aurum. </w:t>
            </w:r>
            <w:r w:rsidRPr="00F90A11">
              <w:rPr>
                <w:rFonts w:cs="Arial"/>
                <w:i/>
                <w:iCs/>
                <w:noProof/>
              </w:rPr>
              <w:t>Int J Epidemiol</w:t>
            </w:r>
            <w:r w:rsidRPr="00F90A11">
              <w:rPr>
                <w:rFonts w:cs="Arial"/>
                <w:noProof/>
              </w:rPr>
              <w:t xml:space="preserve"> 2019; : 1–8.</w:t>
            </w:r>
          </w:p>
          <w:p w14:paraId="270A107A"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11</w:t>
            </w:r>
            <w:r w:rsidRPr="00F90A11">
              <w:rPr>
                <w:rFonts w:cs="Arial"/>
                <w:noProof/>
              </w:rPr>
              <w:tab/>
              <w:t xml:space="preserve">Herrett E, Gallagher AM, Bhaskaran K, </w:t>
            </w:r>
            <w:r w:rsidRPr="00F90A11">
              <w:rPr>
                <w:rFonts w:cs="Arial"/>
                <w:i/>
                <w:iCs/>
                <w:noProof/>
              </w:rPr>
              <w:t>et al.</w:t>
            </w:r>
            <w:r w:rsidRPr="00F90A11">
              <w:rPr>
                <w:rFonts w:cs="Arial"/>
                <w:noProof/>
              </w:rPr>
              <w:t xml:space="preserve"> Data Resource Profile: Clinical Practice Research Datalink (CPRD). </w:t>
            </w:r>
            <w:r w:rsidRPr="00F90A11">
              <w:rPr>
                <w:rFonts w:cs="Arial"/>
                <w:i/>
                <w:iCs/>
                <w:noProof/>
              </w:rPr>
              <w:t>Int J Epidemiol</w:t>
            </w:r>
            <w:r w:rsidRPr="00F90A11">
              <w:rPr>
                <w:rFonts w:cs="Arial"/>
                <w:noProof/>
              </w:rPr>
              <w:t xml:space="preserve"> 2015; </w:t>
            </w:r>
            <w:r w:rsidRPr="00F90A11">
              <w:rPr>
                <w:rFonts w:cs="Arial"/>
                <w:b/>
                <w:bCs/>
                <w:noProof/>
              </w:rPr>
              <w:t>44</w:t>
            </w:r>
            <w:r w:rsidRPr="00F90A11">
              <w:rPr>
                <w:rFonts w:cs="Arial"/>
                <w:noProof/>
              </w:rPr>
              <w:t>: 1–10.</w:t>
            </w:r>
          </w:p>
          <w:p w14:paraId="4826CF9E"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12</w:t>
            </w:r>
            <w:r w:rsidRPr="00F90A11">
              <w:rPr>
                <w:rFonts w:cs="Arial"/>
                <w:noProof/>
              </w:rPr>
              <w:tab/>
              <w:t xml:space="preserve">Wing K, Williamson E, Carpenter JR, </w:t>
            </w:r>
            <w:r w:rsidRPr="00F90A11">
              <w:rPr>
                <w:rFonts w:cs="Arial"/>
                <w:i/>
                <w:iCs/>
                <w:noProof/>
              </w:rPr>
              <w:t>et al.</w:t>
            </w:r>
            <w:r w:rsidRPr="00F90A11">
              <w:rPr>
                <w:rFonts w:cs="Arial"/>
                <w:noProof/>
              </w:rPr>
              <w:t xml:space="preserve"> Real-world effects of medications for chronic obstructive pulmonary disease: Protocol for a UK population-based non-interventional cohort study with validation </w:t>
            </w:r>
            <w:r w:rsidRPr="00F90A11">
              <w:rPr>
                <w:rFonts w:cs="Arial"/>
                <w:noProof/>
              </w:rPr>
              <w:lastRenderedPageBreak/>
              <w:t xml:space="preserve">against randomised trial results. </w:t>
            </w:r>
            <w:r w:rsidRPr="00F90A11">
              <w:rPr>
                <w:rFonts w:cs="Arial"/>
                <w:i/>
                <w:iCs/>
                <w:noProof/>
              </w:rPr>
              <w:t>BMJ Open</w:t>
            </w:r>
            <w:r w:rsidRPr="00F90A11">
              <w:rPr>
                <w:rFonts w:cs="Arial"/>
                <w:noProof/>
              </w:rPr>
              <w:t xml:space="preserve"> 2018; </w:t>
            </w:r>
            <w:r w:rsidRPr="00F90A11">
              <w:rPr>
                <w:rFonts w:cs="Arial"/>
                <w:b/>
                <w:bCs/>
                <w:noProof/>
              </w:rPr>
              <w:t>8</w:t>
            </w:r>
            <w:r w:rsidRPr="00F90A11">
              <w:rPr>
                <w:rFonts w:cs="Arial"/>
                <w:noProof/>
              </w:rPr>
              <w:t>: 1–11.</w:t>
            </w:r>
          </w:p>
          <w:p w14:paraId="13F7BC30"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13</w:t>
            </w:r>
            <w:r w:rsidRPr="00F90A11">
              <w:rPr>
                <w:rFonts w:cs="Arial"/>
                <w:noProof/>
              </w:rPr>
              <w:tab/>
              <w:t xml:space="preserve">Bloom CI, Nissen F, Douglas IJ, Smeeth L, Cullinan P, Quint JK. Exacerbation risk and characterisation of the UK’s asthma population from infants to old age. </w:t>
            </w:r>
            <w:r w:rsidRPr="00F90A11">
              <w:rPr>
                <w:rFonts w:cs="Arial"/>
                <w:i/>
                <w:iCs/>
                <w:noProof/>
              </w:rPr>
              <w:t>Thorax</w:t>
            </w:r>
            <w:r w:rsidRPr="00F90A11">
              <w:rPr>
                <w:rFonts w:cs="Arial"/>
                <w:noProof/>
              </w:rPr>
              <w:t xml:space="preserve"> 2018; </w:t>
            </w:r>
            <w:r w:rsidRPr="00F90A11">
              <w:rPr>
                <w:rFonts w:cs="Arial"/>
                <w:b/>
                <w:bCs/>
                <w:noProof/>
              </w:rPr>
              <w:t>73</w:t>
            </w:r>
            <w:r w:rsidRPr="00F90A11">
              <w:rPr>
                <w:rFonts w:cs="Arial"/>
                <w:noProof/>
              </w:rPr>
              <w:t>: 313–20.</w:t>
            </w:r>
          </w:p>
          <w:p w14:paraId="21FB4479"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14</w:t>
            </w:r>
            <w:r w:rsidRPr="00F90A11">
              <w:rPr>
                <w:rFonts w:cs="Arial"/>
                <w:noProof/>
              </w:rPr>
              <w:tab/>
              <w:t xml:space="preserve">Hawley S, Ali MS, Berencsi K, Judge A, Prieto-Alhambra D. Sample size and power considerations for ordinary least squares interrupted time series analysis: A simulation study. </w:t>
            </w:r>
            <w:r w:rsidRPr="00F90A11">
              <w:rPr>
                <w:rFonts w:cs="Arial"/>
                <w:i/>
                <w:iCs/>
                <w:noProof/>
              </w:rPr>
              <w:t>Clin Epidemiol</w:t>
            </w:r>
            <w:r w:rsidRPr="00F90A11">
              <w:rPr>
                <w:rFonts w:cs="Arial"/>
                <w:noProof/>
              </w:rPr>
              <w:t xml:space="preserve"> 2019. DOI:10.2147/CLEP.S176723.</w:t>
            </w:r>
          </w:p>
          <w:p w14:paraId="3F7E90ED"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15</w:t>
            </w:r>
            <w:r w:rsidRPr="00F90A11">
              <w:rPr>
                <w:rFonts w:cs="Arial"/>
                <w:noProof/>
              </w:rPr>
              <w:tab/>
              <w:t xml:space="preserve">Weich S, Twigg L, Lewis G. Rural/non-rural differences in rates of common mental disorders in Britain: Prospective multilevel cohort study. </w:t>
            </w:r>
            <w:r w:rsidRPr="00F90A11">
              <w:rPr>
                <w:rFonts w:cs="Arial"/>
                <w:i/>
                <w:iCs/>
                <w:noProof/>
              </w:rPr>
              <w:t>Br J Psychiatry</w:t>
            </w:r>
            <w:r w:rsidRPr="00F90A11">
              <w:rPr>
                <w:rFonts w:cs="Arial"/>
                <w:noProof/>
              </w:rPr>
              <w:t xml:space="preserve"> 2006; </w:t>
            </w:r>
            <w:r w:rsidRPr="00F90A11">
              <w:rPr>
                <w:rFonts w:cs="Arial"/>
                <w:b/>
                <w:bCs/>
                <w:noProof/>
              </w:rPr>
              <w:t>188</w:t>
            </w:r>
            <w:r w:rsidRPr="00F90A11">
              <w:rPr>
                <w:rFonts w:cs="Arial"/>
                <w:noProof/>
              </w:rPr>
              <w:t>: 51–7.</w:t>
            </w:r>
          </w:p>
          <w:p w14:paraId="758AAC0F"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16</w:t>
            </w:r>
            <w:r w:rsidRPr="00F90A11">
              <w:rPr>
                <w:rFonts w:cs="Arial"/>
                <w:noProof/>
              </w:rPr>
              <w:tab/>
              <w:t xml:space="preserve">Riva M, Curtis S, Gauvin L, Fagg J. Research Centre on Inequalities in Health in Montreal, Canada, and by the Joint International Internship Program from AnEIS Strategic Formation Program and Health Promotion Research team. </w:t>
            </w:r>
            <w:r w:rsidRPr="00F90A11">
              <w:rPr>
                <w:rFonts w:cs="Arial"/>
                <w:i/>
                <w:iCs/>
                <w:noProof/>
              </w:rPr>
              <w:t>Soc Sci Med</w:t>
            </w:r>
            <w:r w:rsidRPr="00F90A11">
              <w:rPr>
                <w:rFonts w:cs="Arial"/>
                <w:noProof/>
              </w:rPr>
              <w:t xml:space="preserve"> 2009; </w:t>
            </w:r>
            <w:r w:rsidRPr="00F90A11">
              <w:rPr>
                <w:rFonts w:cs="Arial"/>
                <w:b/>
                <w:bCs/>
                <w:noProof/>
              </w:rPr>
              <w:t>68</w:t>
            </w:r>
            <w:r w:rsidRPr="00F90A11">
              <w:rPr>
                <w:rFonts w:cs="Arial"/>
                <w:noProof/>
              </w:rPr>
              <w:t>: 654–63.</w:t>
            </w:r>
          </w:p>
          <w:p w14:paraId="63F7C517"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17</w:t>
            </w:r>
            <w:r w:rsidRPr="00F90A11">
              <w:rPr>
                <w:rFonts w:cs="Arial"/>
                <w:noProof/>
              </w:rPr>
              <w:tab/>
              <w:t xml:space="preserve">Riva M, Bambra C, Curtis S, Gauvin L. Collective resources or local social inequalities? Examining the social determinants of mental health in rural areas. </w:t>
            </w:r>
            <w:r w:rsidRPr="00F90A11">
              <w:rPr>
                <w:rFonts w:cs="Arial"/>
                <w:i/>
                <w:iCs/>
                <w:noProof/>
              </w:rPr>
              <w:t>Eur J Public Health</w:t>
            </w:r>
            <w:r w:rsidRPr="00F90A11">
              <w:rPr>
                <w:rFonts w:cs="Arial"/>
                <w:noProof/>
              </w:rPr>
              <w:t xml:space="preserve"> 2011; </w:t>
            </w:r>
            <w:r w:rsidRPr="00F90A11">
              <w:rPr>
                <w:rFonts w:cs="Arial"/>
                <w:b/>
                <w:bCs/>
                <w:noProof/>
              </w:rPr>
              <w:t>21</w:t>
            </w:r>
            <w:r w:rsidRPr="00F90A11">
              <w:rPr>
                <w:rFonts w:cs="Arial"/>
                <w:noProof/>
              </w:rPr>
              <w:t>: 197–203.</w:t>
            </w:r>
          </w:p>
          <w:p w14:paraId="3350F71F"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18</w:t>
            </w:r>
            <w:r w:rsidRPr="00F90A11">
              <w:rPr>
                <w:rFonts w:cs="Arial"/>
                <w:noProof/>
              </w:rPr>
              <w:tab/>
              <w:t xml:space="preserve">McKenzie K, Murray AL, Booth T. Do urban environments increase the risk of anxiety , depression and psychosis? An epidemiological study. </w:t>
            </w:r>
            <w:r w:rsidRPr="00F90A11">
              <w:rPr>
                <w:rFonts w:cs="Arial"/>
                <w:i/>
                <w:iCs/>
                <w:noProof/>
              </w:rPr>
              <w:t>J Affect Disord</w:t>
            </w:r>
            <w:r w:rsidRPr="00F90A11">
              <w:rPr>
                <w:rFonts w:cs="Arial"/>
                <w:noProof/>
              </w:rPr>
              <w:t xml:space="preserve"> 2013; </w:t>
            </w:r>
            <w:r w:rsidRPr="00F90A11">
              <w:rPr>
                <w:rFonts w:cs="Arial"/>
                <w:b/>
                <w:bCs/>
                <w:noProof/>
              </w:rPr>
              <w:t>150</w:t>
            </w:r>
            <w:r w:rsidRPr="00F90A11">
              <w:rPr>
                <w:rFonts w:cs="Arial"/>
                <w:noProof/>
              </w:rPr>
              <w:t>: 1019–24.</w:t>
            </w:r>
          </w:p>
          <w:p w14:paraId="44252C17"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19</w:t>
            </w:r>
            <w:r w:rsidRPr="00F90A11">
              <w:rPr>
                <w:rFonts w:cs="Arial"/>
                <w:noProof/>
              </w:rPr>
              <w:tab/>
              <w:t xml:space="preserve">Nissen F, Morales DR, Mullerova H, Smeeth L, Douglas IJ, Quint JK. Concomitant diagnosis of asthma and COPD: A quantitative study in UK primary care. </w:t>
            </w:r>
            <w:r w:rsidRPr="00F90A11">
              <w:rPr>
                <w:rFonts w:cs="Arial"/>
                <w:i/>
                <w:iCs/>
                <w:noProof/>
              </w:rPr>
              <w:t>Br J Gen Pract</w:t>
            </w:r>
            <w:r w:rsidRPr="00F90A11">
              <w:rPr>
                <w:rFonts w:cs="Arial"/>
                <w:noProof/>
              </w:rPr>
              <w:t xml:space="preserve"> 2018; </w:t>
            </w:r>
            <w:r w:rsidRPr="00F90A11">
              <w:rPr>
                <w:rFonts w:cs="Arial"/>
                <w:b/>
                <w:bCs/>
                <w:noProof/>
              </w:rPr>
              <w:t>68</w:t>
            </w:r>
            <w:r w:rsidRPr="00F90A11">
              <w:rPr>
                <w:rFonts w:cs="Arial"/>
                <w:noProof/>
              </w:rPr>
              <w:t>: e775–82.</w:t>
            </w:r>
          </w:p>
          <w:p w14:paraId="6119414D"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20</w:t>
            </w:r>
            <w:r w:rsidRPr="00F90A11">
              <w:rPr>
                <w:rFonts w:cs="Arial"/>
                <w:noProof/>
              </w:rPr>
              <w:tab/>
              <w:t xml:space="preserve">Nissen F, Morales DR, Mullerova H, Smeeth L, Douglas IJ, Quint JK. Validation of asthma recording in the Clinical Practice Research Datalink (CPRD). </w:t>
            </w:r>
            <w:r w:rsidRPr="00F90A11">
              <w:rPr>
                <w:rFonts w:cs="Arial"/>
                <w:i/>
                <w:iCs/>
                <w:noProof/>
              </w:rPr>
              <w:t>BMJ Open</w:t>
            </w:r>
            <w:r w:rsidRPr="00F90A11">
              <w:rPr>
                <w:rFonts w:cs="Arial"/>
                <w:noProof/>
              </w:rPr>
              <w:t xml:space="preserve"> 2017; </w:t>
            </w:r>
            <w:r w:rsidRPr="00F90A11">
              <w:rPr>
                <w:rFonts w:cs="Arial"/>
                <w:b/>
                <w:bCs/>
                <w:noProof/>
              </w:rPr>
              <w:t>7</w:t>
            </w:r>
            <w:r w:rsidRPr="00F90A11">
              <w:rPr>
                <w:rFonts w:cs="Arial"/>
                <w:noProof/>
              </w:rPr>
              <w:t>: 1–8.</w:t>
            </w:r>
          </w:p>
          <w:p w14:paraId="20EB03BC"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21</w:t>
            </w:r>
            <w:r w:rsidRPr="00F90A11">
              <w:rPr>
                <w:rFonts w:cs="Arial"/>
                <w:noProof/>
              </w:rPr>
              <w:tab/>
              <w:t xml:space="preserve">Quint JK, Müllerova H, DiSantostefano RL, </w:t>
            </w:r>
            <w:r w:rsidRPr="00F90A11">
              <w:rPr>
                <w:rFonts w:cs="Arial"/>
                <w:i/>
                <w:iCs/>
                <w:noProof/>
              </w:rPr>
              <w:t>et al.</w:t>
            </w:r>
            <w:r w:rsidRPr="00F90A11">
              <w:rPr>
                <w:rFonts w:cs="Arial"/>
                <w:noProof/>
              </w:rPr>
              <w:t xml:space="preserve"> Validation of chronic obstructive pulmonary disease recording in the Clinical Practice Research Datalink (CPRD-GOLD). </w:t>
            </w:r>
            <w:r w:rsidRPr="00F90A11">
              <w:rPr>
                <w:rFonts w:cs="Arial"/>
                <w:i/>
                <w:iCs/>
                <w:noProof/>
              </w:rPr>
              <w:t>BMJ Open</w:t>
            </w:r>
            <w:r w:rsidRPr="00F90A11">
              <w:rPr>
                <w:rFonts w:cs="Arial"/>
                <w:noProof/>
              </w:rPr>
              <w:t xml:space="preserve"> 2014; </w:t>
            </w:r>
            <w:r w:rsidRPr="00F90A11">
              <w:rPr>
                <w:rFonts w:cs="Arial"/>
                <w:b/>
                <w:bCs/>
                <w:noProof/>
              </w:rPr>
              <w:t>4</w:t>
            </w:r>
            <w:r w:rsidRPr="00F90A11">
              <w:rPr>
                <w:rFonts w:cs="Arial"/>
                <w:noProof/>
              </w:rPr>
              <w:t>: 1–8.</w:t>
            </w:r>
          </w:p>
          <w:p w14:paraId="72FB1830"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22</w:t>
            </w:r>
            <w:r w:rsidRPr="00F90A11">
              <w:rPr>
                <w:rFonts w:cs="Arial"/>
                <w:noProof/>
              </w:rPr>
              <w:tab/>
              <w:t xml:space="preserve">Bloom CI, Palmer T, Feary J, Quint JK, Cullinan P. Exacerbation patterns in adults with Asthma in England A population-based study. </w:t>
            </w:r>
            <w:r w:rsidRPr="00F90A11">
              <w:rPr>
                <w:rFonts w:cs="Arial"/>
                <w:i/>
                <w:iCs/>
                <w:noProof/>
              </w:rPr>
              <w:t>Am J Respir Crit Care Med</w:t>
            </w:r>
            <w:r w:rsidRPr="00F90A11">
              <w:rPr>
                <w:rFonts w:cs="Arial"/>
                <w:noProof/>
              </w:rPr>
              <w:t xml:space="preserve"> 2019; </w:t>
            </w:r>
            <w:r w:rsidRPr="00F90A11">
              <w:rPr>
                <w:rFonts w:cs="Arial"/>
                <w:b/>
                <w:bCs/>
                <w:noProof/>
              </w:rPr>
              <w:t>199</w:t>
            </w:r>
            <w:r w:rsidRPr="00F90A11">
              <w:rPr>
                <w:rFonts w:cs="Arial"/>
                <w:noProof/>
              </w:rPr>
              <w:t>: 446–53.</w:t>
            </w:r>
          </w:p>
          <w:p w14:paraId="25DBE1ED"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23</w:t>
            </w:r>
            <w:r w:rsidRPr="00F90A11">
              <w:rPr>
                <w:rFonts w:cs="Arial"/>
                <w:noProof/>
              </w:rPr>
              <w:tab/>
              <w:t xml:space="preserve">Rothnie KJ, Müllerová H, Hurst JR, </w:t>
            </w:r>
            <w:r w:rsidRPr="00F90A11">
              <w:rPr>
                <w:rFonts w:cs="Arial"/>
                <w:i/>
                <w:iCs/>
                <w:noProof/>
              </w:rPr>
              <w:t>et al.</w:t>
            </w:r>
            <w:r w:rsidRPr="00F90A11">
              <w:rPr>
                <w:rFonts w:cs="Arial"/>
                <w:noProof/>
              </w:rPr>
              <w:t xml:space="preserve"> Validation of the recording of acute exacerbations of COPD in UK primary care electronic healthcare records. </w:t>
            </w:r>
            <w:r w:rsidRPr="00F90A11">
              <w:rPr>
                <w:rFonts w:cs="Arial"/>
                <w:i/>
                <w:iCs/>
                <w:noProof/>
              </w:rPr>
              <w:t>PLoS One</w:t>
            </w:r>
            <w:r w:rsidRPr="00F90A11">
              <w:rPr>
                <w:rFonts w:cs="Arial"/>
                <w:noProof/>
              </w:rPr>
              <w:t xml:space="preserve"> 2016; </w:t>
            </w:r>
            <w:r w:rsidRPr="00F90A11">
              <w:rPr>
                <w:rFonts w:cs="Arial"/>
                <w:b/>
                <w:bCs/>
                <w:noProof/>
              </w:rPr>
              <w:t>11</w:t>
            </w:r>
            <w:r w:rsidRPr="00F90A11">
              <w:rPr>
                <w:rFonts w:cs="Arial"/>
                <w:noProof/>
              </w:rPr>
              <w:t>: 1–14.</w:t>
            </w:r>
          </w:p>
          <w:p w14:paraId="7F76F791"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24</w:t>
            </w:r>
            <w:r w:rsidRPr="00F90A11">
              <w:rPr>
                <w:rFonts w:cs="Arial"/>
                <w:noProof/>
              </w:rPr>
              <w:tab/>
              <w:t>Public Health England. Chapter 19: Influenza. In: The Green Book. 2019: 1–29.</w:t>
            </w:r>
          </w:p>
          <w:p w14:paraId="120477E7"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25</w:t>
            </w:r>
            <w:r w:rsidRPr="00F90A11">
              <w:rPr>
                <w:rFonts w:cs="Arial"/>
                <w:noProof/>
              </w:rPr>
              <w:tab/>
              <w:t xml:space="preserve">Bhaskaran K, Douglas I, Forbes H, Dos-Santos-Silva I, Leon DA, Smeeth L. Body-mass index and risk of 22 specific cancers: a population-based cohort study of 5·24 million UK adults. </w:t>
            </w:r>
            <w:r w:rsidRPr="00F90A11">
              <w:rPr>
                <w:rFonts w:cs="Arial"/>
                <w:i/>
                <w:iCs/>
                <w:noProof/>
              </w:rPr>
              <w:t>Lancet</w:t>
            </w:r>
            <w:r w:rsidRPr="00F90A11">
              <w:rPr>
                <w:rFonts w:cs="Arial"/>
                <w:noProof/>
              </w:rPr>
              <w:t xml:space="preserve"> 2014; </w:t>
            </w:r>
            <w:r w:rsidRPr="00F90A11">
              <w:rPr>
                <w:rFonts w:cs="Arial"/>
                <w:b/>
                <w:bCs/>
                <w:noProof/>
              </w:rPr>
              <w:t>6736</w:t>
            </w:r>
            <w:r w:rsidRPr="00F90A11">
              <w:rPr>
                <w:rFonts w:cs="Arial"/>
                <w:noProof/>
              </w:rPr>
              <w:t>: 60892–8.</w:t>
            </w:r>
          </w:p>
          <w:p w14:paraId="5078A711"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26</w:t>
            </w:r>
            <w:r w:rsidRPr="00F90A11">
              <w:rPr>
                <w:rFonts w:cs="Arial"/>
                <w:noProof/>
              </w:rPr>
              <w:tab/>
              <w:t xml:space="preserve">Eastwood S V., Mathur R, Atkinson M, </w:t>
            </w:r>
            <w:r w:rsidRPr="00F90A11">
              <w:rPr>
                <w:rFonts w:cs="Arial"/>
                <w:i/>
                <w:iCs/>
                <w:noProof/>
              </w:rPr>
              <w:t>et al.</w:t>
            </w:r>
            <w:r w:rsidRPr="00F90A11">
              <w:rPr>
                <w:rFonts w:cs="Arial"/>
                <w:noProof/>
              </w:rPr>
              <w:t xml:space="preserve"> Algorithms for the capture and adjudication of prevalent and incident diabetes in UK Biobank. </w:t>
            </w:r>
            <w:r w:rsidRPr="00F90A11">
              <w:rPr>
                <w:rFonts w:cs="Arial"/>
                <w:i/>
                <w:iCs/>
                <w:noProof/>
              </w:rPr>
              <w:t>PLoS One</w:t>
            </w:r>
            <w:r w:rsidRPr="00F90A11">
              <w:rPr>
                <w:rFonts w:cs="Arial"/>
                <w:noProof/>
              </w:rPr>
              <w:t xml:space="preserve"> 2016; </w:t>
            </w:r>
            <w:r w:rsidRPr="00F90A11">
              <w:rPr>
                <w:rFonts w:cs="Arial"/>
                <w:b/>
                <w:bCs/>
                <w:noProof/>
              </w:rPr>
              <w:t>11</w:t>
            </w:r>
            <w:r w:rsidRPr="00F90A11">
              <w:rPr>
                <w:rFonts w:cs="Arial"/>
                <w:noProof/>
              </w:rPr>
              <w:t>. DOI:10.1371/journal.pone.0162388.</w:t>
            </w:r>
          </w:p>
          <w:p w14:paraId="3FAE2253"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27</w:t>
            </w:r>
            <w:r w:rsidRPr="00F90A11">
              <w:rPr>
                <w:rFonts w:cs="Arial"/>
                <w:noProof/>
              </w:rPr>
              <w:tab/>
              <w:t>Britiish Thoracic Society, SIGN. Sign 158: British guideline on the management of asthma. 2019 https://www.brit-thoracic.org.uk/quality-improvement/guidelines/asthma/.</w:t>
            </w:r>
          </w:p>
          <w:p w14:paraId="16679A41"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28</w:t>
            </w:r>
            <w:r w:rsidRPr="00F90A11">
              <w:rPr>
                <w:rFonts w:cs="Arial"/>
                <w:noProof/>
              </w:rPr>
              <w:tab/>
              <w:t xml:space="preserve">Mathur R, Bhaskaran K, Chaturvedi N, </w:t>
            </w:r>
            <w:r w:rsidRPr="00F90A11">
              <w:rPr>
                <w:rFonts w:cs="Arial"/>
                <w:i/>
                <w:iCs/>
                <w:noProof/>
              </w:rPr>
              <w:t>et al.</w:t>
            </w:r>
            <w:r w:rsidRPr="00F90A11">
              <w:rPr>
                <w:rFonts w:cs="Arial"/>
                <w:noProof/>
              </w:rPr>
              <w:t xml:space="preserve"> Completeness and usability of ethnicity data in UK-based primary care and hospital databases. </w:t>
            </w:r>
            <w:r w:rsidRPr="00F90A11">
              <w:rPr>
                <w:rFonts w:cs="Arial"/>
                <w:i/>
                <w:iCs/>
                <w:noProof/>
              </w:rPr>
              <w:t>J Public Health (Oxf)</w:t>
            </w:r>
            <w:r w:rsidRPr="00F90A11">
              <w:rPr>
                <w:rFonts w:cs="Arial"/>
                <w:noProof/>
              </w:rPr>
              <w:t xml:space="preserve"> 2013; </w:t>
            </w:r>
            <w:r w:rsidRPr="00F90A11">
              <w:rPr>
                <w:rFonts w:cs="Arial"/>
                <w:b/>
                <w:bCs/>
                <w:noProof/>
              </w:rPr>
              <w:t>36</w:t>
            </w:r>
            <w:r w:rsidRPr="00F90A11">
              <w:rPr>
                <w:rFonts w:cs="Arial"/>
                <w:noProof/>
              </w:rPr>
              <w:t>: 684–92.</w:t>
            </w:r>
          </w:p>
          <w:p w14:paraId="1F9569C3"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29</w:t>
            </w:r>
            <w:r w:rsidRPr="00F90A11">
              <w:rPr>
                <w:rFonts w:cs="Arial"/>
                <w:noProof/>
              </w:rPr>
              <w:tab/>
              <w:t xml:space="preserve">Blake HA, Tomlinson LA, Leyrat C, Carpenter J, Mansfield KE, Williamson EJ. Estimating treatment effects with partially observed covariates using outcome regression with missing indicators. </w:t>
            </w:r>
            <w:r w:rsidRPr="00F90A11">
              <w:rPr>
                <w:rFonts w:cs="Arial"/>
                <w:i/>
                <w:iCs/>
                <w:noProof/>
              </w:rPr>
              <w:t>Biometrical J</w:t>
            </w:r>
            <w:r w:rsidRPr="00F90A11">
              <w:rPr>
                <w:rFonts w:cs="Arial"/>
                <w:noProof/>
              </w:rPr>
              <w:t xml:space="preserve"> 2020; : 1–16.</w:t>
            </w:r>
          </w:p>
          <w:p w14:paraId="42070F84"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30</w:t>
            </w:r>
            <w:r w:rsidRPr="00F90A11">
              <w:rPr>
                <w:rFonts w:cs="Arial"/>
                <w:noProof/>
              </w:rPr>
              <w:tab/>
              <w:t xml:space="preserve">Walters K, Rait G, Griffin M, Buszewicz M, Nazareth I. Recent trends in the incidence of anxiety diagnoses and symptoms in primary care. </w:t>
            </w:r>
            <w:r w:rsidRPr="00F90A11">
              <w:rPr>
                <w:rFonts w:cs="Arial"/>
                <w:i/>
                <w:iCs/>
                <w:noProof/>
              </w:rPr>
              <w:t>PLoS One</w:t>
            </w:r>
            <w:r w:rsidRPr="00F90A11">
              <w:rPr>
                <w:rFonts w:cs="Arial"/>
                <w:noProof/>
              </w:rPr>
              <w:t xml:space="preserve"> 2012; </w:t>
            </w:r>
            <w:r w:rsidRPr="00F90A11">
              <w:rPr>
                <w:rFonts w:cs="Arial"/>
                <w:b/>
                <w:bCs/>
                <w:noProof/>
              </w:rPr>
              <w:t>7</w:t>
            </w:r>
            <w:r w:rsidRPr="00F90A11">
              <w:rPr>
                <w:rFonts w:cs="Arial"/>
                <w:noProof/>
              </w:rPr>
              <w:t>. DOI:10.1371/journal.pone.0041670.</w:t>
            </w:r>
          </w:p>
          <w:p w14:paraId="23EB2534"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31</w:t>
            </w:r>
            <w:r w:rsidRPr="00F90A11">
              <w:rPr>
                <w:rFonts w:cs="Arial"/>
                <w:noProof/>
              </w:rPr>
              <w:tab/>
              <w:t xml:space="preserve">Rait G, Walters K, Griffin M, Buszewicz M, Petersen I, Nazareth I. Recent trends in the incidence of recorded depression in primary care. </w:t>
            </w:r>
            <w:r w:rsidRPr="00F90A11">
              <w:rPr>
                <w:rFonts w:cs="Arial"/>
                <w:i/>
                <w:iCs/>
                <w:noProof/>
              </w:rPr>
              <w:t>Br J Psychiatry</w:t>
            </w:r>
            <w:r w:rsidRPr="00F90A11">
              <w:rPr>
                <w:rFonts w:cs="Arial"/>
                <w:noProof/>
              </w:rPr>
              <w:t xml:space="preserve"> 2009; </w:t>
            </w:r>
            <w:r w:rsidRPr="00F90A11">
              <w:rPr>
                <w:rFonts w:cs="Arial"/>
                <w:b/>
                <w:bCs/>
                <w:noProof/>
              </w:rPr>
              <w:t>195</w:t>
            </w:r>
            <w:r w:rsidRPr="00F90A11">
              <w:rPr>
                <w:rFonts w:cs="Arial"/>
                <w:noProof/>
              </w:rPr>
              <w:t>: 520–4.</w:t>
            </w:r>
          </w:p>
          <w:p w14:paraId="0EFF0519" w14:textId="77777777" w:rsidR="00F90A11" w:rsidRPr="00F90A11" w:rsidRDefault="00F90A11" w:rsidP="001A69D6">
            <w:pPr>
              <w:widowControl w:val="0"/>
              <w:autoSpaceDE w:val="0"/>
              <w:autoSpaceDN w:val="0"/>
              <w:adjustRightInd w:val="0"/>
              <w:spacing w:after="120"/>
              <w:ind w:left="640" w:hanging="640"/>
              <w:rPr>
                <w:rFonts w:cs="Arial"/>
                <w:noProof/>
              </w:rPr>
            </w:pPr>
            <w:r w:rsidRPr="00F90A11">
              <w:rPr>
                <w:rFonts w:cs="Arial"/>
                <w:noProof/>
              </w:rPr>
              <w:t>32</w:t>
            </w:r>
            <w:r w:rsidRPr="00F90A11">
              <w:rPr>
                <w:rFonts w:cs="Arial"/>
                <w:noProof/>
              </w:rPr>
              <w:tab/>
              <w:t xml:space="preserve">Thomas KH, Davies N, Metcalfe C, Windmeijer F, Martin RM, Gunnell D. Validation of suicide and self-harm records in the clinical practice research datalink. </w:t>
            </w:r>
            <w:r w:rsidRPr="00F90A11">
              <w:rPr>
                <w:rFonts w:cs="Arial"/>
                <w:i/>
                <w:iCs/>
                <w:noProof/>
              </w:rPr>
              <w:t>Br J Clin Pharmacol</w:t>
            </w:r>
            <w:r w:rsidRPr="00F90A11">
              <w:rPr>
                <w:rFonts w:cs="Arial"/>
                <w:noProof/>
              </w:rPr>
              <w:t xml:space="preserve"> 2013; </w:t>
            </w:r>
            <w:r w:rsidRPr="00F90A11">
              <w:rPr>
                <w:rFonts w:cs="Arial"/>
                <w:b/>
                <w:bCs/>
                <w:noProof/>
              </w:rPr>
              <w:t>76</w:t>
            </w:r>
            <w:r w:rsidRPr="00F90A11">
              <w:rPr>
                <w:rFonts w:cs="Arial"/>
                <w:noProof/>
              </w:rPr>
              <w:t>: 145–57.</w:t>
            </w:r>
          </w:p>
          <w:p w14:paraId="29EA2F6C" w14:textId="68735550" w:rsidR="003523B9" w:rsidRPr="00CD13D5" w:rsidRDefault="00DD74C2" w:rsidP="001A69D6">
            <w:pPr>
              <w:widowControl w:val="0"/>
              <w:autoSpaceDE w:val="0"/>
              <w:autoSpaceDN w:val="0"/>
              <w:adjustRightInd w:val="0"/>
              <w:spacing w:after="120"/>
            </w:pPr>
            <w:r>
              <w:fldChar w:fldCharType="end"/>
            </w:r>
          </w:p>
        </w:tc>
      </w:tr>
      <w:tr w:rsidR="00672602" w:rsidRPr="008C65B6" w14:paraId="5659E9AF" w14:textId="77777777" w:rsidTr="001A69D6">
        <w:trPr>
          <w:cantSplit/>
        </w:trPr>
        <w:tc>
          <w:tcPr>
            <w:tcW w:w="10456" w:type="dxa"/>
            <w:shd w:val="clear" w:color="auto" w:fill="auto"/>
          </w:tcPr>
          <w:p w14:paraId="3C8EB84E" w14:textId="77777777" w:rsidR="003523B9" w:rsidRDefault="00672602" w:rsidP="001A69D6">
            <w:pPr>
              <w:pStyle w:val="Heading2"/>
            </w:pPr>
            <w:r w:rsidRPr="00CD13D5">
              <w:lastRenderedPageBreak/>
              <w:t>List of Appendices</w:t>
            </w:r>
          </w:p>
          <w:p w14:paraId="087E591E" w14:textId="77777777" w:rsidR="00D14317" w:rsidRDefault="00D14317" w:rsidP="001A69D6">
            <w:r>
              <w:t xml:space="preserve">Appendix 1: Illustrative example of how we will present our results </w:t>
            </w:r>
          </w:p>
          <w:p w14:paraId="0A108B9E" w14:textId="6BAD8777" w:rsidR="0009231E" w:rsidRDefault="00D14317" w:rsidP="001A69D6">
            <w:r>
              <w:t xml:space="preserve">Appendix 2: </w:t>
            </w:r>
            <w:r w:rsidR="0001323C">
              <w:t>Preliminary c</w:t>
            </w:r>
            <w:r w:rsidR="005C0A4D">
              <w:t>ode lists</w:t>
            </w:r>
            <w:r w:rsidR="0001323C">
              <w:t xml:space="preserve"> (all code lists will be reviewed and finalised using a consensus process)</w:t>
            </w:r>
          </w:p>
          <w:p w14:paraId="5C44CC2E" w14:textId="04118193" w:rsidR="005C0A4D" w:rsidRPr="0009231E" w:rsidRDefault="005C0A4D" w:rsidP="001A69D6"/>
        </w:tc>
      </w:tr>
    </w:tbl>
    <w:p w14:paraId="41ACCD88" w14:textId="2FEC9702" w:rsidR="00D9289D" w:rsidRPr="003523B9" w:rsidRDefault="00D9289D" w:rsidP="001A69D6">
      <w:pPr>
        <w:tabs>
          <w:tab w:val="left" w:pos="7872"/>
        </w:tabs>
      </w:pPr>
    </w:p>
    <w:sectPr w:rsidR="00D9289D" w:rsidRPr="003523B9" w:rsidSect="00113106">
      <w:headerReference w:type="default" r:id="rId13"/>
      <w:footerReference w:type="default" r:id="rId14"/>
      <w:pgSz w:w="11906" w:h="16838"/>
      <w:pgMar w:top="1134" w:right="794" w:bottom="1134"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FE109" w14:textId="77777777" w:rsidR="00F768D9" w:rsidRDefault="00F768D9" w:rsidP="00B0098B">
      <w:r>
        <w:separator/>
      </w:r>
    </w:p>
  </w:endnote>
  <w:endnote w:type="continuationSeparator" w:id="0">
    <w:p w14:paraId="0F94232E" w14:textId="77777777" w:rsidR="00F768D9" w:rsidRDefault="00F768D9" w:rsidP="00B0098B">
      <w:r>
        <w:continuationSeparator/>
      </w:r>
    </w:p>
  </w:endnote>
  <w:endnote w:type="continuationNotice" w:id="1">
    <w:p w14:paraId="11A921F0" w14:textId="77777777" w:rsidR="00F768D9" w:rsidRDefault="00F768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altName w:val="Sylfaen"/>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4AD50" w14:textId="6D42B02A" w:rsidR="0058562A" w:rsidRPr="00710816" w:rsidRDefault="0058562A" w:rsidP="00D9289D">
    <w:pPr>
      <w:pStyle w:val="Footer"/>
      <w:tabs>
        <w:tab w:val="center" w:pos="5159"/>
        <w:tab w:val="left" w:pos="6996"/>
      </w:tabs>
      <w:jc w:val="center"/>
      <w:rPr>
        <w:rFonts w:cs="Arial"/>
        <w:noProof/>
        <w:szCs w:val="20"/>
      </w:rPr>
    </w:pPr>
    <w:r w:rsidRPr="004D620B">
      <w:rPr>
        <w:rFonts w:cs="Arial"/>
        <w:szCs w:val="20"/>
      </w:rPr>
      <w:ptab w:relativeTo="margin" w:alignment="center" w:leader="none"/>
    </w:r>
    <w:r>
      <w:rPr>
        <w:rFonts w:cs="Arial"/>
        <w:szCs w:val="20"/>
      </w:rPr>
      <w:t>ISAC Protocol Application Form March 2019</w:t>
    </w:r>
    <w:r w:rsidRPr="004D620B">
      <w:rPr>
        <w:rFonts w:cs="Arial"/>
        <w:szCs w:val="20"/>
      </w:rPr>
      <w:ptab w:relativeTo="margin" w:alignment="right" w:leader="none"/>
    </w:r>
    <w:r w:rsidRPr="003523B9">
      <w:rPr>
        <w:rFonts w:cs="Arial"/>
        <w:szCs w:val="20"/>
      </w:rPr>
      <w:fldChar w:fldCharType="begin"/>
    </w:r>
    <w:r w:rsidRPr="003523B9">
      <w:rPr>
        <w:rFonts w:cs="Arial"/>
        <w:szCs w:val="20"/>
      </w:rPr>
      <w:instrText xml:space="preserve"> PAGE   \* MERGEFORMAT </w:instrText>
    </w:r>
    <w:r w:rsidRPr="003523B9">
      <w:rPr>
        <w:rFonts w:cs="Arial"/>
        <w:szCs w:val="20"/>
      </w:rPr>
      <w:fldChar w:fldCharType="separate"/>
    </w:r>
    <w:r w:rsidRPr="003523B9">
      <w:rPr>
        <w:rFonts w:cs="Arial"/>
        <w:noProof/>
        <w:szCs w:val="20"/>
      </w:rPr>
      <w:t>1</w:t>
    </w:r>
    <w:r w:rsidRPr="003523B9">
      <w:rPr>
        <w:rFonts w:cs="Arial"/>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F0F53" w14:textId="77777777" w:rsidR="00F768D9" w:rsidRDefault="00F768D9" w:rsidP="00B0098B">
      <w:r>
        <w:separator/>
      </w:r>
    </w:p>
  </w:footnote>
  <w:footnote w:type="continuationSeparator" w:id="0">
    <w:p w14:paraId="66AA0A99" w14:textId="77777777" w:rsidR="00F768D9" w:rsidRDefault="00F768D9" w:rsidP="00B0098B">
      <w:r>
        <w:continuationSeparator/>
      </w:r>
    </w:p>
  </w:footnote>
  <w:footnote w:type="continuationNotice" w:id="1">
    <w:p w14:paraId="63A96D76" w14:textId="77777777" w:rsidR="00F768D9" w:rsidRDefault="00F768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B3C58" w14:textId="7547ABC7" w:rsidR="0058562A" w:rsidRPr="0009231E" w:rsidRDefault="0058562A" w:rsidP="0009231E">
    <w:pPr>
      <w:pStyle w:val="Header"/>
      <w:spacing w:after="480"/>
      <w:rPr>
        <w:sz w:val="22"/>
        <w:szCs w:val="22"/>
      </w:rPr>
    </w:pPr>
    <w:r w:rsidRPr="00B01179">
      <w:rPr>
        <w:noProof/>
      </w:rPr>
      <w:drawing>
        <wp:inline distT="0" distB="0" distL="0" distR="0" wp14:anchorId="0B22D371" wp14:editId="0452D5D0">
          <wp:extent cx="2788920" cy="716280"/>
          <wp:effectExtent l="0" t="0" r="0" b="7620"/>
          <wp:docPr id="1111495908" name="Picture 27" descr="MHPRA_3268_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2788920" cy="716280"/>
                  </a:xfrm>
                  <a:prstGeom prst="rect">
                    <a:avLst/>
                  </a:prstGeom>
                </pic:spPr>
              </pic:pic>
            </a:graphicData>
          </a:graphic>
        </wp:inline>
      </w:drawing>
    </w:r>
    <w:r>
      <w:rPr>
        <w:sz w:val="22"/>
        <w:szCs w:val="22"/>
      </w:rPr>
      <w:t xml:space="preserve">                                            </w:t>
    </w:r>
    <w:r w:rsidRPr="00B01179">
      <w:rPr>
        <w:noProof/>
      </w:rPr>
      <w:drawing>
        <wp:inline distT="0" distB="0" distL="0" distR="0" wp14:anchorId="4087C7C5" wp14:editId="46E050F1">
          <wp:extent cx="2016269" cy="667385"/>
          <wp:effectExtent l="0" t="0" r="3175" b="0"/>
          <wp:docPr id="1531027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2016269" cy="6673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164CE6A4"/>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3767D67"/>
    <w:multiLevelType w:val="hybridMultilevel"/>
    <w:tmpl w:val="5080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772587"/>
    <w:multiLevelType w:val="hybridMultilevel"/>
    <w:tmpl w:val="84DA2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F779EF"/>
    <w:multiLevelType w:val="multilevel"/>
    <w:tmpl w:val="323C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C1B43"/>
    <w:multiLevelType w:val="hybridMultilevel"/>
    <w:tmpl w:val="1668F20A"/>
    <w:lvl w:ilvl="0" w:tplc="F056BBF8">
      <w:start w:val="1"/>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F10A11"/>
    <w:multiLevelType w:val="hybridMultilevel"/>
    <w:tmpl w:val="B972E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CB54C3"/>
    <w:multiLevelType w:val="hybridMultilevel"/>
    <w:tmpl w:val="F2B26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061994"/>
    <w:multiLevelType w:val="hybridMultilevel"/>
    <w:tmpl w:val="1602B0B2"/>
    <w:lvl w:ilvl="0" w:tplc="FEC0C78E">
      <w:start w:val="1"/>
      <w:numFmt w:val="decimal"/>
      <w:lvlText w:val="%1."/>
      <w:lvlJc w:val="left"/>
      <w:pPr>
        <w:ind w:left="360"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BA6063"/>
    <w:multiLevelType w:val="hybridMultilevel"/>
    <w:tmpl w:val="81C291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9FD40E3"/>
    <w:multiLevelType w:val="hybridMultilevel"/>
    <w:tmpl w:val="F9CC9352"/>
    <w:lvl w:ilvl="0" w:tplc="6A56014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6D5564"/>
    <w:multiLevelType w:val="hybridMultilevel"/>
    <w:tmpl w:val="8BA24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2702E2"/>
    <w:multiLevelType w:val="hybridMultilevel"/>
    <w:tmpl w:val="141CEF4C"/>
    <w:lvl w:ilvl="0" w:tplc="DC24D722">
      <w:start w:val="1"/>
      <w:numFmt w:val="upperRoman"/>
      <w:lvlText w:val="%1."/>
      <w:lvlJc w:val="righ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E3B30"/>
    <w:multiLevelType w:val="hybridMultilevel"/>
    <w:tmpl w:val="BE66FDB8"/>
    <w:lvl w:ilvl="0" w:tplc="D6C84972">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7DD0477"/>
    <w:multiLevelType w:val="hybridMultilevel"/>
    <w:tmpl w:val="CD7ECF6E"/>
    <w:lvl w:ilvl="0" w:tplc="75FA6D3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1A0A30"/>
    <w:multiLevelType w:val="hybridMultilevel"/>
    <w:tmpl w:val="363622FA"/>
    <w:lvl w:ilvl="0" w:tplc="1BD634A6">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676E0D"/>
    <w:multiLevelType w:val="hybridMultilevel"/>
    <w:tmpl w:val="85826D8A"/>
    <w:lvl w:ilvl="0" w:tplc="6A560148">
      <w:start w:val="1"/>
      <w:numFmt w:val="decimal"/>
      <w:lvlText w:val="%1."/>
      <w:lvlJc w:val="left"/>
      <w:pPr>
        <w:ind w:left="1137" w:hanging="720"/>
      </w:pPr>
      <w:rPr>
        <w:rFonts w:hint="default"/>
      </w:r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6" w15:restartNumberingAfterBreak="0">
    <w:nsid w:val="2D3170CF"/>
    <w:multiLevelType w:val="multilevel"/>
    <w:tmpl w:val="009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39005E"/>
    <w:multiLevelType w:val="hybridMultilevel"/>
    <w:tmpl w:val="58866342"/>
    <w:lvl w:ilvl="0" w:tplc="6A56014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C0713CA"/>
    <w:multiLevelType w:val="hybridMultilevel"/>
    <w:tmpl w:val="85C206DA"/>
    <w:lvl w:ilvl="0" w:tplc="B1EE7B0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A4B12"/>
    <w:multiLevelType w:val="hybridMultilevel"/>
    <w:tmpl w:val="81C291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F4D2CCA"/>
    <w:multiLevelType w:val="hybridMultilevel"/>
    <w:tmpl w:val="EF588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C22508"/>
    <w:multiLevelType w:val="hybridMultilevel"/>
    <w:tmpl w:val="67361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F3600A"/>
    <w:multiLevelType w:val="hybridMultilevel"/>
    <w:tmpl w:val="87A2C56E"/>
    <w:lvl w:ilvl="0" w:tplc="EEBAF5C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1215C8"/>
    <w:multiLevelType w:val="hybridMultilevel"/>
    <w:tmpl w:val="4008C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421788"/>
    <w:multiLevelType w:val="hybridMultilevel"/>
    <w:tmpl w:val="BD608D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317179"/>
    <w:multiLevelType w:val="hybridMultilevel"/>
    <w:tmpl w:val="35160F82"/>
    <w:lvl w:ilvl="0" w:tplc="C58660E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D779D9"/>
    <w:multiLevelType w:val="hybridMultilevel"/>
    <w:tmpl w:val="AB4ADD14"/>
    <w:lvl w:ilvl="0" w:tplc="D6C84972">
      <w:start w:val="3"/>
      <w:numFmt w:val="bullet"/>
      <w:lvlText w:val="-"/>
      <w:lvlJc w:val="left"/>
      <w:pPr>
        <w:ind w:left="360" w:hanging="360"/>
      </w:pPr>
      <w:rPr>
        <w:rFonts w:ascii="Calibri" w:eastAsiaTheme="minorHAnsi" w:hAnsi="Calibri" w:cs="Calibr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44D4F0E"/>
    <w:multiLevelType w:val="hybridMultilevel"/>
    <w:tmpl w:val="223A7F38"/>
    <w:lvl w:ilvl="0" w:tplc="0809000F">
      <w:start w:val="1"/>
      <w:numFmt w:val="decimal"/>
      <w:lvlText w:val="%1."/>
      <w:lvlJc w:val="left"/>
      <w:pPr>
        <w:ind w:left="720" w:hanging="360"/>
      </w:pPr>
    </w:lvl>
    <w:lvl w:ilvl="1" w:tplc="D7161A3E">
      <w:numFmt w:val="bullet"/>
      <w:lvlText w:val="-"/>
      <w:lvlJc w:val="left"/>
      <w:pPr>
        <w:ind w:left="1440" w:hanging="360"/>
      </w:pPr>
      <w:rPr>
        <w:rFonts w:ascii="Arial" w:eastAsia="Calibr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6B49AF"/>
    <w:multiLevelType w:val="hybridMultilevel"/>
    <w:tmpl w:val="F9524B4E"/>
    <w:lvl w:ilvl="0" w:tplc="E3746A3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8B44C4C"/>
    <w:multiLevelType w:val="hybridMultilevel"/>
    <w:tmpl w:val="785E49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8FF730B"/>
    <w:multiLevelType w:val="hybridMultilevel"/>
    <w:tmpl w:val="7F486EB0"/>
    <w:lvl w:ilvl="0" w:tplc="F056BBF8">
      <w:start w:val="1"/>
      <w:numFmt w:val="upperLetter"/>
      <w:lvlText w:val="%1."/>
      <w:lvlJc w:val="left"/>
      <w:pPr>
        <w:ind w:left="360" w:hanging="360"/>
      </w:pPr>
      <w:rPr>
        <w:rFonts w:hint="default"/>
        <w:b/>
        <w:i w:val="0"/>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99D3610"/>
    <w:multiLevelType w:val="hybridMultilevel"/>
    <w:tmpl w:val="6CF80068"/>
    <w:lvl w:ilvl="0" w:tplc="6CF0C7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9C10928"/>
    <w:multiLevelType w:val="hybridMultilevel"/>
    <w:tmpl w:val="2EE8F358"/>
    <w:lvl w:ilvl="0" w:tplc="026E7EA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4460B1"/>
    <w:multiLevelType w:val="hybridMultilevel"/>
    <w:tmpl w:val="637AA198"/>
    <w:lvl w:ilvl="0" w:tplc="DF4AA16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C9B7818"/>
    <w:multiLevelType w:val="hybridMultilevel"/>
    <w:tmpl w:val="0A025E3C"/>
    <w:lvl w:ilvl="0" w:tplc="A6186C3C">
      <w:start w:val="4"/>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263272"/>
    <w:multiLevelType w:val="hybridMultilevel"/>
    <w:tmpl w:val="448C15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CF415A"/>
    <w:multiLevelType w:val="hybridMultilevel"/>
    <w:tmpl w:val="698A3C1C"/>
    <w:lvl w:ilvl="0" w:tplc="6F048148">
      <w:start w:val="1"/>
      <w:numFmt w:val="decimal"/>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65A4A78"/>
    <w:multiLevelType w:val="hybridMultilevel"/>
    <w:tmpl w:val="6728C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850E6F"/>
    <w:multiLevelType w:val="hybridMultilevel"/>
    <w:tmpl w:val="3E049C5C"/>
    <w:lvl w:ilvl="0" w:tplc="F056BBF8">
      <w:start w:val="1"/>
      <w:numFmt w:val="upperLetter"/>
      <w:lvlText w:val="%1."/>
      <w:lvlJc w:val="left"/>
      <w:pPr>
        <w:ind w:left="720" w:hanging="360"/>
      </w:pPr>
      <w:rPr>
        <w:rFonts w:hint="default"/>
        <w:b/>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C37069"/>
    <w:multiLevelType w:val="hybridMultilevel"/>
    <w:tmpl w:val="C40CA59E"/>
    <w:lvl w:ilvl="0" w:tplc="FEC0C78E">
      <w:start w:val="1"/>
      <w:numFmt w:val="decimal"/>
      <w:lvlText w:val="%1."/>
      <w:lvlJc w:val="left"/>
      <w:pPr>
        <w:ind w:left="360" w:hanging="360"/>
      </w:pPr>
      <w:rPr>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F044D3C"/>
    <w:multiLevelType w:val="multilevel"/>
    <w:tmpl w:val="CF800004"/>
    <w:lvl w:ilvl="0">
      <w:start w:val="1"/>
      <w:numFmt w:val="decimal"/>
      <w:lvlText w:val="%1."/>
      <w:lvlJc w:val="left"/>
      <w:pPr>
        <w:ind w:left="360" w:hanging="360"/>
      </w:pPr>
      <w:rPr>
        <w:rFonts w:hint="default"/>
        <w:b/>
        <w:i w:val="0"/>
        <w:sz w:val="22"/>
        <w:szCs w:val="22"/>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7183015B"/>
    <w:multiLevelType w:val="hybridMultilevel"/>
    <w:tmpl w:val="C9AC5268"/>
    <w:lvl w:ilvl="0" w:tplc="D6C84972">
      <w:start w:val="3"/>
      <w:numFmt w:val="bullet"/>
      <w:lvlText w:val="-"/>
      <w:lvlJc w:val="left"/>
      <w:pPr>
        <w:ind w:left="360" w:hanging="360"/>
      </w:pPr>
      <w:rPr>
        <w:rFonts w:ascii="Calibri" w:eastAsiaTheme="minorHAnsi" w:hAnsi="Calibri" w:cs="Calibri"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19F3B38"/>
    <w:multiLevelType w:val="hybridMultilevel"/>
    <w:tmpl w:val="6C82258C"/>
    <w:lvl w:ilvl="0" w:tplc="6A56014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92297F"/>
    <w:multiLevelType w:val="hybridMultilevel"/>
    <w:tmpl w:val="46AC7FD4"/>
    <w:lvl w:ilvl="0" w:tplc="D6C84972">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8FF28A8"/>
    <w:multiLevelType w:val="hybridMultilevel"/>
    <w:tmpl w:val="03EE01A0"/>
    <w:lvl w:ilvl="0" w:tplc="843C97C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25EB2"/>
    <w:multiLevelType w:val="hybridMultilevel"/>
    <w:tmpl w:val="5DDA08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C061A3"/>
    <w:multiLevelType w:val="hybridMultilevel"/>
    <w:tmpl w:val="0BF4E3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7EC174F5"/>
    <w:multiLevelType w:val="hybridMultilevel"/>
    <w:tmpl w:val="4D5C55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38"/>
  </w:num>
  <w:num w:numId="3">
    <w:abstractNumId w:val="34"/>
  </w:num>
  <w:num w:numId="4">
    <w:abstractNumId w:val="35"/>
  </w:num>
  <w:num w:numId="5">
    <w:abstractNumId w:val="6"/>
  </w:num>
  <w:num w:numId="6">
    <w:abstractNumId w:val="39"/>
  </w:num>
  <w:num w:numId="7">
    <w:abstractNumId w:val="7"/>
  </w:num>
  <w:num w:numId="8">
    <w:abstractNumId w:val="30"/>
  </w:num>
  <w:num w:numId="9">
    <w:abstractNumId w:val="4"/>
  </w:num>
  <w:num w:numId="10">
    <w:abstractNumId w:val="0"/>
  </w:num>
  <w:num w:numId="11">
    <w:abstractNumId w:val="40"/>
  </w:num>
  <w:num w:numId="12">
    <w:abstractNumId w:val="11"/>
  </w:num>
  <w:num w:numId="13">
    <w:abstractNumId w:val="45"/>
  </w:num>
  <w:num w:numId="14">
    <w:abstractNumId w:val="47"/>
  </w:num>
  <w:num w:numId="15">
    <w:abstractNumId w:val="1"/>
  </w:num>
  <w:num w:numId="16">
    <w:abstractNumId w:val="20"/>
  </w:num>
  <w:num w:numId="17">
    <w:abstractNumId w:val="37"/>
  </w:num>
  <w:num w:numId="18">
    <w:abstractNumId w:val="3"/>
  </w:num>
  <w:num w:numId="19">
    <w:abstractNumId w:val="42"/>
  </w:num>
  <w:num w:numId="20">
    <w:abstractNumId w:val="9"/>
  </w:num>
  <w:num w:numId="21">
    <w:abstractNumId w:val="17"/>
  </w:num>
  <w:num w:numId="22">
    <w:abstractNumId w:val="15"/>
  </w:num>
  <w:num w:numId="23">
    <w:abstractNumId w:val="8"/>
  </w:num>
  <w:num w:numId="24">
    <w:abstractNumId w:val="19"/>
  </w:num>
  <w:num w:numId="25">
    <w:abstractNumId w:val="26"/>
  </w:num>
  <w:num w:numId="26">
    <w:abstractNumId w:val="43"/>
  </w:num>
  <w:num w:numId="27">
    <w:abstractNumId w:val="12"/>
  </w:num>
  <w:num w:numId="28">
    <w:abstractNumId w:val="41"/>
  </w:num>
  <w:num w:numId="29">
    <w:abstractNumId w:val="23"/>
  </w:num>
  <w:num w:numId="30">
    <w:abstractNumId w:val="46"/>
  </w:num>
  <w:num w:numId="31">
    <w:abstractNumId w:val="29"/>
  </w:num>
  <w:num w:numId="32">
    <w:abstractNumId w:val="31"/>
  </w:num>
  <w:num w:numId="33">
    <w:abstractNumId w:val="28"/>
  </w:num>
  <w:num w:numId="34">
    <w:abstractNumId w:val="16"/>
  </w:num>
  <w:num w:numId="35">
    <w:abstractNumId w:val="13"/>
  </w:num>
  <w:num w:numId="36">
    <w:abstractNumId w:val="22"/>
  </w:num>
  <w:num w:numId="37">
    <w:abstractNumId w:val="5"/>
  </w:num>
  <w:num w:numId="38">
    <w:abstractNumId w:val="33"/>
  </w:num>
  <w:num w:numId="39">
    <w:abstractNumId w:val="25"/>
  </w:num>
  <w:num w:numId="40">
    <w:abstractNumId w:val="10"/>
  </w:num>
  <w:num w:numId="41">
    <w:abstractNumId w:val="14"/>
  </w:num>
  <w:num w:numId="42">
    <w:abstractNumId w:val="21"/>
  </w:num>
  <w:num w:numId="43">
    <w:abstractNumId w:val="2"/>
  </w:num>
  <w:num w:numId="44">
    <w:abstractNumId w:val="18"/>
  </w:num>
  <w:num w:numId="45">
    <w:abstractNumId w:val="32"/>
  </w:num>
  <w:num w:numId="46">
    <w:abstractNumId w:val="44"/>
  </w:num>
  <w:num w:numId="47">
    <w:abstractNumId w:val="2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TY1NTMyMDYzNLFU0lEKTi0uzszPAykwqgUAdoK7UCwAAAA="/>
  </w:docVars>
  <w:rsids>
    <w:rsidRoot w:val="00672602"/>
    <w:rsid w:val="0000173C"/>
    <w:rsid w:val="000043A0"/>
    <w:rsid w:val="00010952"/>
    <w:rsid w:val="00012B19"/>
    <w:rsid w:val="0001323C"/>
    <w:rsid w:val="00013C20"/>
    <w:rsid w:val="00014359"/>
    <w:rsid w:val="0002140A"/>
    <w:rsid w:val="00022AC8"/>
    <w:rsid w:val="00026A59"/>
    <w:rsid w:val="000278AA"/>
    <w:rsid w:val="00031154"/>
    <w:rsid w:val="00032ABF"/>
    <w:rsid w:val="000350BB"/>
    <w:rsid w:val="00037596"/>
    <w:rsid w:val="000408E6"/>
    <w:rsid w:val="0004177F"/>
    <w:rsid w:val="000442D8"/>
    <w:rsid w:val="0004433A"/>
    <w:rsid w:val="000448E1"/>
    <w:rsid w:val="00046A8B"/>
    <w:rsid w:val="000578C2"/>
    <w:rsid w:val="000632E7"/>
    <w:rsid w:val="00063A1A"/>
    <w:rsid w:val="00063B81"/>
    <w:rsid w:val="00064252"/>
    <w:rsid w:val="00064263"/>
    <w:rsid w:val="00065A1D"/>
    <w:rsid w:val="00067CCC"/>
    <w:rsid w:val="00067DB5"/>
    <w:rsid w:val="00070452"/>
    <w:rsid w:val="00071212"/>
    <w:rsid w:val="00072853"/>
    <w:rsid w:val="0007454A"/>
    <w:rsid w:val="00084883"/>
    <w:rsid w:val="00084A5B"/>
    <w:rsid w:val="00085ADB"/>
    <w:rsid w:val="00090146"/>
    <w:rsid w:val="00090B54"/>
    <w:rsid w:val="0009231E"/>
    <w:rsid w:val="00095306"/>
    <w:rsid w:val="00097476"/>
    <w:rsid w:val="000A3200"/>
    <w:rsid w:val="000A6112"/>
    <w:rsid w:val="000B1F07"/>
    <w:rsid w:val="000B368D"/>
    <w:rsid w:val="000B6E04"/>
    <w:rsid w:val="000B7990"/>
    <w:rsid w:val="000C1879"/>
    <w:rsid w:val="000C6EF7"/>
    <w:rsid w:val="000C7BDF"/>
    <w:rsid w:val="000D6A95"/>
    <w:rsid w:val="000D6F31"/>
    <w:rsid w:val="000D7592"/>
    <w:rsid w:val="000D77EB"/>
    <w:rsid w:val="000E0AE1"/>
    <w:rsid w:val="000E2E28"/>
    <w:rsid w:val="000E4A07"/>
    <w:rsid w:val="000F1740"/>
    <w:rsid w:val="000F6467"/>
    <w:rsid w:val="000F6874"/>
    <w:rsid w:val="00100D0E"/>
    <w:rsid w:val="00100F73"/>
    <w:rsid w:val="00103732"/>
    <w:rsid w:val="00105958"/>
    <w:rsid w:val="00106369"/>
    <w:rsid w:val="001105F6"/>
    <w:rsid w:val="00113106"/>
    <w:rsid w:val="00113284"/>
    <w:rsid w:val="00114036"/>
    <w:rsid w:val="00114285"/>
    <w:rsid w:val="0011582A"/>
    <w:rsid w:val="00116AB2"/>
    <w:rsid w:val="00121197"/>
    <w:rsid w:val="00121956"/>
    <w:rsid w:val="00122F36"/>
    <w:rsid w:val="00124581"/>
    <w:rsid w:val="00127AA7"/>
    <w:rsid w:val="00130F2E"/>
    <w:rsid w:val="0013237F"/>
    <w:rsid w:val="001338C7"/>
    <w:rsid w:val="0013440B"/>
    <w:rsid w:val="00135351"/>
    <w:rsid w:val="00136247"/>
    <w:rsid w:val="001402CD"/>
    <w:rsid w:val="001409CC"/>
    <w:rsid w:val="0014174D"/>
    <w:rsid w:val="001422E3"/>
    <w:rsid w:val="00144924"/>
    <w:rsid w:val="00145447"/>
    <w:rsid w:val="0014609D"/>
    <w:rsid w:val="00147CEA"/>
    <w:rsid w:val="00147FD1"/>
    <w:rsid w:val="00151F47"/>
    <w:rsid w:val="00154B10"/>
    <w:rsid w:val="001561CB"/>
    <w:rsid w:val="001605AD"/>
    <w:rsid w:val="00160FED"/>
    <w:rsid w:val="00163D7E"/>
    <w:rsid w:val="00164EF3"/>
    <w:rsid w:val="00165065"/>
    <w:rsid w:val="0016537C"/>
    <w:rsid w:val="00165D3D"/>
    <w:rsid w:val="00167437"/>
    <w:rsid w:val="00171033"/>
    <w:rsid w:val="00174259"/>
    <w:rsid w:val="00174A94"/>
    <w:rsid w:val="00180FA4"/>
    <w:rsid w:val="00181530"/>
    <w:rsid w:val="001858AB"/>
    <w:rsid w:val="00186639"/>
    <w:rsid w:val="001873C6"/>
    <w:rsid w:val="00187C2F"/>
    <w:rsid w:val="00190322"/>
    <w:rsid w:val="001906CF"/>
    <w:rsid w:val="00190DF1"/>
    <w:rsid w:val="0019325E"/>
    <w:rsid w:val="00194050"/>
    <w:rsid w:val="00195446"/>
    <w:rsid w:val="00195883"/>
    <w:rsid w:val="0019681C"/>
    <w:rsid w:val="00197B66"/>
    <w:rsid w:val="001A16DB"/>
    <w:rsid w:val="001A175C"/>
    <w:rsid w:val="001A28E2"/>
    <w:rsid w:val="001A4223"/>
    <w:rsid w:val="001A4E29"/>
    <w:rsid w:val="001A5C2A"/>
    <w:rsid w:val="001A5CB7"/>
    <w:rsid w:val="001A69D6"/>
    <w:rsid w:val="001A7851"/>
    <w:rsid w:val="001A7F1D"/>
    <w:rsid w:val="001B0D56"/>
    <w:rsid w:val="001B7ED4"/>
    <w:rsid w:val="001C0C5E"/>
    <w:rsid w:val="001C2042"/>
    <w:rsid w:val="001C26F0"/>
    <w:rsid w:val="001C2B2E"/>
    <w:rsid w:val="001C4866"/>
    <w:rsid w:val="001C642A"/>
    <w:rsid w:val="001C7662"/>
    <w:rsid w:val="001D03DB"/>
    <w:rsid w:val="001D0D14"/>
    <w:rsid w:val="001D33A1"/>
    <w:rsid w:val="001D4B59"/>
    <w:rsid w:val="001D4F1A"/>
    <w:rsid w:val="001D4FD0"/>
    <w:rsid w:val="001E05DC"/>
    <w:rsid w:val="001E0DB0"/>
    <w:rsid w:val="001E18F2"/>
    <w:rsid w:val="001E3779"/>
    <w:rsid w:val="001E40C3"/>
    <w:rsid w:val="001E441A"/>
    <w:rsid w:val="001E4AC2"/>
    <w:rsid w:val="001F07B4"/>
    <w:rsid w:val="001F5735"/>
    <w:rsid w:val="001F6738"/>
    <w:rsid w:val="00202908"/>
    <w:rsid w:val="00202F51"/>
    <w:rsid w:val="002031C8"/>
    <w:rsid w:val="00203CED"/>
    <w:rsid w:val="002042A8"/>
    <w:rsid w:val="002047D9"/>
    <w:rsid w:val="00206238"/>
    <w:rsid w:val="00206CB4"/>
    <w:rsid w:val="0021230C"/>
    <w:rsid w:val="00212F56"/>
    <w:rsid w:val="00217C50"/>
    <w:rsid w:val="00226E60"/>
    <w:rsid w:val="00227449"/>
    <w:rsid w:val="00227689"/>
    <w:rsid w:val="00227DE6"/>
    <w:rsid w:val="002317B5"/>
    <w:rsid w:val="0023495F"/>
    <w:rsid w:val="002349E3"/>
    <w:rsid w:val="00234EA7"/>
    <w:rsid w:val="002368C3"/>
    <w:rsid w:val="00237741"/>
    <w:rsid w:val="00237F7F"/>
    <w:rsid w:val="002408A4"/>
    <w:rsid w:val="00243238"/>
    <w:rsid w:val="002461B7"/>
    <w:rsid w:val="00250DCA"/>
    <w:rsid w:val="00252364"/>
    <w:rsid w:val="00252C20"/>
    <w:rsid w:val="00252FC2"/>
    <w:rsid w:val="002534C7"/>
    <w:rsid w:val="00253C18"/>
    <w:rsid w:val="00253DFA"/>
    <w:rsid w:val="00255142"/>
    <w:rsid w:val="00256EA0"/>
    <w:rsid w:val="0025727A"/>
    <w:rsid w:val="002620C2"/>
    <w:rsid w:val="00262F72"/>
    <w:rsid w:val="002637AF"/>
    <w:rsid w:val="00263E0E"/>
    <w:rsid w:val="002712AE"/>
    <w:rsid w:val="00271DE7"/>
    <w:rsid w:val="002759C6"/>
    <w:rsid w:val="00275AB3"/>
    <w:rsid w:val="0028157C"/>
    <w:rsid w:val="002834CA"/>
    <w:rsid w:val="00292A86"/>
    <w:rsid w:val="00296883"/>
    <w:rsid w:val="002A2AC9"/>
    <w:rsid w:val="002A2E11"/>
    <w:rsid w:val="002A3E12"/>
    <w:rsid w:val="002A5C61"/>
    <w:rsid w:val="002A680C"/>
    <w:rsid w:val="002A7A49"/>
    <w:rsid w:val="002B084F"/>
    <w:rsid w:val="002B5F39"/>
    <w:rsid w:val="002C2356"/>
    <w:rsid w:val="002C2894"/>
    <w:rsid w:val="002C4928"/>
    <w:rsid w:val="002C6924"/>
    <w:rsid w:val="002C77B9"/>
    <w:rsid w:val="002D1101"/>
    <w:rsid w:val="002D19CF"/>
    <w:rsid w:val="002D3098"/>
    <w:rsid w:val="002D44B6"/>
    <w:rsid w:val="002D49C3"/>
    <w:rsid w:val="002D6180"/>
    <w:rsid w:val="002E4212"/>
    <w:rsid w:val="002E4224"/>
    <w:rsid w:val="002E4725"/>
    <w:rsid w:val="002E4806"/>
    <w:rsid w:val="002E69B3"/>
    <w:rsid w:val="002E76E1"/>
    <w:rsid w:val="002F1730"/>
    <w:rsid w:val="002F1936"/>
    <w:rsid w:val="002F41CB"/>
    <w:rsid w:val="002F4B78"/>
    <w:rsid w:val="002F667C"/>
    <w:rsid w:val="002F6811"/>
    <w:rsid w:val="002F6B42"/>
    <w:rsid w:val="002F74CE"/>
    <w:rsid w:val="002F75ED"/>
    <w:rsid w:val="002F7D71"/>
    <w:rsid w:val="00301532"/>
    <w:rsid w:val="003017EA"/>
    <w:rsid w:val="00301A10"/>
    <w:rsid w:val="00304BCB"/>
    <w:rsid w:val="0030664C"/>
    <w:rsid w:val="0030775C"/>
    <w:rsid w:val="003104F0"/>
    <w:rsid w:val="00310A70"/>
    <w:rsid w:val="003112CC"/>
    <w:rsid w:val="0031319B"/>
    <w:rsid w:val="0032168C"/>
    <w:rsid w:val="00323A0B"/>
    <w:rsid w:val="00330BB0"/>
    <w:rsid w:val="00331D22"/>
    <w:rsid w:val="00336BF4"/>
    <w:rsid w:val="0033750D"/>
    <w:rsid w:val="003401CF"/>
    <w:rsid w:val="0034193A"/>
    <w:rsid w:val="00345934"/>
    <w:rsid w:val="00347C6B"/>
    <w:rsid w:val="003507A0"/>
    <w:rsid w:val="003511C2"/>
    <w:rsid w:val="003523B9"/>
    <w:rsid w:val="003524D8"/>
    <w:rsid w:val="003547B4"/>
    <w:rsid w:val="003574D2"/>
    <w:rsid w:val="0035767E"/>
    <w:rsid w:val="00366BC8"/>
    <w:rsid w:val="00370847"/>
    <w:rsid w:val="003709A2"/>
    <w:rsid w:val="00372984"/>
    <w:rsid w:val="00372BAA"/>
    <w:rsid w:val="00373A7E"/>
    <w:rsid w:val="00373DB5"/>
    <w:rsid w:val="003753F2"/>
    <w:rsid w:val="00375EF4"/>
    <w:rsid w:val="003768FC"/>
    <w:rsid w:val="00377586"/>
    <w:rsid w:val="0038025D"/>
    <w:rsid w:val="0038205B"/>
    <w:rsid w:val="003835BC"/>
    <w:rsid w:val="00384FAC"/>
    <w:rsid w:val="00385CD5"/>
    <w:rsid w:val="00385D8F"/>
    <w:rsid w:val="00386DA2"/>
    <w:rsid w:val="00393664"/>
    <w:rsid w:val="00393B93"/>
    <w:rsid w:val="00396E54"/>
    <w:rsid w:val="0039772C"/>
    <w:rsid w:val="003A0F30"/>
    <w:rsid w:val="003A3469"/>
    <w:rsid w:val="003A582C"/>
    <w:rsid w:val="003B0901"/>
    <w:rsid w:val="003B2785"/>
    <w:rsid w:val="003B30DA"/>
    <w:rsid w:val="003B69E5"/>
    <w:rsid w:val="003C0F65"/>
    <w:rsid w:val="003C34DB"/>
    <w:rsid w:val="003C5B8E"/>
    <w:rsid w:val="003C74AC"/>
    <w:rsid w:val="003D06FA"/>
    <w:rsid w:val="003D259F"/>
    <w:rsid w:val="003D2842"/>
    <w:rsid w:val="003D53D9"/>
    <w:rsid w:val="003D6D2B"/>
    <w:rsid w:val="003E017D"/>
    <w:rsid w:val="003E074A"/>
    <w:rsid w:val="003E558A"/>
    <w:rsid w:val="003E677B"/>
    <w:rsid w:val="003F0C1E"/>
    <w:rsid w:val="003F3BF2"/>
    <w:rsid w:val="003F5D0C"/>
    <w:rsid w:val="00400349"/>
    <w:rsid w:val="00402A1F"/>
    <w:rsid w:val="00402D99"/>
    <w:rsid w:val="00403AE2"/>
    <w:rsid w:val="00404913"/>
    <w:rsid w:val="00406969"/>
    <w:rsid w:val="00406EA1"/>
    <w:rsid w:val="00411D39"/>
    <w:rsid w:val="00413DD8"/>
    <w:rsid w:val="00421028"/>
    <w:rsid w:val="00424072"/>
    <w:rsid w:val="00424E08"/>
    <w:rsid w:val="00432BBB"/>
    <w:rsid w:val="004334CC"/>
    <w:rsid w:val="004336DF"/>
    <w:rsid w:val="004341EF"/>
    <w:rsid w:val="00434605"/>
    <w:rsid w:val="004357D6"/>
    <w:rsid w:val="00436F34"/>
    <w:rsid w:val="004375CD"/>
    <w:rsid w:val="00444B9B"/>
    <w:rsid w:val="004473D9"/>
    <w:rsid w:val="00450B12"/>
    <w:rsid w:val="00452512"/>
    <w:rsid w:val="00455B5F"/>
    <w:rsid w:val="00455E6E"/>
    <w:rsid w:val="00456F71"/>
    <w:rsid w:val="00457C0F"/>
    <w:rsid w:val="00460A13"/>
    <w:rsid w:val="00460FE7"/>
    <w:rsid w:val="00461D65"/>
    <w:rsid w:val="00462447"/>
    <w:rsid w:val="00465BA5"/>
    <w:rsid w:val="004676AE"/>
    <w:rsid w:val="0047045F"/>
    <w:rsid w:val="0047067C"/>
    <w:rsid w:val="00470E92"/>
    <w:rsid w:val="00471EC9"/>
    <w:rsid w:val="00473342"/>
    <w:rsid w:val="004747AF"/>
    <w:rsid w:val="00475447"/>
    <w:rsid w:val="004816CF"/>
    <w:rsid w:val="00485212"/>
    <w:rsid w:val="00485A6B"/>
    <w:rsid w:val="00485ADA"/>
    <w:rsid w:val="004863A0"/>
    <w:rsid w:val="004914DD"/>
    <w:rsid w:val="00491542"/>
    <w:rsid w:val="004917CD"/>
    <w:rsid w:val="0049644F"/>
    <w:rsid w:val="004A0855"/>
    <w:rsid w:val="004A2E13"/>
    <w:rsid w:val="004A415D"/>
    <w:rsid w:val="004A688F"/>
    <w:rsid w:val="004B2FEB"/>
    <w:rsid w:val="004B4D34"/>
    <w:rsid w:val="004B503C"/>
    <w:rsid w:val="004B562E"/>
    <w:rsid w:val="004B7185"/>
    <w:rsid w:val="004C2A5F"/>
    <w:rsid w:val="004C4435"/>
    <w:rsid w:val="004C6124"/>
    <w:rsid w:val="004D0676"/>
    <w:rsid w:val="004D0E4E"/>
    <w:rsid w:val="004D1175"/>
    <w:rsid w:val="004D1303"/>
    <w:rsid w:val="004D21E8"/>
    <w:rsid w:val="004D2616"/>
    <w:rsid w:val="004D43BD"/>
    <w:rsid w:val="004D620B"/>
    <w:rsid w:val="004D7ED1"/>
    <w:rsid w:val="004E0A87"/>
    <w:rsid w:val="004E0AA5"/>
    <w:rsid w:val="004E0D68"/>
    <w:rsid w:val="004E202D"/>
    <w:rsid w:val="004E32BD"/>
    <w:rsid w:val="004F30F5"/>
    <w:rsid w:val="004F4727"/>
    <w:rsid w:val="005008F2"/>
    <w:rsid w:val="00502997"/>
    <w:rsid w:val="005032D4"/>
    <w:rsid w:val="005050D5"/>
    <w:rsid w:val="005066F6"/>
    <w:rsid w:val="0050766B"/>
    <w:rsid w:val="00511B41"/>
    <w:rsid w:val="00511D98"/>
    <w:rsid w:val="00511EB8"/>
    <w:rsid w:val="005156EC"/>
    <w:rsid w:val="00515708"/>
    <w:rsid w:val="00520142"/>
    <w:rsid w:val="00522B03"/>
    <w:rsid w:val="00525B8F"/>
    <w:rsid w:val="00527BEB"/>
    <w:rsid w:val="00527F12"/>
    <w:rsid w:val="00532805"/>
    <w:rsid w:val="00532DFA"/>
    <w:rsid w:val="005349C3"/>
    <w:rsid w:val="0053652B"/>
    <w:rsid w:val="005472DA"/>
    <w:rsid w:val="00547F5E"/>
    <w:rsid w:val="00553393"/>
    <w:rsid w:val="00553714"/>
    <w:rsid w:val="0055534A"/>
    <w:rsid w:val="0055750A"/>
    <w:rsid w:val="00560AB2"/>
    <w:rsid w:val="00560EFE"/>
    <w:rsid w:val="0056143F"/>
    <w:rsid w:val="00563862"/>
    <w:rsid w:val="00565F81"/>
    <w:rsid w:val="00566AF8"/>
    <w:rsid w:val="00567B4C"/>
    <w:rsid w:val="005709C0"/>
    <w:rsid w:val="00571086"/>
    <w:rsid w:val="00573569"/>
    <w:rsid w:val="00573FA7"/>
    <w:rsid w:val="00575248"/>
    <w:rsid w:val="00580055"/>
    <w:rsid w:val="005808D5"/>
    <w:rsid w:val="00580B25"/>
    <w:rsid w:val="00582675"/>
    <w:rsid w:val="00582C26"/>
    <w:rsid w:val="00583311"/>
    <w:rsid w:val="0058562A"/>
    <w:rsid w:val="00587114"/>
    <w:rsid w:val="0058767E"/>
    <w:rsid w:val="005931B2"/>
    <w:rsid w:val="005939AA"/>
    <w:rsid w:val="00597A9B"/>
    <w:rsid w:val="005A0DD2"/>
    <w:rsid w:val="005A3010"/>
    <w:rsid w:val="005A6417"/>
    <w:rsid w:val="005A7692"/>
    <w:rsid w:val="005B13CE"/>
    <w:rsid w:val="005B17C5"/>
    <w:rsid w:val="005B3426"/>
    <w:rsid w:val="005B34DF"/>
    <w:rsid w:val="005B65E7"/>
    <w:rsid w:val="005B6A20"/>
    <w:rsid w:val="005B6E36"/>
    <w:rsid w:val="005C0A4D"/>
    <w:rsid w:val="005C3B45"/>
    <w:rsid w:val="005C5757"/>
    <w:rsid w:val="005C73A6"/>
    <w:rsid w:val="005D255B"/>
    <w:rsid w:val="005D28AB"/>
    <w:rsid w:val="005D28ED"/>
    <w:rsid w:val="005D29E5"/>
    <w:rsid w:val="005D2DF4"/>
    <w:rsid w:val="005D5360"/>
    <w:rsid w:val="005D6F84"/>
    <w:rsid w:val="005D79F9"/>
    <w:rsid w:val="005E00D8"/>
    <w:rsid w:val="005E0D4E"/>
    <w:rsid w:val="005E42C9"/>
    <w:rsid w:val="005E5E63"/>
    <w:rsid w:val="005F2C48"/>
    <w:rsid w:val="005F2FB5"/>
    <w:rsid w:val="005F2FF9"/>
    <w:rsid w:val="005F32B1"/>
    <w:rsid w:val="005F477B"/>
    <w:rsid w:val="005F55A1"/>
    <w:rsid w:val="005F5C0D"/>
    <w:rsid w:val="005F72CA"/>
    <w:rsid w:val="005F77BF"/>
    <w:rsid w:val="006042B1"/>
    <w:rsid w:val="0060642E"/>
    <w:rsid w:val="00610DBE"/>
    <w:rsid w:val="00613310"/>
    <w:rsid w:val="00616109"/>
    <w:rsid w:val="00617291"/>
    <w:rsid w:val="00622DFA"/>
    <w:rsid w:val="00632CC2"/>
    <w:rsid w:val="00634B43"/>
    <w:rsid w:val="00635658"/>
    <w:rsid w:val="00637F04"/>
    <w:rsid w:val="00642784"/>
    <w:rsid w:val="00642D3E"/>
    <w:rsid w:val="00650FF6"/>
    <w:rsid w:val="00651034"/>
    <w:rsid w:val="00656E11"/>
    <w:rsid w:val="006570AA"/>
    <w:rsid w:val="006578AA"/>
    <w:rsid w:val="00657CF6"/>
    <w:rsid w:val="00660692"/>
    <w:rsid w:val="00661E7B"/>
    <w:rsid w:val="0066217A"/>
    <w:rsid w:val="00663F99"/>
    <w:rsid w:val="006649BA"/>
    <w:rsid w:val="006702E8"/>
    <w:rsid w:val="006715B2"/>
    <w:rsid w:val="00671BFA"/>
    <w:rsid w:val="00672602"/>
    <w:rsid w:val="006729A6"/>
    <w:rsid w:val="00673DB8"/>
    <w:rsid w:val="0067608B"/>
    <w:rsid w:val="00681575"/>
    <w:rsid w:val="00681615"/>
    <w:rsid w:val="0068195D"/>
    <w:rsid w:val="006825E8"/>
    <w:rsid w:val="00686F1E"/>
    <w:rsid w:val="00691365"/>
    <w:rsid w:val="006913DA"/>
    <w:rsid w:val="0069502D"/>
    <w:rsid w:val="00696EA2"/>
    <w:rsid w:val="006A304F"/>
    <w:rsid w:val="006A3711"/>
    <w:rsid w:val="006A5F47"/>
    <w:rsid w:val="006A749C"/>
    <w:rsid w:val="006B0FA0"/>
    <w:rsid w:val="006B325F"/>
    <w:rsid w:val="006B4380"/>
    <w:rsid w:val="006B45FC"/>
    <w:rsid w:val="006B5AC8"/>
    <w:rsid w:val="006B7059"/>
    <w:rsid w:val="006C14D5"/>
    <w:rsid w:val="006C37DB"/>
    <w:rsid w:val="006C42DA"/>
    <w:rsid w:val="006C4DC9"/>
    <w:rsid w:val="006C5081"/>
    <w:rsid w:val="006D0578"/>
    <w:rsid w:val="006D3A2F"/>
    <w:rsid w:val="006D3E5B"/>
    <w:rsid w:val="006D74DD"/>
    <w:rsid w:val="006D76E1"/>
    <w:rsid w:val="006E04F6"/>
    <w:rsid w:val="006E5232"/>
    <w:rsid w:val="006E7980"/>
    <w:rsid w:val="006F1C5F"/>
    <w:rsid w:val="006F42FC"/>
    <w:rsid w:val="006F4F4C"/>
    <w:rsid w:val="006F7779"/>
    <w:rsid w:val="006F7D66"/>
    <w:rsid w:val="00701992"/>
    <w:rsid w:val="00705898"/>
    <w:rsid w:val="00710035"/>
    <w:rsid w:val="00710703"/>
    <w:rsid w:val="007114B5"/>
    <w:rsid w:val="00712648"/>
    <w:rsid w:val="007211A9"/>
    <w:rsid w:val="00722A6B"/>
    <w:rsid w:val="00723C77"/>
    <w:rsid w:val="00724964"/>
    <w:rsid w:val="00726CCD"/>
    <w:rsid w:val="00726EE0"/>
    <w:rsid w:val="00734044"/>
    <w:rsid w:val="00734DE1"/>
    <w:rsid w:val="00734F97"/>
    <w:rsid w:val="00736586"/>
    <w:rsid w:val="00740D98"/>
    <w:rsid w:val="007411BE"/>
    <w:rsid w:val="00742516"/>
    <w:rsid w:val="00746262"/>
    <w:rsid w:val="00746D70"/>
    <w:rsid w:val="00750CFD"/>
    <w:rsid w:val="00750EA8"/>
    <w:rsid w:val="007529CF"/>
    <w:rsid w:val="00753A03"/>
    <w:rsid w:val="0075493D"/>
    <w:rsid w:val="007568C3"/>
    <w:rsid w:val="007574E0"/>
    <w:rsid w:val="0076241C"/>
    <w:rsid w:val="0076311F"/>
    <w:rsid w:val="0076713C"/>
    <w:rsid w:val="0076713F"/>
    <w:rsid w:val="00767471"/>
    <w:rsid w:val="007705B9"/>
    <w:rsid w:val="0077109E"/>
    <w:rsid w:val="0077117F"/>
    <w:rsid w:val="00773732"/>
    <w:rsid w:val="00774685"/>
    <w:rsid w:val="007767F3"/>
    <w:rsid w:val="007777E0"/>
    <w:rsid w:val="00777E4A"/>
    <w:rsid w:val="00781A1D"/>
    <w:rsid w:val="0078602C"/>
    <w:rsid w:val="007862A3"/>
    <w:rsid w:val="007863B8"/>
    <w:rsid w:val="00786E14"/>
    <w:rsid w:val="00787171"/>
    <w:rsid w:val="00787E1E"/>
    <w:rsid w:val="00790BAA"/>
    <w:rsid w:val="00790CC2"/>
    <w:rsid w:val="00792019"/>
    <w:rsid w:val="00792C48"/>
    <w:rsid w:val="007949FA"/>
    <w:rsid w:val="00794F63"/>
    <w:rsid w:val="007A0330"/>
    <w:rsid w:val="007A1A7B"/>
    <w:rsid w:val="007A3B21"/>
    <w:rsid w:val="007A65CB"/>
    <w:rsid w:val="007A70C5"/>
    <w:rsid w:val="007A77DA"/>
    <w:rsid w:val="007B3A6B"/>
    <w:rsid w:val="007B4771"/>
    <w:rsid w:val="007B4FCC"/>
    <w:rsid w:val="007B64A0"/>
    <w:rsid w:val="007B7F5F"/>
    <w:rsid w:val="007C19FE"/>
    <w:rsid w:val="007C1BD6"/>
    <w:rsid w:val="007C2CD5"/>
    <w:rsid w:val="007C6B86"/>
    <w:rsid w:val="007D5C9B"/>
    <w:rsid w:val="007D68FC"/>
    <w:rsid w:val="007E232E"/>
    <w:rsid w:val="007F4113"/>
    <w:rsid w:val="007F41D1"/>
    <w:rsid w:val="007F4B3F"/>
    <w:rsid w:val="007F768A"/>
    <w:rsid w:val="00800C57"/>
    <w:rsid w:val="0080142B"/>
    <w:rsid w:val="0080347D"/>
    <w:rsid w:val="00804A89"/>
    <w:rsid w:val="008072B6"/>
    <w:rsid w:val="00812EDA"/>
    <w:rsid w:val="00824503"/>
    <w:rsid w:val="00825B6C"/>
    <w:rsid w:val="008262C8"/>
    <w:rsid w:val="00826AB7"/>
    <w:rsid w:val="008322E4"/>
    <w:rsid w:val="0083285C"/>
    <w:rsid w:val="00833C22"/>
    <w:rsid w:val="00836A2D"/>
    <w:rsid w:val="0083771B"/>
    <w:rsid w:val="00841B50"/>
    <w:rsid w:val="008420D8"/>
    <w:rsid w:val="00845332"/>
    <w:rsid w:val="00846220"/>
    <w:rsid w:val="0085036F"/>
    <w:rsid w:val="00851299"/>
    <w:rsid w:val="00854786"/>
    <w:rsid w:val="008547F5"/>
    <w:rsid w:val="00855599"/>
    <w:rsid w:val="0085622A"/>
    <w:rsid w:val="00856A6F"/>
    <w:rsid w:val="008577F2"/>
    <w:rsid w:val="0085784C"/>
    <w:rsid w:val="008630E1"/>
    <w:rsid w:val="00863D23"/>
    <w:rsid w:val="00867B09"/>
    <w:rsid w:val="00867D62"/>
    <w:rsid w:val="00870196"/>
    <w:rsid w:val="008712E4"/>
    <w:rsid w:val="00872014"/>
    <w:rsid w:val="00874B96"/>
    <w:rsid w:val="00874EF6"/>
    <w:rsid w:val="00875019"/>
    <w:rsid w:val="00875A65"/>
    <w:rsid w:val="00882CF1"/>
    <w:rsid w:val="00883999"/>
    <w:rsid w:val="00885AFC"/>
    <w:rsid w:val="008905EA"/>
    <w:rsid w:val="00890F2F"/>
    <w:rsid w:val="00892CE7"/>
    <w:rsid w:val="00893910"/>
    <w:rsid w:val="0089604D"/>
    <w:rsid w:val="008A1764"/>
    <w:rsid w:val="008A49B1"/>
    <w:rsid w:val="008A5810"/>
    <w:rsid w:val="008B0BC6"/>
    <w:rsid w:val="008B3F83"/>
    <w:rsid w:val="008B4DF6"/>
    <w:rsid w:val="008B4EF7"/>
    <w:rsid w:val="008C041F"/>
    <w:rsid w:val="008C0478"/>
    <w:rsid w:val="008C103E"/>
    <w:rsid w:val="008C48BA"/>
    <w:rsid w:val="008C6023"/>
    <w:rsid w:val="008C6711"/>
    <w:rsid w:val="008D7424"/>
    <w:rsid w:val="008E15AA"/>
    <w:rsid w:val="008E2510"/>
    <w:rsid w:val="008E2D4A"/>
    <w:rsid w:val="008E4D73"/>
    <w:rsid w:val="008E6655"/>
    <w:rsid w:val="008E7717"/>
    <w:rsid w:val="008F29CD"/>
    <w:rsid w:val="008F3F5E"/>
    <w:rsid w:val="008F4CC1"/>
    <w:rsid w:val="008F4DFC"/>
    <w:rsid w:val="008F6036"/>
    <w:rsid w:val="008F7391"/>
    <w:rsid w:val="00903020"/>
    <w:rsid w:val="00903961"/>
    <w:rsid w:val="00904AF1"/>
    <w:rsid w:val="009079D7"/>
    <w:rsid w:val="00910B64"/>
    <w:rsid w:val="00911882"/>
    <w:rsid w:val="0091210A"/>
    <w:rsid w:val="00912214"/>
    <w:rsid w:val="0091241B"/>
    <w:rsid w:val="0091602B"/>
    <w:rsid w:val="0091607B"/>
    <w:rsid w:val="00922BE5"/>
    <w:rsid w:val="00922D9F"/>
    <w:rsid w:val="00925069"/>
    <w:rsid w:val="00925A58"/>
    <w:rsid w:val="009277C0"/>
    <w:rsid w:val="00931DE7"/>
    <w:rsid w:val="00931E0D"/>
    <w:rsid w:val="0093223B"/>
    <w:rsid w:val="0093251E"/>
    <w:rsid w:val="009337C4"/>
    <w:rsid w:val="009339F0"/>
    <w:rsid w:val="00933EF9"/>
    <w:rsid w:val="00937F61"/>
    <w:rsid w:val="00942197"/>
    <w:rsid w:val="009429BA"/>
    <w:rsid w:val="0094350E"/>
    <w:rsid w:val="00943719"/>
    <w:rsid w:val="00945045"/>
    <w:rsid w:val="009501B9"/>
    <w:rsid w:val="00951B9C"/>
    <w:rsid w:val="009562CA"/>
    <w:rsid w:val="00956D78"/>
    <w:rsid w:val="009572FD"/>
    <w:rsid w:val="0096091C"/>
    <w:rsid w:val="0096268A"/>
    <w:rsid w:val="00964C38"/>
    <w:rsid w:val="009659AA"/>
    <w:rsid w:val="009727F7"/>
    <w:rsid w:val="00974EAF"/>
    <w:rsid w:val="009779A7"/>
    <w:rsid w:val="00982BC8"/>
    <w:rsid w:val="00983A64"/>
    <w:rsid w:val="009871F0"/>
    <w:rsid w:val="009957A8"/>
    <w:rsid w:val="00995FEF"/>
    <w:rsid w:val="009964C3"/>
    <w:rsid w:val="009A0091"/>
    <w:rsid w:val="009A2532"/>
    <w:rsid w:val="009A3280"/>
    <w:rsid w:val="009B0399"/>
    <w:rsid w:val="009B07C4"/>
    <w:rsid w:val="009B7E65"/>
    <w:rsid w:val="009C241E"/>
    <w:rsid w:val="009C52FA"/>
    <w:rsid w:val="009C6A86"/>
    <w:rsid w:val="009C7E70"/>
    <w:rsid w:val="009D4D49"/>
    <w:rsid w:val="009E0291"/>
    <w:rsid w:val="009E0745"/>
    <w:rsid w:val="009E0920"/>
    <w:rsid w:val="009E0B34"/>
    <w:rsid w:val="009E3F00"/>
    <w:rsid w:val="009E4483"/>
    <w:rsid w:val="009E59EE"/>
    <w:rsid w:val="009F02D0"/>
    <w:rsid w:val="009F070F"/>
    <w:rsid w:val="009F54B3"/>
    <w:rsid w:val="00A01160"/>
    <w:rsid w:val="00A011DC"/>
    <w:rsid w:val="00A016E5"/>
    <w:rsid w:val="00A0190F"/>
    <w:rsid w:val="00A021AD"/>
    <w:rsid w:val="00A0752F"/>
    <w:rsid w:val="00A10E03"/>
    <w:rsid w:val="00A11159"/>
    <w:rsid w:val="00A12A04"/>
    <w:rsid w:val="00A12E26"/>
    <w:rsid w:val="00A13FF2"/>
    <w:rsid w:val="00A153B4"/>
    <w:rsid w:val="00A1591C"/>
    <w:rsid w:val="00A214C4"/>
    <w:rsid w:val="00A24B65"/>
    <w:rsid w:val="00A256A0"/>
    <w:rsid w:val="00A25991"/>
    <w:rsid w:val="00A26CA4"/>
    <w:rsid w:val="00A26CEB"/>
    <w:rsid w:val="00A27076"/>
    <w:rsid w:val="00A27529"/>
    <w:rsid w:val="00A308F4"/>
    <w:rsid w:val="00A3209C"/>
    <w:rsid w:val="00A33A64"/>
    <w:rsid w:val="00A36FA4"/>
    <w:rsid w:val="00A371CF"/>
    <w:rsid w:val="00A41260"/>
    <w:rsid w:val="00A470B8"/>
    <w:rsid w:val="00A51EE1"/>
    <w:rsid w:val="00A5394B"/>
    <w:rsid w:val="00A551C7"/>
    <w:rsid w:val="00A55BA9"/>
    <w:rsid w:val="00A576A9"/>
    <w:rsid w:val="00A5794B"/>
    <w:rsid w:val="00A62B4E"/>
    <w:rsid w:val="00A63234"/>
    <w:rsid w:val="00A64055"/>
    <w:rsid w:val="00A65AE9"/>
    <w:rsid w:val="00A66733"/>
    <w:rsid w:val="00A67938"/>
    <w:rsid w:val="00A7067C"/>
    <w:rsid w:val="00A70EED"/>
    <w:rsid w:val="00A73816"/>
    <w:rsid w:val="00A7482C"/>
    <w:rsid w:val="00A77548"/>
    <w:rsid w:val="00A81754"/>
    <w:rsid w:val="00A84922"/>
    <w:rsid w:val="00A857E5"/>
    <w:rsid w:val="00A85D28"/>
    <w:rsid w:val="00A868EE"/>
    <w:rsid w:val="00A901A4"/>
    <w:rsid w:val="00A9088B"/>
    <w:rsid w:val="00A90D53"/>
    <w:rsid w:val="00A93461"/>
    <w:rsid w:val="00A9698A"/>
    <w:rsid w:val="00AA211B"/>
    <w:rsid w:val="00AA36D0"/>
    <w:rsid w:val="00AA5052"/>
    <w:rsid w:val="00AA5E98"/>
    <w:rsid w:val="00AB13B9"/>
    <w:rsid w:val="00AB1D35"/>
    <w:rsid w:val="00AB4640"/>
    <w:rsid w:val="00AB4A61"/>
    <w:rsid w:val="00AB71AD"/>
    <w:rsid w:val="00AC298C"/>
    <w:rsid w:val="00AC65E6"/>
    <w:rsid w:val="00AC6A12"/>
    <w:rsid w:val="00AC7EFA"/>
    <w:rsid w:val="00AD136B"/>
    <w:rsid w:val="00AD3949"/>
    <w:rsid w:val="00AD5E76"/>
    <w:rsid w:val="00AD6D2B"/>
    <w:rsid w:val="00AD726C"/>
    <w:rsid w:val="00AE22C9"/>
    <w:rsid w:val="00AE2B72"/>
    <w:rsid w:val="00AE3514"/>
    <w:rsid w:val="00AE60FC"/>
    <w:rsid w:val="00AF2E33"/>
    <w:rsid w:val="00AF3037"/>
    <w:rsid w:val="00AF4B55"/>
    <w:rsid w:val="00AF58FD"/>
    <w:rsid w:val="00AF6563"/>
    <w:rsid w:val="00AF6F5D"/>
    <w:rsid w:val="00AF7042"/>
    <w:rsid w:val="00B0098B"/>
    <w:rsid w:val="00B01179"/>
    <w:rsid w:val="00B029FE"/>
    <w:rsid w:val="00B03B0A"/>
    <w:rsid w:val="00B0579E"/>
    <w:rsid w:val="00B11681"/>
    <w:rsid w:val="00B16351"/>
    <w:rsid w:val="00B216D4"/>
    <w:rsid w:val="00B23265"/>
    <w:rsid w:val="00B234DB"/>
    <w:rsid w:val="00B241C3"/>
    <w:rsid w:val="00B25ED5"/>
    <w:rsid w:val="00B27E95"/>
    <w:rsid w:val="00B36F30"/>
    <w:rsid w:val="00B45049"/>
    <w:rsid w:val="00B456C4"/>
    <w:rsid w:val="00B46BFA"/>
    <w:rsid w:val="00B473D4"/>
    <w:rsid w:val="00B474E9"/>
    <w:rsid w:val="00B5148D"/>
    <w:rsid w:val="00B534BE"/>
    <w:rsid w:val="00B53593"/>
    <w:rsid w:val="00B540D2"/>
    <w:rsid w:val="00B54289"/>
    <w:rsid w:val="00B559C5"/>
    <w:rsid w:val="00B57066"/>
    <w:rsid w:val="00B60940"/>
    <w:rsid w:val="00B62A1A"/>
    <w:rsid w:val="00B641B6"/>
    <w:rsid w:val="00B708C6"/>
    <w:rsid w:val="00B70AC1"/>
    <w:rsid w:val="00B70AD3"/>
    <w:rsid w:val="00B716AC"/>
    <w:rsid w:val="00B72B5D"/>
    <w:rsid w:val="00B804BD"/>
    <w:rsid w:val="00B824F3"/>
    <w:rsid w:val="00B83939"/>
    <w:rsid w:val="00B840C4"/>
    <w:rsid w:val="00B842C5"/>
    <w:rsid w:val="00B849CE"/>
    <w:rsid w:val="00B849E6"/>
    <w:rsid w:val="00B87E29"/>
    <w:rsid w:val="00B91BC0"/>
    <w:rsid w:val="00B92388"/>
    <w:rsid w:val="00B92D8A"/>
    <w:rsid w:val="00B93346"/>
    <w:rsid w:val="00B95486"/>
    <w:rsid w:val="00BA0DE3"/>
    <w:rsid w:val="00BA14A2"/>
    <w:rsid w:val="00BA2EF7"/>
    <w:rsid w:val="00BA6A3A"/>
    <w:rsid w:val="00BB23C3"/>
    <w:rsid w:val="00BB2542"/>
    <w:rsid w:val="00BB2901"/>
    <w:rsid w:val="00BB2BFB"/>
    <w:rsid w:val="00BB3889"/>
    <w:rsid w:val="00BB3EE9"/>
    <w:rsid w:val="00BB5258"/>
    <w:rsid w:val="00BB6792"/>
    <w:rsid w:val="00BC2EA9"/>
    <w:rsid w:val="00BC3AAE"/>
    <w:rsid w:val="00BC4EC3"/>
    <w:rsid w:val="00BC555B"/>
    <w:rsid w:val="00BD09E5"/>
    <w:rsid w:val="00BD1356"/>
    <w:rsid w:val="00BD14EF"/>
    <w:rsid w:val="00BD2D6E"/>
    <w:rsid w:val="00BD416F"/>
    <w:rsid w:val="00BD42EA"/>
    <w:rsid w:val="00BD5FEC"/>
    <w:rsid w:val="00BD6FCA"/>
    <w:rsid w:val="00BE184E"/>
    <w:rsid w:val="00BE1EBE"/>
    <w:rsid w:val="00BE2DDB"/>
    <w:rsid w:val="00BE661F"/>
    <w:rsid w:val="00BF0BC8"/>
    <w:rsid w:val="00BF1DFC"/>
    <w:rsid w:val="00BF39CB"/>
    <w:rsid w:val="00BF4ADD"/>
    <w:rsid w:val="00C00E2E"/>
    <w:rsid w:val="00C03A67"/>
    <w:rsid w:val="00C03B80"/>
    <w:rsid w:val="00C04097"/>
    <w:rsid w:val="00C056B0"/>
    <w:rsid w:val="00C065F0"/>
    <w:rsid w:val="00C1043D"/>
    <w:rsid w:val="00C1394E"/>
    <w:rsid w:val="00C14194"/>
    <w:rsid w:val="00C21A6E"/>
    <w:rsid w:val="00C22538"/>
    <w:rsid w:val="00C30589"/>
    <w:rsid w:val="00C342A3"/>
    <w:rsid w:val="00C351D8"/>
    <w:rsid w:val="00C4209D"/>
    <w:rsid w:val="00C421B4"/>
    <w:rsid w:val="00C4270A"/>
    <w:rsid w:val="00C43896"/>
    <w:rsid w:val="00C4562D"/>
    <w:rsid w:val="00C5244C"/>
    <w:rsid w:val="00C525AF"/>
    <w:rsid w:val="00C52BC9"/>
    <w:rsid w:val="00C549C3"/>
    <w:rsid w:val="00C5648E"/>
    <w:rsid w:val="00C615F5"/>
    <w:rsid w:val="00C631C4"/>
    <w:rsid w:val="00C639AA"/>
    <w:rsid w:val="00C655BB"/>
    <w:rsid w:val="00C67D01"/>
    <w:rsid w:val="00C70DF6"/>
    <w:rsid w:val="00C7110D"/>
    <w:rsid w:val="00C72330"/>
    <w:rsid w:val="00C7386C"/>
    <w:rsid w:val="00C74863"/>
    <w:rsid w:val="00C766E7"/>
    <w:rsid w:val="00C779EF"/>
    <w:rsid w:val="00C811FF"/>
    <w:rsid w:val="00C816F3"/>
    <w:rsid w:val="00C82C7C"/>
    <w:rsid w:val="00C85EB8"/>
    <w:rsid w:val="00C86327"/>
    <w:rsid w:val="00C86697"/>
    <w:rsid w:val="00C926F6"/>
    <w:rsid w:val="00C93298"/>
    <w:rsid w:val="00C9338C"/>
    <w:rsid w:val="00C950FC"/>
    <w:rsid w:val="00C95D34"/>
    <w:rsid w:val="00CA2833"/>
    <w:rsid w:val="00CA56CB"/>
    <w:rsid w:val="00CB0E01"/>
    <w:rsid w:val="00CB1AFA"/>
    <w:rsid w:val="00CC1E7D"/>
    <w:rsid w:val="00CC2AA3"/>
    <w:rsid w:val="00CC5DD8"/>
    <w:rsid w:val="00CC6440"/>
    <w:rsid w:val="00CC7654"/>
    <w:rsid w:val="00CC7C94"/>
    <w:rsid w:val="00CD0748"/>
    <w:rsid w:val="00CD13D5"/>
    <w:rsid w:val="00CD25D9"/>
    <w:rsid w:val="00CD5AA8"/>
    <w:rsid w:val="00CD5CE9"/>
    <w:rsid w:val="00CD77A8"/>
    <w:rsid w:val="00CE17DC"/>
    <w:rsid w:val="00CE33FE"/>
    <w:rsid w:val="00CE5447"/>
    <w:rsid w:val="00CE5D57"/>
    <w:rsid w:val="00CF3D52"/>
    <w:rsid w:val="00D017A0"/>
    <w:rsid w:val="00D05547"/>
    <w:rsid w:val="00D05574"/>
    <w:rsid w:val="00D07C7B"/>
    <w:rsid w:val="00D13623"/>
    <w:rsid w:val="00D14317"/>
    <w:rsid w:val="00D15092"/>
    <w:rsid w:val="00D15DE7"/>
    <w:rsid w:val="00D17F34"/>
    <w:rsid w:val="00D20F7C"/>
    <w:rsid w:val="00D2104C"/>
    <w:rsid w:val="00D2364F"/>
    <w:rsid w:val="00D23660"/>
    <w:rsid w:val="00D2530D"/>
    <w:rsid w:val="00D277ED"/>
    <w:rsid w:val="00D303D4"/>
    <w:rsid w:val="00D30FB3"/>
    <w:rsid w:val="00D310AF"/>
    <w:rsid w:val="00D35931"/>
    <w:rsid w:val="00D37A2B"/>
    <w:rsid w:val="00D40530"/>
    <w:rsid w:val="00D41DBE"/>
    <w:rsid w:val="00D43F39"/>
    <w:rsid w:val="00D51273"/>
    <w:rsid w:val="00D57C13"/>
    <w:rsid w:val="00D60F95"/>
    <w:rsid w:val="00D61235"/>
    <w:rsid w:val="00D61FDE"/>
    <w:rsid w:val="00D62748"/>
    <w:rsid w:val="00D634AB"/>
    <w:rsid w:val="00D668C9"/>
    <w:rsid w:val="00D7051A"/>
    <w:rsid w:val="00D70F09"/>
    <w:rsid w:val="00D71B27"/>
    <w:rsid w:val="00D74B19"/>
    <w:rsid w:val="00D7625C"/>
    <w:rsid w:val="00D809A3"/>
    <w:rsid w:val="00D81EC3"/>
    <w:rsid w:val="00D83750"/>
    <w:rsid w:val="00D85E63"/>
    <w:rsid w:val="00D91AD9"/>
    <w:rsid w:val="00D9289D"/>
    <w:rsid w:val="00D932F7"/>
    <w:rsid w:val="00D934A8"/>
    <w:rsid w:val="00D940EE"/>
    <w:rsid w:val="00D96FF7"/>
    <w:rsid w:val="00DA231E"/>
    <w:rsid w:val="00DA4AA5"/>
    <w:rsid w:val="00DA5909"/>
    <w:rsid w:val="00DB14A2"/>
    <w:rsid w:val="00DB26BD"/>
    <w:rsid w:val="00DB4A9F"/>
    <w:rsid w:val="00DB7614"/>
    <w:rsid w:val="00DB7E32"/>
    <w:rsid w:val="00DC251A"/>
    <w:rsid w:val="00DC2929"/>
    <w:rsid w:val="00DC3E59"/>
    <w:rsid w:val="00DC43CD"/>
    <w:rsid w:val="00DC4836"/>
    <w:rsid w:val="00DC4F3D"/>
    <w:rsid w:val="00DC596E"/>
    <w:rsid w:val="00DC6671"/>
    <w:rsid w:val="00DD2C39"/>
    <w:rsid w:val="00DD74C2"/>
    <w:rsid w:val="00DE1C82"/>
    <w:rsid w:val="00DE617C"/>
    <w:rsid w:val="00DE70B8"/>
    <w:rsid w:val="00DF2BD0"/>
    <w:rsid w:val="00DF2FC1"/>
    <w:rsid w:val="00DF4B50"/>
    <w:rsid w:val="00E0127D"/>
    <w:rsid w:val="00E042AA"/>
    <w:rsid w:val="00E04F12"/>
    <w:rsid w:val="00E04F3F"/>
    <w:rsid w:val="00E10468"/>
    <w:rsid w:val="00E10690"/>
    <w:rsid w:val="00E10B80"/>
    <w:rsid w:val="00E11C4F"/>
    <w:rsid w:val="00E11EC9"/>
    <w:rsid w:val="00E145AF"/>
    <w:rsid w:val="00E15078"/>
    <w:rsid w:val="00E21672"/>
    <w:rsid w:val="00E219E4"/>
    <w:rsid w:val="00E24FE8"/>
    <w:rsid w:val="00E27C67"/>
    <w:rsid w:val="00E30D20"/>
    <w:rsid w:val="00E310BE"/>
    <w:rsid w:val="00E31801"/>
    <w:rsid w:val="00E3181B"/>
    <w:rsid w:val="00E331D2"/>
    <w:rsid w:val="00E3325B"/>
    <w:rsid w:val="00E33C6A"/>
    <w:rsid w:val="00E348CC"/>
    <w:rsid w:val="00E3513B"/>
    <w:rsid w:val="00E352C0"/>
    <w:rsid w:val="00E35BED"/>
    <w:rsid w:val="00E36688"/>
    <w:rsid w:val="00E371FE"/>
    <w:rsid w:val="00E37693"/>
    <w:rsid w:val="00E40C33"/>
    <w:rsid w:val="00E42C0C"/>
    <w:rsid w:val="00E434DD"/>
    <w:rsid w:val="00E435EE"/>
    <w:rsid w:val="00E43CF6"/>
    <w:rsid w:val="00E4642A"/>
    <w:rsid w:val="00E46928"/>
    <w:rsid w:val="00E527C7"/>
    <w:rsid w:val="00E532DD"/>
    <w:rsid w:val="00E534E9"/>
    <w:rsid w:val="00E53603"/>
    <w:rsid w:val="00E559DD"/>
    <w:rsid w:val="00E56E36"/>
    <w:rsid w:val="00E63438"/>
    <w:rsid w:val="00E64A50"/>
    <w:rsid w:val="00E64DC3"/>
    <w:rsid w:val="00E702A0"/>
    <w:rsid w:val="00E709A7"/>
    <w:rsid w:val="00E73A50"/>
    <w:rsid w:val="00E7455C"/>
    <w:rsid w:val="00E7521B"/>
    <w:rsid w:val="00E7571D"/>
    <w:rsid w:val="00E769B0"/>
    <w:rsid w:val="00E76D2C"/>
    <w:rsid w:val="00E77B0E"/>
    <w:rsid w:val="00E77BEC"/>
    <w:rsid w:val="00E80EC2"/>
    <w:rsid w:val="00E812A4"/>
    <w:rsid w:val="00E83CE2"/>
    <w:rsid w:val="00E83EB2"/>
    <w:rsid w:val="00E84305"/>
    <w:rsid w:val="00E8681B"/>
    <w:rsid w:val="00E9156A"/>
    <w:rsid w:val="00E93C80"/>
    <w:rsid w:val="00E9599D"/>
    <w:rsid w:val="00E971CF"/>
    <w:rsid w:val="00EA277E"/>
    <w:rsid w:val="00EA3B1E"/>
    <w:rsid w:val="00EA5018"/>
    <w:rsid w:val="00EB0305"/>
    <w:rsid w:val="00EB3BC2"/>
    <w:rsid w:val="00EB6168"/>
    <w:rsid w:val="00EB7B5C"/>
    <w:rsid w:val="00EC0696"/>
    <w:rsid w:val="00EC1245"/>
    <w:rsid w:val="00EC1363"/>
    <w:rsid w:val="00EC2450"/>
    <w:rsid w:val="00EC4FBB"/>
    <w:rsid w:val="00EC6EC1"/>
    <w:rsid w:val="00EC6F06"/>
    <w:rsid w:val="00EC75B5"/>
    <w:rsid w:val="00EC77BC"/>
    <w:rsid w:val="00ED1BBB"/>
    <w:rsid w:val="00ED3F4C"/>
    <w:rsid w:val="00EE1B75"/>
    <w:rsid w:val="00EE2373"/>
    <w:rsid w:val="00EE36CF"/>
    <w:rsid w:val="00EE36F0"/>
    <w:rsid w:val="00EE4AF8"/>
    <w:rsid w:val="00EE5D13"/>
    <w:rsid w:val="00EE646F"/>
    <w:rsid w:val="00EE7E68"/>
    <w:rsid w:val="00EE7E6E"/>
    <w:rsid w:val="00EF0FD9"/>
    <w:rsid w:val="00EF25C4"/>
    <w:rsid w:val="00EF36D0"/>
    <w:rsid w:val="00EF5B44"/>
    <w:rsid w:val="00F07067"/>
    <w:rsid w:val="00F078E1"/>
    <w:rsid w:val="00F10985"/>
    <w:rsid w:val="00F144DD"/>
    <w:rsid w:val="00F145B8"/>
    <w:rsid w:val="00F172F5"/>
    <w:rsid w:val="00F20736"/>
    <w:rsid w:val="00F24ABF"/>
    <w:rsid w:val="00F2776D"/>
    <w:rsid w:val="00F27FFA"/>
    <w:rsid w:val="00F30903"/>
    <w:rsid w:val="00F34EAF"/>
    <w:rsid w:val="00F34F4E"/>
    <w:rsid w:val="00F35BFE"/>
    <w:rsid w:val="00F4063A"/>
    <w:rsid w:val="00F43AC3"/>
    <w:rsid w:val="00F462F7"/>
    <w:rsid w:val="00F4769A"/>
    <w:rsid w:val="00F50462"/>
    <w:rsid w:val="00F5119F"/>
    <w:rsid w:val="00F54169"/>
    <w:rsid w:val="00F5592D"/>
    <w:rsid w:val="00F565D1"/>
    <w:rsid w:val="00F60D8B"/>
    <w:rsid w:val="00F6217C"/>
    <w:rsid w:val="00F63011"/>
    <w:rsid w:val="00F634D1"/>
    <w:rsid w:val="00F63E6D"/>
    <w:rsid w:val="00F6448D"/>
    <w:rsid w:val="00F7219C"/>
    <w:rsid w:val="00F753B0"/>
    <w:rsid w:val="00F753BE"/>
    <w:rsid w:val="00F768D9"/>
    <w:rsid w:val="00F76EC9"/>
    <w:rsid w:val="00F83163"/>
    <w:rsid w:val="00F854F2"/>
    <w:rsid w:val="00F859B1"/>
    <w:rsid w:val="00F85E96"/>
    <w:rsid w:val="00F860CB"/>
    <w:rsid w:val="00F86314"/>
    <w:rsid w:val="00F90A11"/>
    <w:rsid w:val="00F95759"/>
    <w:rsid w:val="00F9729C"/>
    <w:rsid w:val="00FA5569"/>
    <w:rsid w:val="00FB0255"/>
    <w:rsid w:val="00FB042C"/>
    <w:rsid w:val="00FB4C13"/>
    <w:rsid w:val="00FB5794"/>
    <w:rsid w:val="00FC3640"/>
    <w:rsid w:val="00FC3CD0"/>
    <w:rsid w:val="00FC3F22"/>
    <w:rsid w:val="00FC5970"/>
    <w:rsid w:val="00FC6683"/>
    <w:rsid w:val="00FC6B23"/>
    <w:rsid w:val="00FC716C"/>
    <w:rsid w:val="00FD046F"/>
    <w:rsid w:val="00FD176A"/>
    <w:rsid w:val="00FD2C2D"/>
    <w:rsid w:val="00FD64E5"/>
    <w:rsid w:val="00FE2182"/>
    <w:rsid w:val="00FE43FE"/>
    <w:rsid w:val="00FE7049"/>
    <w:rsid w:val="00FE7F1C"/>
    <w:rsid w:val="00FF0199"/>
    <w:rsid w:val="00FF09AB"/>
    <w:rsid w:val="00FF73B2"/>
    <w:rsid w:val="00FF76C0"/>
    <w:rsid w:val="00FF7C36"/>
    <w:rsid w:val="0EC19110"/>
    <w:rsid w:val="0F0BB5F6"/>
    <w:rsid w:val="11B80142"/>
    <w:rsid w:val="2FDF56C6"/>
    <w:rsid w:val="36A5A24A"/>
    <w:rsid w:val="4DD01E43"/>
    <w:rsid w:val="61465B0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A8318"/>
  <w15:chartTrackingRefBased/>
  <w15:docId w15:val="{203E2872-C176-4F35-9184-771AFD37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602"/>
    <w:pPr>
      <w:spacing w:after="0" w:line="240" w:lineRule="auto"/>
    </w:pPr>
    <w:rPr>
      <w:rFonts w:ascii="Arial" w:eastAsia="Times New Roman" w:hAnsi="Arial" w:cs="Times New Roman"/>
      <w:sz w:val="20"/>
      <w:szCs w:val="24"/>
      <w:lang w:eastAsia="en-GB"/>
    </w:rPr>
  </w:style>
  <w:style w:type="paragraph" w:styleId="Heading1">
    <w:name w:val="heading 1"/>
    <w:basedOn w:val="Normal"/>
    <w:next w:val="Normal"/>
    <w:link w:val="Heading1Char"/>
    <w:uiPriority w:val="9"/>
    <w:qFormat/>
    <w:rsid w:val="00DC43CD"/>
    <w:pPr>
      <w:spacing w:before="240"/>
      <w:outlineLvl w:val="0"/>
    </w:pPr>
    <w:rPr>
      <w:rFonts w:eastAsiaTheme="majorEastAsia" w:cstheme="majorBidi"/>
      <w:sz w:val="24"/>
      <w:szCs w:val="32"/>
    </w:rPr>
  </w:style>
  <w:style w:type="paragraph" w:styleId="Heading2">
    <w:name w:val="heading 2"/>
    <w:basedOn w:val="Normal"/>
    <w:next w:val="Normal"/>
    <w:link w:val="Heading2Char"/>
    <w:unhideWhenUsed/>
    <w:qFormat/>
    <w:rsid w:val="00DC43CD"/>
    <w:pPr>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2602"/>
    <w:pPr>
      <w:tabs>
        <w:tab w:val="center" w:pos="4153"/>
        <w:tab w:val="right" w:pos="8306"/>
      </w:tabs>
    </w:pPr>
  </w:style>
  <w:style w:type="character" w:customStyle="1" w:styleId="HeaderChar">
    <w:name w:val="Header Char"/>
    <w:basedOn w:val="DefaultParagraphFont"/>
    <w:link w:val="Header"/>
    <w:rsid w:val="00672602"/>
    <w:rPr>
      <w:rFonts w:ascii="Arial" w:eastAsia="Times New Roman" w:hAnsi="Arial" w:cs="Times New Roman"/>
      <w:sz w:val="20"/>
      <w:szCs w:val="24"/>
      <w:lang w:eastAsia="en-GB"/>
    </w:rPr>
  </w:style>
  <w:style w:type="paragraph" w:styleId="Footer">
    <w:name w:val="footer"/>
    <w:basedOn w:val="Normal"/>
    <w:link w:val="FooterChar"/>
    <w:uiPriority w:val="99"/>
    <w:rsid w:val="00672602"/>
    <w:pPr>
      <w:tabs>
        <w:tab w:val="center" w:pos="4153"/>
        <w:tab w:val="right" w:pos="8306"/>
      </w:tabs>
    </w:pPr>
  </w:style>
  <w:style w:type="character" w:customStyle="1" w:styleId="FooterChar">
    <w:name w:val="Footer Char"/>
    <w:basedOn w:val="DefaultParagraphFont"/>
    <w:link w:val="Footer"/>
    <w:uiPriority w:val="99"/>
    <w:rsid w:val="00672602"/>
    <w:rPr>
      <w:rFonts w:ascii="Arial" w:eastAsia="Times New Roman" w:hAnsi="Arial" w:cs="Times New Roman"/>
      <w:sz w:val="20"/>
      <w:szCs w:val="24"/>
      <w:lang w:eastAsia="en-GB"/>
    </w:rPr>
  </w:style>
  <w:style w:type="character" w:styleId="Hyperlink">
    <w:name w:val="Hyperlink"/>
    <w:uiPriority w:val="99"/>
    <w:rsid w:val="00672602"/>
    <w:rPr>
      <w:color w:val="0000FF"/>
      <w:u w:val="single"/>
    </w:rPr>
  </w:style>
  <w:style w:type="paragraph" w:styleId="Title">
    <w:name w:val="Title"/>
    <w:aliases w:val=" Char"/>
    <w:basedOn w:val="Normal"/>
    <w:link w:val="TitleChar"/>
    <w:rsid w:val="00672602"/>
    <w:pPr>
      <w:jc w:val="center"/>
      <w:outlineLvl w:val="0"/>
    </w:pPr>
    <w:rPr>
      <w:b/>
      <w:szCs w:val="20"/>
      <w:lang w:eastAsia="en-US"/>
    </w:rPr>
  </w:style>
  <w:style w:type="character" w:customStyle="1" w:styleId="TitleChar">
    <w:name w:val="Title Char"/>
    <w:aliases w:val=" Char Char"/>
    <w:basedOn w:val="DefaultParagraphFont"/>
    <w:link w:val="Title"/>
    <w:rsid w:val="00672602"/>
    <w:rPr>
      <w:rFonts w:ascii="Arial" w:eastAsia="Times New Roman" w:hAnsi="Arial" w:cs="Times New Roman"/>
      <w:b/>
      <w:sz w:val="20"/>
      <w:szCs w:val="20"/>
    </w:rPr>
  </w:style>
  <w:style w:type="table" w:styleId="TableGrid">
    <w:name w:val="Table Grid"/>
    <w:basedOn w:val="TableNormal"/>
    <w:uiPriority w:val="39"/>
    <w:rsid w:val="00EB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74685"/>
    <w:rPr>
      <w:sz w:val="16"/>
      <w:szCs w:val="16"/>
    </w:rPr>
  </w:style>
  <w:style w:type="paragraph" w:styleId="CommentText">
    <w:name w:val="annotation text"/>
    <w:basedOn w:val="Normal"/>
    <w:link w:val="CommentTextChar"/>
    <w:uiPriority w:val="99"/>
    <w:unhideWhenUsed/>
    <w:rsid w:val="00774685"/>
    <w:rPr>
      <w:szCs w:val="20"/>
    </w:rPr>
  </w:style>
  <w:style w:type="character" w:customStyle="1" w:styleId="CommentTextChar">
    <w:name w:val="Comment Text Char"/>
    <w:basedOn w:val="DefaultParagraphFont"/>
    <w:link w:val="CommentText"/>
    <w:uiPriority w:val="99"/>
    <w:rsid w:val="0077468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774685"/>
    <w:rPr>
      <w:b/>
      <w:bCs/>
    </w:rPr>
  </w:style>
  <w:style w:type="character" w:customStyle="1" w:styleId="CommentSubjectChar">
    <w:name w:val="Comment Subject Char"/>
    <w:basedOn w:val="CommentTextChar"/>
    <w:link w:val="CommentSubject"/>
    <w:uiPriority w:val="99"/>
    <w:semiHidden/>
    <w:rsid w:val="00774685"/>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774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685"/>
    <w:rPr>
      <w:rFonts w:ascii="Segoe UI" w:eastAsia="Times New Roman" w:hAnsi="Segoe UI" w:cs="Segoe UI"/>
      <w:sz w:val="18"/>
      <w:szCs w:val="18"/>
      <w:lang w:eastAsia="en-GB"/>
    </w:rPr>
  </w:style>
  <w:style w:type="paragraph" w:styleId="ListParagraph">
    <w:name w:val="List Paragraph"/>
    <w:basedOn w:val="Normal"/>
    <w:uiPriority w:val="34"/>
    <w:qFormat/>
    <w:rsid w:val="004917CD"/>
    <w:pPr>
      <w:ind w:left="720"/>
      <w:contextualSpacing/>
    </w:pPr>
  </w:style>
  <w:style w:type="paragraph" w:styleId="NoSpacing">
    <w:name w:val="No Spacing"/>
    <w:aliases w:val="Section Header"/>
    <w:uiPriority w:val="1"/>
    <w:qFormat/>
    <w:rsid w:val="00DC43CD"/>
    <w:pPr>
      <w:spacing w:after="0" w:line="240" w:lineRule="auto"/>
    </w:pPr>
    <w:rPr>
      <w:rFonts w:ascii="Arial" w:eastAsia="Times New Roman" w:hAnsi="Arial" w:cs="Times New Roman"/>
      <w:b/>
      <w:color w:val="FFFFFF" w:themeColor="background1"/>
      <w:sz w:val="20"/>
      <w:szCs w:val="24"/>
      <w:lang w:eastAsia="en-GB"/>
    </w:rPr>
  </w:style>
  <w:style w:type="character" w:customStyle="1" w:styleId="Heading1Char">
    <w:name w:val="Heading 1 Char"/>
    <w:basedOn w:val="DefaultParagraphFont"/>
    <w:link w:val="Heading1"/>
    <w:uiPriority w:val="9"/>
    <w:rsid w:val="00DC43CD"/>
    <w:rPr>
      <w:rFonts w:ascii="Arial" w:eastAsiaTheme="majorEastAsia" w:hAnsi="Arial" w:cstheme="majorBidi"/>
      <w:sz w:val="24"/>
      <w:szCs w:val="32"/>
      <w:lang w:eastAsia="en-GB"/>
    </w:rPr>
  </w:style>
  <w:style w:type="character" w:customStyle="1" w:styleId="Heading2Char">
    <w:name w:val="Heading 2 Char"/>
    <w:basedOn w:val="DefaultParagraphFont"/>
    <w:link w:val="Heading2"/>
    <w:uiPriority w:val="9"/>
    <w:rsid w:val="00DC43CD"/>
    <w:rPr>
      <w:rFonts w:ascii="Arial" w:eastAsiaTheme="majorEastAsia" w:hAnsi="Arial" w:cstheme="majorBidi"/>
      <w:b/>
      <w:sz w:val="20"/>
      <w:szCs w:val="26"/>
      <w:lang w:eastAsia="en-GB"/>
    </w:rPr>
  </w:style>
  <w:style w:type="character" w:styleId="UnresolvedMention">
    <w:name w:val="Unresolved Mention"/>
    <w:basedOn w:val="DefaultParagraphFont"/>
    <w:uiPriority w:val="99"/>
    <w:semiHidden/>
    <w:unhideWhenUsed/>
    <w:rsid w:val="000B1F07"/>
    <w:rPr>
      <w:color w:val="605E5C"/>
      <w:shd w:val="clear" w:color="auto" w:fill="E1DFDD"/>
    </w:rPr>
  </w:style>
  <w:style w:type="paragraph" w:styleId="ListBullet4">
    <w:name w:val="List Bullet 4"/>
    <w:basedOn w:val="Normal"/>
    <w:semiHidden/>
    <w:rsid w:val="00773732"/>
    <w:pPr>
      <w:numPr>
        <w:numId w:val="10"/>
      </w:numPr>
    </w:pPr>
    <w:rPr>
      <w:sz w:val="22"/>
    </w:rPr>
  </w:style>
  <w:style w:type="paragraph" w:styleId="Revision">
    <w:name w:val="Revision"/>
    <w:hidden/>
    <w:uiPriority w:val="99"/>
    <w:semiHidden/>
    <w:rsid w:val="00EC0696"/>
    <w:pPr>
      <w:spacing w:after="0" w:line="240" w:lineRule="auto"/>
    </w:pPr>
    <w:rPr>
      <w:rFonts w:ascii="Arial" w:eastAsia="Times New Roman" w:hAnsi="Arial" w:cs="Times New Roman"/>
      <w:sz w:val="20"/>
      <w:szCs w:val="24"/>
      <w:lang w:eastAsia="en-GB"/>
    </w:rPr>
  </w:style>
  <w:style w:type="character" w:styleId="FollowedHyperlink">
    <w:name w:val="FollowedHyperlink"/>
    <w:basedOn w:val="DefaultParagraphFont"/>
    <w:uiPriority w:val="99"/>
    <w:semiHidden/>
    <w:unhideWhenUsed/>
    <w:rsid w:val="004D1303"/>
    <w:rPr>
      <w:color w:val="954F72" w:themeColor="followedHyperlink"/>
      <w:u w:val="single"/>
    </w:rPr>
  </w:style>
  <w:style w:type="table" w:customStyle="1" w:styleId="21">
    <w:name w:val="21"/>
    <w:basedOn w:val="TableNormal"/>
    <w:rsid w:val="009779A7"/>
    <w:pPr>
      <w:spacing w:after="0" w:line="240" w:lineRule="auto"/>
    </w:pPr>
    <w:rPr>
      <w:rFonts w:ascii="Arial" w:eastAsia="Arial" w:hAnsi="Arial" w:cs="Arial"/>
      <w:sz w:val="20"/>
      <w:szCs w:val="20"/>
      <w:lang w:eastAsia="zh-TW"/>
    </w:rPr>
    <w:tblPr>
      <w:tblStyleRowBandSize w:val="1"/>
      <w:tblStyleColBandSize w:val="1"/>
    </w:tblPr>
  </w:style>
  <w:style w:type="paragraph" w:styleId="NormalWeb">
    <w:name w:val="Normal (Web)"/>
    <w:basedOn w:val="Normal"/>
    <w:uiPriority w:val="99"/>
    <w:unhideWhenUsed/>
    <w:rsid w:val="009779A7"/>
    <w:pPr>
      <w:spacing w:before="100" w:beforeAutospacing="1" w:after="100" w:afterAutospacing="1"/>
    </w:pPr>
    <w:rPr>
      <w:rFonts w:ascii="Times New Roman" w:hAnsi="Times New Roman"/>
      <w:sz w:val="24"/>
    </w:rPr>
  </w:style>
  <w:style w:type="paragraph" w:customStyle="1" w:styleId="Style1">
    <w:name w:val="Style1"/>
    <w:basedOn w:val="Normal"/>
    <w:link w:val="Style1Char"/>
    <w:qFormat/>
    <w:rsid w:val="00E3325B"/>
    <w:pPr>
      <w:spacing w:after="120"/>
    </w:pPr>
  </w:style>
  <w:style w:type="character" w:customStyle="1" w:styleId="Style1Char">
    <w:name w:val="Style1 Char"/>
    <w:basedOn w:val="DefaultParagraphFont"/>
    <w:link w:val="Style1"/>
    <w:rsid w:val="00E3325B"/>
    <w:rPr>
      <w:rFonts w:ascii="Arial" w:eastAsia="Times New Roman" w:hAnsi="Arial" w:cs="Times New Roman"/>
      <w:sz w:val="20"/>
      <w:szCs w:val="24"/>
      <w:lang w:eastAsia="en-GB"/>
    </w:rPr>
  </w:style>
  <w:style w:type="character" w:styleId="PageNumber">
    <w:name w:val="page number"/>
    <w:basedOn w:val="DefaultParagraphFont"/>
    <w:uiPriority w:val="99"/>
    <w:semiHidden/>
    <w:unhideWhenUsed/>
    <w:rsid w:val="00372984"/>
  </w:style>
  <w:style w:type="paragraph" w:customStyle="1" w:styleId="paragraph">
    <w:name w:val="paragraph"/>
    <w:basedOn w:val="Normal"/>
    <w:rsid w:val="00C7386C"/>
    <w:pPr>
      <w:spacing w:before="100" w:beforeAutospacing="1" w:after="100" w:afterAutospacing="1"/>
    </w:pPr>
    <w:rPr>
      <w:rFonts w:ascii="Times New Roman" w:hAnsi="Times New Roman"/>
      <w:sz w:val="24"/>
      <w:lang w:eastAsia="zh-TW"/>
    </w:rPr>
  </w:style>
  <w:style w:type="character" w:customStyle="1" w:styleId="normaltextrun">
    <w:name w:val="normaltextrun"/>
    <w:basedOn w:val="DefaultParagraphFont"/>
    <w:rsid w:val="00C7386C"/>
  </w:style>
  <w:style w:type="character" w:customStyle="1" w:styleId="eop">
    <w:name w:val="eop"/>
    <w:basedOn w:val="DefaultParagraphFont"/>
    <w:rsid w:val="00C7386C"/>
  </w:style>
  <w:style w:type="character" w:customStyle="1" w:styleId="UnresolvedMention1">
    <w:name w:val="Unresolved Mention1"/>
    <w:basedOn w:val="DefaultParagraphFont"/>
    <w:uiPriority w:val="99"/>
    <w:semiHidden/>
    <w:unhideWhenUsed/>
    <w:rsid w:val="00B01179"/>
    <w:rPr>
      <w:color w:val="605E5C"/>
      <w:shd w:val="clear" w:color="auto" w:fill="E1DFDD"/>
    </w:rPr>
  </w:style>
  <w:style w:type="character" w:customStyle="1" w:styleId="cit">
    <w:name w:val="cit"/>
    <w:basedOn w:val="DefaultParagraphFont"/>
    <w:rsid w:val="00B0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4987">
      <w:bodyDiv w:val="1"/>
      <w:marLeft w:val="0"/>
      <w:marRight w:val="0"/>
      <w:marTop w:val="0"/>
      <w:marBottom w:val="0"/>
      <w:divBdr>
        <w:top w:val="none" w:sz="0" w:space="0" w:color="auto"/>
        <w:left w:val="none" w:sz="0" w:space="0" w:color="auto"/>
        <w:bottom w:val="none" w:sz="0" w:space="0" w:color="auto"/>
        <w:right w:val="none" w:sz="0" w:space="0" w:color="auto"/>
      </w:divBdr>
    </w:div>
    <w:div w:id="120612744">
      <w:bodyDiv w:val="1"/>
      <w:marLeft w:val="0"/>
      <w:marRight w:val="0"/>
      <w:marTop w:val="0"/>
      <w:marBottom w:val="0"/>
      <w:divBdr>
        <w:top w:val="none" w:sz="0" w:space="0" w:color="auto"/>
        <w:left w:val="none" w:sz="0" w:space="0" w:color="auto"/>
        <w:bottom w:val="none" w:sz="0" w:space="0" w:color="auto"/>
        <w:right w:val="none" w:sz="0" w:space="0" w:color="auto"/>
      </w:divBdr>
    </w:div>
    <w:div w:id="363749911">
      <w:bodyDiv w:val="1"/>
      <w:marLeft w:val="0"/>
      <w:marRight w:val="0"/>
      <w:marTop w:val="0"/>
      <w:marBottom w:val="0"/>
      <w:divBdr>
        <w:top w:val="none" w:sz="0" w:space="0" w:color="auto"/>
        <w:left w:val="none" w:sz="0" w:space="0" w:color="auto"/>
        <w:bottom w:val="none" w:sz="0" w:space="0" w:color="auto"/>
        <w:right w:val="none" w:sz="0" w:space="0" w:color="auto"/>
      </w:divBdr>
    </w:div>
    <w:div w:id="408892650">
      <w:bodyDiv w:val="1"/>
      <w:marLeft w:val="0"/>
      <w:marRight w:val="0"/>
      <w:marTop w:val="0"/>
      <w:marBottom w:val="0"/>
      <w:divBdr>
        <w:top w:val="none" w:sz="0" w:space="0" w:color="auto"/>
        <w:left w:val="none" w:sz="0" w:space="0" w:color="auto"/>
        <w:bottom w:val="none" w:sz="0" w:space="0" w:color="auto"/>
        <w:right w:val="none" w:sz="0" w:space="0" w:color="auto"/>
      </w:divBdr>
    </w:div>
    <w:div w:id="615675978">
      <w:bodyDiv w:val="1"/>
      <w:marLeft w:val="0"/>
      <w:marRight w:val="0"/>
      <w:marTop w:val="0"/>
      <w:marBottom w:val="0"/>
      <w:divBdr>
        <w:top w:val="none" w:sz="0" w:space="0" w:color="auto"/>
        <w:left w:val="none" w:sz="0" w:space="0" w:color="auto"/>
        <w:bottom w:val="none" w:sz="0" w:space="0" w:color="auto"/>
        <w:right w:val="none" w:sz="0" w:space="0" w:color="auto"/>
      </w:divBdr>
    </w:div>
    <w:div w:id="715160373">
      <w:bodyDiv w:val="1"/>
      <w:marLeft w:val="0"/>
      <w:marRight w:val="0"/>
      <w:marTop w:val="0"/>
      <w:marBottom w:val="0"/>
      <w:divBdr>
        <w:top w:val="none" w:sz="0" w:space="0" w:color="auto"/>
        <w:left w:val="none" w:sz="0" w:space="0" w:color="auto"/>
        <w:bottom w:val="none" w:sz="0" w:space="0" w:color="auto"/>
        <w:right w:val="none" w:sz="0" w:space="0" w:color="auto"/>
      </w:divBdr>
      <w:divsChild>
        <w:div w:id="1996453624">
          <w:marLeft w:val="0"/>
          <w:marRight w:val="0"/>
          <w:marTop w:val="0"/>
          <w:marBottom w:val="0"/>
          <w:divBdr>
            <w:top w:val="none" w:sz="0" w:space="0" w:color="auto"/>
            <w:left w:val="none" w:sz="0" w:space="0" w:color="auto"/>
            <w:bottom w:val="none" w:sz="0" w:space="0" w:color="auto"/>
            <w:right w:val="none" w:sz="0" w:space="0" w:color="auto"/>
          </w:divBdr>
          <w:divsChild>
            <w:div w:id="892279015">
              <w:marLeft w:val="0"/>
              <w:marRight w:val="0"/>
              <w:marTop w:val="0"/>
              <w:marBottom w:val="0"/>
              <w:divBdr>
                <w:top w:val="none" w:sz="0" w:space="0" w:color="auto"/>
                <w:left w:val="none" w:sz="0" w:space="0" w:color="auto"/>
                <w:bottom w:val="none" w:sz="0" w:space="0" w:color="auto"/>
                <w:right w:val="none" w:sz="0" w:space="0" w:color="auto"/>
              </w:divBdr>
              <w:divsChild>
                <w:div w:id="1792089862">
                  <w:marLeft w:val="0"/>
                  <w:marRight w:val="0"/>
                  <w:marTop w:val="0"/>
                  <w:marBottom w:val="0"/>
                  <w:divBdr>
                    <w:top w:val="none" w:sz="0" w:space="0" w:color="auto"/>
                    <w:left w:val="none" w:sz="0" w:space="0" w:color="auto"/>
                    <w:bottom w:val="none" w:sz="0" w:space="0" w:color="auto"/>
                    <w:right w:val="none" w:sz="0" w:space="0" w:color="auto"/>
                  </w:divBdr>
                  <w:divsChild>
                    <w:div w:id="3164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99970">
      <w:bodyDiv w:val="1"/>
      <w:marLeft w:val="0"/>
      <w:marRight w:val="0"/>
      <w:marTop w:val="0"/>
      <w:marBottom w:val="0"/>
      <w:divBdr>
        <w:top w:val="none" w:sz="0" w:space="0" w:color="auto"/>
        <w:left w:val="none" w:sz="0" w:space="0" w:color="auto"/>
        <w:bottom w:val="none" w:sz="0" w:space="0" w:color="auto"/>
        <w:right w:val="none" w:sz="0" w:space="0" w:color="auto"/>
      </w:divBdr>
    </w:div>
    <w:div w:id="937635804">
      <w:bodyDiv w:val="1"/>
      <w:marLeft w:val="0"/>
      <w:marRight w:val="0"/>
      <w:marTop w:val="0"/>
      <w:marBottom w:val="0"/>
      <w:divBdr>
        <w:top w:val="none" w:sz="0" w:space="0" w:color="auto"/>
        <w:left w:val="none" w:sz="0" w:space="0" w:color="auto"/>
        <w:bottom w:val="none" w:sz="0" w:space="0" w:color="auto"/>
        <w:right w:val="none" w:sz="0" w:space="0" w:color="auto"/>
      </w:divBdr>
    </w:div>
    <w:div w:id="1105998772">
      <w:bodyDiv w:val="1"/>
      <w:marLeft w:val="0"/>
      <w:marRight w:val="0"/>
      <w:marTop w:val="0"/>
      <w:marBottom w:val="0"/>
      <w:divBdr>
        <w:top w:val="none" w:sz="0" w:space="0" w:color="auto"/>
        <w:left w:val="none" w:sz="0" w:space="0" w:color="auto"/>
        <w:bottom w:val="none" w:sz="0" w:space="0" w:color="auto"/>
        <w:right w:val="none" w:sz="0" w:space="0" w:color="auto"/>
      </w:divBdr>
    </w:div>
    <w:div w:id="1107845443">
      <w:bodyDiv w:val="1"/>
      <w:marLeft w:val="0"/>
      <w:marRight w:val="0"/>
      <w:marTop w:val="0"/>
      <w:marBottom w:val="0"/>
      <w:divBdr>
        <w:top w:val="none" w:sz="0" w:space="0" w:color="auto"/>
        <w:left w:val="none" w:sz="0" w:space="0" w:color="auto"/>
        <w:bottom w:val="none" w:sz="0" w:space="0" w:color="auto"/>
        <w:right w:val="none" w:sz="0" w:space="0" w:color="auto"/>
      </w:divBdr>
    </w:div>
    <w:div w:id="1113131019">
      <w:bodyDiv w:val="1"/>
      <w:marLeft w:val="0"/>
      <w:marRight w:val="0"/>
      <w:marTop w:val="0"/>
      <w:marBottom w:val="0"/>
      <w:divBdr>
        <w:top w:val="none" w:sz="0" w:space="0" w:color="auto"/>
        <w:left w:val="none" w:sz="0" w:space="0" w:color="auto"/>
        <w:bottom w:val="none" w:sz="0" w:space="0" w:color="auto"/>
        <w:right w:val="none" w:sz="0" w:space="0" w:color="auto"/>
      </w:divBdr>
    </w:div>
    <w:div w:id="1401059798">
      <w:bodyDiv w:val="1"/>
      <w:marLeft w:val="0"/>
      <w:marRight w:val="0"/>
      <w:marTop w:val="0"/>
      <w:marBottom w:val="0"/>
      <w:divBdr>
        <w:top w:val="none" w:sz="0" w:space="0" w:color="auto"/>
        <w:left w:val="none" w:sz="0" w:space="0" w:color="auto"/>
        <w:bottom w:val="none" w:sz="0" w:space="0" w:color="auto"/>
        <w:right w:val="none" w:sz="0" w:space="0" w:color="auto"/>
      </w:divBdr>
      <w:divsChild>
        <w:div w:id="1171487618">
          <w:marLeft w:val="0"/>
          <w:marRight w:val="0"/>
          <w:marTop w:val="0"/>
          <w:marBottom w:val="0"/>
          <w:divBdr>
            <w:top w:val="none" w:sz="0" w:space="0" w:color="auto"/>
            <w:left w:val="none" w:sz="0" w:space="0" w:color="auto"/>
            <w:bottom w:val="none" w:sz="0" w:space="0" w:color="auto"/>
            <w:right w:val="none" w:sz="0" w:space="0" w:color="auto"/>
          </w:divBdr>
        </w:div>
        <w:div w:id="1316299853">
          <w:marLeft w:val="0"/>
          <w:marRight w:val="0"/>
          <w:marTop w:val="0"/>
          <w:marBottom w:val="0"/>
          <w:divBdr>
            <w:top w:val="none" w:sz="0" w:space="0" w:color="auto"/>
            <w:left w:val="none" w:sz="0" w:space="0" w:color="auto"/>
            <w:bottom w:val="none" w:sz="0" w:space="0" w:color="auto"/>
            <w:right w:val="none" w:sz="0" w:space="0" w:color="auto"/>
          </w:divBdr>
        </w:div>
        <w:div w:id="780564894">
          <w:marLeft w:val="0"/>
          <w:marRight w:val="0"/>
          <w:marTop w:val="0"/>
          <w:marBottom w:val="0"/>
          <w:divBdr>
            <w:top w:val="none" w:sz="0" w:space="0" w:color="auto"/>
            <w:left w:val="none" w:sz="0" w:space="0" w:color="auto"/>
            <w:bottom w:val="none" w:sz="0" w:space="0" w:color="auto"/>
            <w:right w:val="none" w:sz="0" w:space="0" w:color="auto"/>
          </w:divBdr>
        </w:div>
        <w:div w:id="1557661788">
          <w:marLeft w:val="0"/>
          <w:marRight w:val="0"/>
          <w:marTop w:val="0"/>
          <w:marBottom w:val="0"/>
          <w:divBdr>
            <w:top w:val="none" w:sz="0" w:space="0" w:color="auto"/>
            <w:left w:val="none" w:sz="0" w:space="0" w:color="auto"/>
            <w:bottom w:val="none" w:sz="0" w:space="0" w:color="auto"/>
            <w:right w:val="none" w:sz="0" w:space="0" w:color="auto"/>
          </w:divBdr>
        </w:div>
        <w:div w:id="1023047450">
          <w:marLeft w:val="0"/>
          <w:marRight w:val="0"/>
          <w:marTop w:val="0"/>
          <w:marBottom w:val="0"/>
          <w:divBdr>
            <w:top w:val="none" w:sz="0" w:space="0" w:color="auto"/>
            <w:left w:val="none" w:sz="0" w:space="0" w:color="auto"/>
            <w:bottom w:val="none" w:sz="0" w:space="0" w:color="auto"/>
            <w:right w:val="none" w:sz="0" w:space="0" w:color="auto"/>
          </w:divBdr>
        </w:div>
      </w:divsChild>
    </w:div>
    <w:div w:id="1418672551">
      <w:bodyDiv w:val="1"/>
      <w:marLeft w:val="0"/>
      <w:marRight w:val="0"/>
      <w:marTop w:val="0"/>
      <w:marBottom w:val="0"/>
      <w:divBdr>
        <w:top w:val="none" w:sz="0" w:space="0" w:color="auto"/>
        <w:left w:val="none" w:sz="0" w:space="0" w:color="auto"/>
        <w:bottom w:val="none" w:sz="0" w:space="0" w:color="auto"/>
        <w:right w:val="none" w:sz="0" w:space="0" w:color="auto"/>
      </w:divBdr>
    </w:div>
    <w:div w:id="1501192097">
      <w:bodyDiv w:val="1"/>
      <w:marLeft w:val="0"/>
      <w:marRight w:val="0"/>
      <w:marTop w:val="0"/>
      <w:marBottom w:val="0"/>
      <w:divBdr>
        <w:top w:val="none" w:sz="0" w:space="0" w:color="auto"/>
        <w:left w:val="none" w:sz="0" w:space="0" w:color="auto"/>
        <w:bottom w:val="none" w:sz="0" w:space="0" w:color="auto"/>
        <w:right w:val="none" w:sz="0" w:space="0" w:color="auto"/>
      </w:divBdr>
    </w:div>
    <w:div w:id="1817331802">
      <w:bodyDiv w:val="1"/>
      <w:marLeft w:val="0"/>
      <w:marRight w:val="0"/>
      <w:marTop w:val="0"/>
      <w:marBottom w:val="0"/>
      <w:divBdr>
        <w:top w:val="none" w:sz="0" w:space="0" w:color="auto"/>
        <w:left w:val="none" w:sz="0" w:space="0" w:color="auto"/>
        <w:bottom w:val="none" w:sz="0" w:space="0" w:color="auto"/>
        <w:right w:val="none" w:sz="0" w:space="0" w:color="auto"/>
      </w:divBdr>
      <w:divsChild>
        <w:div w:id="1726565024">
          <w:marLeft w:val="0"/>
          <w:marRight w:val="0"/>
          <w:marTop w:val="0"/>
          <w:marBottom w:val="0"/>
          <w:divBdr>
            <w:top w:val="none" w:sz="0" w:space="0" w:color="auto"/>
            <w:left w:val="none" w:sz="0" w:space="0" w:color="auto"/>
            <w:bottom w:val="none" w:sz="0" w:space="0" w:color="auto"/>
            <w:right w:val="none" w:sz="0" w:space="0" w:color="auto"/>
          </w:divBdr>
        </w:div>
      </w:divsChild>
    </w:div>
    <w:div w:id="212919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cl.ac.uk/news/2020/mar/new-study-psychological-and-social-effects-COVID-1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prd.com/research-application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38ec887c5c24b7597ee90d37b16f021 xmlns="603af227-bd41-4012-ae1b-08ada9265a1f">
      <Terms xmlns="http://schemas.microsoft.com/office/infopath/2007/PartnerControls"/>
    </d38ec887c5c24b7597ee90d37b16f021>
    <l4d76ba1ef02463e886f3558602d0a10 xmlns="603af227-bd41-4012-ae1b-08ada9265a1f">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9d42bd58-89d2-4e46-94bb-80d8f31efd91</TermId>
        </TermInfo>
      </Terms>
    </l4d76ba1ef02463e886f3558602d0a10>
    <TaxCatchAll xmlns="603af227-bd41-4012-ae1b-08ada9265a1f">
      <Value>1</Value>
    </TaxCatchAll>
    <SharedWithUsers xmlns="8a823b26-61c0-4fc1-8c9c-eacd37b520f2">
      <UserInfo>
        <DisplayName>Hortin, Rhian</DisplayName>
        <AccountId>58</AccountId>
        <AccountType/>
      </UserInfo>
      <UserInfo>
        <DisplayName>Blackburn, Steven</DisplayName>
        <AccountId>23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Ephemera" ma:contentTypeID="0x0101005DC155F682264648A38C2A02D853A29A01005AE14E75CC14044EA8236F6BC639FB0D" ma:contentTypeVersion="" ma:contentTypeDescription="The base content type for all Agency documents" ma:contentTypeScope="" ma:versionID="881cb85251e1665fc8f87ed107cab16b">
  <xsd:schema xmlns:xsd="http://www.w3.org/2001/XMLSchema" xmlns:xs="http://www.w3.org/2001/XMLSchema" xmlns:p="http://schemas.microsoft.com/office/2006/metadata/properties" xmlns:ns2="603af227-bd41-4012-ae1b-08ada9265a1f" xmlns:ns3="69e1323f-216e-44fa-9f57-c4d5f4f53f14" xmlns:ns4="8a823b26-61c0-4fc1-8c9c-eacd37b520f2" targetNamespace="http://schemas.microsoft.com/office/2006/metadata/properties" ma:root="true" ma:fieldsID="89935e543661e0c217aec7068ed48c5e" ns2:_="" ns3:_="" ns4:_="">
    <xsd:import namespace="603af227-bd41-4012-ae1b-08ada9265a1f"/>
    <xsd:import namespace="69e1323f-216e-44fa-9f57-c4d5f4f53f14"/>
    <xsd:import namespace="8a823b26-61c0-4fc1-8c9c-eacd37b520f2"/>
    <xsd:element name="properties">
      <xsd:complexType>
        <xsd:sequence>
          <xsd:element name="documentManagement">
            <xsd:complexType>
              <xsd:all>
                <xsd:element ref="ns2:d38ec887c5c24b7597ee90d37b16f021" minOccurs="0"/>
                <xsd:element ref="ns2:TaxCatchAll" minOccurs="0"/>
                <xsd:element ref="ns2:TaxCatchAllLabel" minOccurs="0"/>
                <xsd:element ref="ns2:l4d76ba1ef02463e886f3558602d0a10"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af227-bd41-4012-ae1b-08ada9265a1f" elementFormDefault="qualified">
    <xsd:import namespace="http://schemas.microsoft.com/office/2006/documentManagement/types"/>
    <xsd:import namespace="http://schemas.microsoft.com/office/infopath/2007/PartnerControls"/>
    <xsd:element name="d38ec887c5c24b7597ee90d37b16f021" ma:index="8" nillable="true" ma:taxonomy="true" ma:internalName="d38ec887c5c24b7597ee90d37b16f021" ma:taxonomyFieldName="AgencyKeywords" ma:displayName="Agency Keywords" ma:default="" ma:fieldId="{d38ec887-c5c2-4b75-97ee-90d37b16f021}" ma:taxonomyMulti="true" ma:sspId="ee18d120-e8a3-4027-a24d-9aff90b49386" ma:termSetId="30143de7-8d03-4488-a6c1-277305f62f72"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8505CB1-3CF5-4CF3-8FFA-0CC326C0A0AA}" ma:internalName="TaxCatchAll" ma:showField="CatchAllData" ma:web="{db25db0b-5aa9-484b-b23e-8c5e891044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8505CB1-3CF5-4CF3-8FFA-0CC326C0A0AA}" ma:internalName="TaxCatchAllLabel" ma:readOnly="true" ma:showField="CatchAllDataLabel" ma:web="{db25db0b-5aa9-484b-b23e-8c5e8910443c}">
      <xsd:complexType>
        <xsd:complexContent>
          <xsd:extension base="dms:MultiChoiceLookup">
            <xsd:sequence>
              <xsd:element name="Value" type="dms:Lookup" maxOccurs="unbounded" minOccurs="0" nillable="true"/>
            </xsd:sequence>
          </xsd:extension>
        </xsd:complexContent>
      </xsd:complexType>
    </xsd:element>
    <xsd:element name="l4d76ba1ef02463e886f3558602d0a10" ma:index="12" nillable="true" ma:taxonomy="true" ma:internalName="l4d76ba1ef02463e886f3558602d0a10" ma:taxonomyFieldName="SecurityClassification" ma:displayName="Security Classification" ma:default="1;#Official|9d42bd58-89d2-4e46-94bb-80d8f31efd91" ma:fieldId="{54d76ba1-ef02-463e-886f-3558602d0a10}" ma:sspId="ee18d120-e8a3-4027-a24d-9aff90b49386" ma:termSetId="39c39363-0566-4543-8d36-d2293ffdaad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e1323f-216e-44fa-9f57-c4d5f4f53f14"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823b26-61c0-4fc1-8c9c-eacd37b520f2"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CD12B-D646-4319-94D6-1A1610AD780E}">
  <ds:schemaRefs>
    <ds:schemaRef ds:uri="http://schemas.microsoft.com/office/2006/metadata/properties"/>
    <ds:schemaRef ds:uri="http://schemas.microsoft.com/office/infopath/2007/PartnerControls"/>
    <ds:schemaRef ds:uri="603af227-bd41-4012-ae1b-08ada9265a1f"/>
    <ds:schemaRef ds:uri="8a823b26-61c0-4fc1-8c9c-eacd37b520f2"/>
  </ds:schemaRefs>
</ds:datastoreItem>
</file>

<file path=customXml/itemProps2.xml><?xml version="1.0" encoding="utf-8"?>
<ds:datastoreItem xmlns:ds="http://schemas.openxmlformats.org/officeDocument/2006/customXml" ds:itemID="{60B0B985-38E3-491A-813F-77FAC6EB84E7}">
  <ds:schemaRefs>
    <ds:schemaRef ds:uri="http://schemas.openxmlformats.org/officeDocument/2006/bibliography"/>
  </ds:schemaRefs>
</ds:datastoreItem>
</file>

<file path=customXml/itemProps3.xml><?xml version="1.0" encoding="utf-8"?>
<ds:datastoreItem xmlns:ds="http://schemas.openxmlformats.org/officeDocument/2006/customXml" ds:itemID="{BBDE6D4E-0271-4D71-A423-F17A8EE7A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af227-bd41-4012-ae1b-08ada9265a1f"/>
    <ds:schemaRef ds:uri="69e1323f-216e-44fa-9f57-c4d5f4f53f14"/>
    <ds:schemaRef ds:uri="8a823b26-61c0-4fc1-8c9c-eacd37b520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EA0D36-1A4B-4CD3-9956-4CB6BAEDF2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21667</Words>
  <Characters>123503</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Jonathan</dc:creator>
  <cp:keywords/>
  <dc:description/>
  <cp:lastModifiedBy>Kate Mansfield</cp:lastModifiedBy>
  <cp:revision>3</cp:revision>
  <dcterms:created xsi:type="dcterms:W3CDTF">2020-07-08T12:39:00Z</dcterms:created>
  <dcterms:modified xsi:type="dcterms:W3CDTF">2020-07-14T12:17:00Z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0x0101005DC155F682264648A38C2A02D853A29A01005AE14E75CC14044EA8236F6BC639FB0D</vt:lpwstr>
  </property>
  <property fmtid="{D5CDD505-2E9C-101B-9397-08002B2CF9AE}" pid="3" name="AgencyKeywords">
    <vt:lpwstr/>
  </property>
  <property fmtid="{D5CDD505-2E9C-101B-9397-08002B2CF9AE}" pid="4" name="SecurityClassification">
    <vt:lpwstr>1;#Official|9d42bd58-89d2-4e46-94bb-80d8f31efd91</vt:lpwstr>
  </property>
  <property fmtid="{D5CDD505-2E9C-101B-9397-08002B2CF9AE}" pid="5" name="AuthorIds_UIVersion_4608">
    <vt:lpwstr>57</vt:lpwstr>
  </property>
  <property fmtid="{D5CDD505-2E9C-101B-9397-08002B2CF9AE}" pid="6" name="AuthorIds_UIVersion_5120">
    <vt:lpwstr>1545</vt:lpwstr>
  </property>
  <property fmtid="{D5CDD505-2E9C-101B-9397-08002B2CF9AE}" pid="7" name="AuthorIds_UIVersion_7680">
    <vt:lpwstr>57</vt:lpwstr>
  </property>
  <property fmtid="{D5CDD505-2E9C-101B-9397-08002B2CF9AE}" pid="8" name="AuthorIds_UIVersion_8192">
    <vt:lpwstr>57</vt:lpwstr>
  </property>
  <property fmtid="{D5CDD505-2E9C-101B-9397-08002B2CF9AE}" pid="9" name="AuthorIds_UIVersion_8704">
    <vt:lpwstr>57</vt:lpwstr>
  </property>
  <property fmtid="{D5CDD505-2E9C-101B-9397-08002B2CF9AE}" pid="10" name="AuthorIds_UIVersion_9728">
    <vt:lpwstr>57</vt:lpwstr>
  </property>
  <property fmtid="{D5CDD505-2E9C-101B-9397-08002B2CF9AE}" pid="11" name="AuthorIds_UIVersion_10752">
    <vt:lpwstr>57</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http://www.zotero.org/styles/bmc-medicine</vt:lpwstr>
  </property>
  <property fmtid="{D5CDD505-2E9C-101B-9397-08002B2CF9AE}" pid="19" name="Mendeley Recent Style Name 3_1">
    <vt:lpwstr>BMC Medicine</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10th edition - Harvard</vt:lpwstr>
  </property>
  <property fmtid="{D5CDD505-2E9C-101B-9397-08002B2CF9AE}" pid="24" name="Mendeley Recent Style Id 6_1">
    <vt:lpwstr>http://www.zotero.org/styles/jama</vt:lpwstr>
  </property>
  <property fmtid="{D5CDD505-2E9C-101B-9397-08002B2CF9AE}" pid="25" name="Mendeley Recent Style Name 6_1">
    <vt:lpwstr>JAMA (The Journal of the American Medical Association)</vt:lpwstr>
  </property>
  <property fmtid="{D5CDD505-2E9C-101B-9397-08002B2CF9AE}" pid="26" name="Mendeley Recent Style Id 7_1">
    <vt:lpwstr>http://www.zotero.org/styles/jama-dermatology</vt:lpwstr>
  </property>
  <property fmtid="{D5CDD505-2E9C-101B-9397-08002B2CF9AE}" pid="27" name="Mendeley Recent Style Name 7_1">
    <vt:lpwstr>JAMA Dermatology</vt:lpwstr>
  </property>
  <property fmtid="{D5CDD505-2E9C-101B-9397-08002B2CF9AE}" pid="28" name="Mendeley Recent Style Id 8_1">
    <vt:lpwstr>http://www.zotero.org/styles/the-journal-of-allergy-and-clinical-immunology</vt:lpwstr>
  </property>
  <property fmtid="{D5CDD505-2E9C-101B-9397-08002B2CF9AE}" pid="29" name="Mendeley Recent Style Name 8_1">
    <vt:lpwstr>The Journal of Allergy and Clinical Immunology</vt:lpwstr>
  </property>
  <property fmtid="{D5CDD505-2E9C-101B-9397-08002B2CF9AE}" pid="30" name="Mendeley Recent Style Id 9_1">
    <vt:lpwstr>http://www.zotero.org/styles/the-lancet</vt:lpwstr>
  </property>
  <property fmtid="{D5CDD505-2E9C-101B-9397-08002B2CF9AE}" pid="31" name="Mendeley Recent Style Name 9_1">
    <vt:lpwstr>The Lancet</vt:lpwstr>
  </property>
  <property fmtid="{D5CDD505-2E9C-101B-9397-08002B2CF9AE}" pid="32" name="Mendeley Citation Style_1">
    <vt:lpwstr>http://www.zotero.org/styles/the-lancet</vt:lpwstr>
  </property>
  <property fmtid="{D5CDD505-2E9C-101B-9397-08002B2CF9AE}" pid="33" name="Mendeley Document_1">
    <vt:lpwstr>True</vt:lpwstr>
  </property>
  <property fmtid="{D5CDD505-2E9C-101B-9397-08002B2CF9AE}" pid="34" name="Mendeley Unique User Id_1">
    <vt:lpwstr>19282d33-bf5e-3785-9c68-f4e0b1922823</vt:lpwstr>
  </property>
</Properties>
</file>