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5F"/>
          <w:sz w:val="20"/>
          <w:szCs w:val="20"/>
        </w:rPr>
        <w:t xml:space="preserve">PROJET IMMOCOLOC / COLOCIMMO</w:t>
      </w:r>
    </w:p>
    <w:p>
      <w:pPr>
        <w:spacing w:after="40"/>
        <w:jc w:val="center"/>
      </w:pPr>
      <w:r>
        <w:rPr>
          <w:b/>
          <w:bCs/>
          <w:sz w:val="32"/>
          <w:szCs w:val="32"/>
        </w:rPr>
        <w:t xml:space="preserve">Rapport d'audit de sécurité et de vérification de conformité</w:t>
      </w:r>
    </w:p>
    <w:p>
      <w:pPr>
        <w:spacing w:after="60"/>
        <w:jc w:val="center"/>
      </w:pPr>
      <w:r>
        <w:rPr>
          <w:i/>
          <w:iCs/>
          <w:color w:val="555555"/>
          <w:sz w:val="20"/>
          <w:szCs w:val="20"/>
        </w:rPr>
        <w:t xml:space="preserve">Mise à jour du projet — Backend Spring Boot · Frontend React · Mobile Android (Kotlin)</w:t>
      </w:r>
    </w:p>
    <w:p>
      <w:pPr>
        <w:pBdr>
          <w:bottom w:val="single" w:color="1F4E5F" w:sz="6" w:space="8"/>
        </w:pBdr>
        <w:spacing w:after="200"/>
        <w:jc w:val="center"/>
      </w:pPr>
    </w:p>
    <w:p>
      <w:pPr>
        <w:pStyle w:val="Heading1"/>
        <w:spacing w:after="120" w:before="260"/>
      </w:pPr>
      <w:r>
        <w:rPr>
          <w:b/>
          <w:bCs/>
        </w:rPr>
        <w:t xml:space="preserve">1. Objet et périmètre</w:t>
      </w:r>
    </w:p>
    <w:p>
      <w:pPr>
        <w:spacing w:after="120"/>
      </w:pPr>
      <w:r>
        <w:t xml:space="preserve">Ce document rend compte de la mise à jour de sécurité demandée sur la plateforme, et vérifie la cohérence entre les conditions énoncées dans le rapport de stage et le code effectivement livré. La demande principale portait sur un point précis : empêcher qu'un utilisateur puisse accéder au compte ou aux données d'un autre utilisateur « juste en cliquant ». L'audit a confirmé l'existence de cette faille et le présent document détaille les correctifs appliqués.</w:t>
      </w:r>
    </w:p>
    <w:p>
      <w:pPr>
        <w:spacing w:after="120"/>
      </w:pPr>
      <w:r>
        <w:t xml:space="preserve">Trois bases de code ont été examinées : le backend (API REST Spring Boot / JHipster), le client web (React + TypeScript) et l'application mobile.</w:t>
      </w:r>
    </w:p>
    <w:p>
      <w:pPr>
        <w:pStyle w:val="Heading1"/>
        <w:spacing w:after="120" w:before="260"/>
      </w:pPr>
      <w:r>
        <w:rPr>
          <w:b/>
          <w:bCs/>
        </w:rPr>
        <w:t xml:space="preserve">2. Divergence entre le rapport et le code : le mobile est en Kotlin</w:t>
      </w:r>
    </w:p>
    <w:p>
      <w:pPr>
        <w:spacing w:after="120"/>
      </w:pPr>
      <w:r>
        <w:t xml:space="preserve">Point important à corriger dans le rapport. Le chapitre 3 (choix technologiques) et le tableau 6 annoncent une application mobile développée en Flutter (Dart). Or le code livré est une application Android native écrite en Kotlin (Jetpack Compose), sous le package bf.colocation.immo.</w:t>
      </w:r>
    </w:p>
    <w:p>
      <w:pPr>
        <w:spacing w:after="120"/>
      </w:pPr>
      <w:r>
        <w:t xml:space="preserve">Constat mesuré sur les sources : 42 fichiers Kotlin (.kt), 0 fichier Dart (.dart). Il ne s'agit donc pas d'un mélange des deux technologies mais bien d'un choix unique — Kotlin — différent de celui décrit dans le rapport.</w:t>
      </w:r>
    </w:p>
    <w:p>
      <w:pPr>
        <w:spacing w:after="120"/>
      </w:pPr>
      <w:r>
        <w:t xml:space="preserve">Recommandation : mettre le rapport en cohérence avec le code, en remplaçant « Flutter (Dart) » par « Android natif (Kotlin, Jetpack Compose) » au chapitre 3.4.1, dans le tableau 6 et partout où Flutter est mentionné. La logique métier reste partagée via l'API REST commune, ce qui ne change pas l'architecture n-tiers décrite.</w:t>
      </w:r>
    </w:p>
    <w:p>
      <w:pPr>
        <w:pStyle w:val="Heading1"/>
        <w:spacing w:after="120" w:before="260"/>
      </w:pPr>
      <w:r>
        <w:rPr>
          <w:b/>
          <w:bCs/>
        </w:rPr>
        <w:t xml:space="preserve">3. La faille de sécurité principale : accès aux données d'autrui (IDOR)</w:t>
      </w:r>
    </w:p>
    <w:p>
      <w:pPr>
        <w:spacing w:after="120"/>
      </w:pPr>
      <w:r>
        <w:t xml:space="preserve">La configuration de sécurité HTTP du backend exige seulement un jeton valide sur /api/** (règle .authenticated()). Elle ne dit rien sur l'appartenance des objets. En conséquence, tout utilisateur connecté pouvait accéder aux données d'un autre en changeant simplement un identifiant dans l'URL ou dans un paramètre. C'est une faille classique de type IDOR (Insecure Direct Object Reference).</w:t>
      </w:r>
    </w:p>
    <w:p>
      <w:pPr>
        <w:spacing w:after="120"/>
      </w:pPr>
      <w:r>
        <w:rPr>
          <w:b/>
          <w:bCs/>
        </w:rPr>
        <w:t xml:space="preserve">Deux mécanismes concrets étaient en cause :</w:t>
      </w:r>
    </w:p>
    <w:p>
      <w:pPr>
        <w:pStyle w:val="ListParagraph"/>
        <w:numPr>
          <w:ilvl w:val="0"/>
          <w:numId w:val="1"/>
        </w:numPr>
        <w:spacing w:after="60"/>
      </w:pPr>
      <w:r>
        <w:t xml:space="preserve">Les listes « personnelles » n'étaient pas filtrées côté serveur. Par exemple GET /api/rendez-vous et GET /api/favoris renvoyaient les enregistrements de TOUS les utilisateurs ; le client se contentait de demander « les miens » via un paramètre qu'il contrôlait lui-même.</w:t>
      </w:r>
    </w:p>
    <w:p>
      <w:pPr>
        <w:pStyle w:val="ListParagraph"/>
        <w:numPr>
          <w:ilvl w:val="0"/>
          <w:numId w:val="1"/>
        </w:numPr>
        <w:spacing w:after="60"/>
      </w:pPr>
      <w:r>
        <w:t xml:space="preserve">Les lectures et écritures par identifiant (GET/PUT/PATCH/DELETE /api/…/{id}) ne vérifiaient aucune appartenance : il suffisait de deviner un identifiant (1, 2, 3…) pour lire ou modifier le rendez-vous, le document de vérification, l'alerte, la notification ou le profil d'un autre.</w:t>
      </w:r>
    </w:p>
    <w:p>
      <w:pPr>
        <w:spacing w:after="120"/>
      </w:pPr>
      <w:r>
        <w:rPr>
          <w:i/>
          <w:iCs/>
        </w:rPr>
        <w:t xml:space="preserve">Illustration : un utilisateur authentifié appelant GET /api/documents/3 récupérait la pièce d'identité téléversée par le démarcheur n°3, quel qu'il soit. En modifiant l'identifiant, il parcourait l'ensemble des documents de la plateforme.</w:t>
      </w:r>
    </w:p>
    <w:p>
      <w:pPr>
        <w:spacing w:after="120"/>
      </w:pPr>
      <w:r>
        <w:t xml:space="preserve">À noter : les transitions métier (accepter/refuser/annuler un rendez-vous, publier/archiver une annonce, remplacer/télécharger un document, initier/consulter un paiement) vérifiaient déjà l'appartenance dans leurs services dédiés. La faille se logeait exclusivement dans le CRUD générique généré automatiquement, resté sans contrôle.</w:t>
      </w:r>
    </w:p>
    <w:p>
      <w:pPr>
        <w:pStyle w:val="Heading1"/>
        <w:spacing w:after="120" w:before="260"/>
      </w:pPr>
      <w:r>
        <w:rPr>
          <w:b/>
          <w:bCs/>
        </w:rPr>
        <w:t xml:space="preserve">4. Correctifs appliqués</w:t>
      </w:r>
    </w:p>
    <w:p>
      <w:pPr>
        <w:spacing w:after="120"/>
      </w:pPr>
      <w:r>
        <w:t xml:space="preserve">La correction repose sur un principe : l'autorisation « au niveau des données » est désormais imposée côté serveur, jamais déduite d'un paramètre fourni par le client. Un service central d'autorisation a été introduit, puis appliqué à toutes les ressources sensibles.</w:t>
      </w:r>
    </w:p>
    <w:p>
      <w:pPr>
        <w:pStyle w:val="Heading2"/>
        <w:spacing w:after="120" w:before="260"/>
      </w:pPr>
      <w:r>
        <w:rPr>
          <w:b/>
          <w:bCs/>
        </w:rPr>
        <w:t xml:space="preserve">4.1. Nouveau service central d'autorisation</w:t>
      </w:r>
    </w:p>
    <w:p>
      <w:pPr>
        <w:spacing w:after="120"/>
      </w:pPr>
      <w:r>
        <w:t xml:space="preserve">Le fichier service/security/AutorisationService.java fournit :</w:t>
      </w:r>
    </w:p>
    <w:p>
      <w:pPr>
        <w:pStyle w:val="ListParagraph"/>
        <w:numPr>
          <w:ilvl w:val="0"/>
          <w:numId w:val="1"/>
        </w:numPr>
        <w:spacing w:after="60"/>
      </w:pPr>
      <w:r>
        <w:t xml:space="preserve">idUtilisateurCourant() — l'identifiant de l'utilisateur, lu dans le jeton JWT (claim userId), jamais dans un paramètre de requête.</w:t>
      </w:r>
    </w:p>
    <w:p>
      <w:pPr>
        <w:pStyle w:val="ListParagraph"/>
        <w:numPr>
          <w:ilvl w:val="0"/>
          <w:numId w:val="1"/>
        </w:numPr>
        <w:spacing w:after="60"/>
      </w:pPr>
      <w:r>
        <w:t xml:space="preserve">estAdmin() — l'administrateur conserve un accès complet, nécessaire à la modération.</w:t>
      </w:r>
    </w:p>
    <w:p>
      <w:pPr>
        <w:pStyle w:val="ListParagraph"/>
        <w:numPr>
          <w:ilvl w:val="0"/>
          <w:numId w:val="1"/>
        </w:numPr>
        <w:spacing w:after="60"/>
      </w:pPr>
      <w:r>
        <w:t xml:space="preserve">exigerProprietaireOuAdmin(idProprietaire) — refuse l'accès (HTTP 403) si l'utilisateur courant n'est ni le propriétaire de la ressource ni administrateur.</w:t>
      </w:r>
    </w:p>
    <w:p>
      <w:pPr>
        <w:pStyle w:val="ListParagraph"/>
        <w:numPr>
          <w:ilvl w:val="0"/>
          <w:numId w:val="1"/>
        </w:numPr>
        <w:spacing w:after="60"/>
      </w:pPr>
      <w:r>
        <w:t xml:space="preserve">exigerUnDesProprietairesOuAdmin(…) — variante pour les objets à double titulaire légitime, comme le rendez-vous, accessible à la fois au locataire demandeur et à l'auteur de l'annonce.</w:t>
      </w:r>
    </w:p>
    <w:p>
      <w:pPr>
        <w:pStyle w:val="Heading2"/>
        <w:spacing w:after="120" w:before="260"/>
      </w:pPr>
      <w:r>
        <w:rPr>
          <w:b/>
          <w:bCs/>
        </w:rPr>
        <w:t xml:space="preserve">4.2. Deux verrous par ressource</w:t>
      </w:r>
    </w:p>
    <w:p>
      <w:pPr>
        <w:spacing w:after="120"/>
      </w:pPr>
      <w:r>
        <w:t xml:space="preserve">Chaque ressource sensible reçoit désormais :</w:t>
      </w:r>
    </w:p>
    <w:p>
      <w:pPr>
        <w:pStyle w:val="ListParagraph"/>
        <w:numPr>
          <w:ilvl w:val="0"/>
          <w:numId w:val="1"/>
        </w:numPr>
        <w:spacing w:after="60"/>
      </w:pPr>
      <w:r>
        <w:t xml:space="preserve">Filtrage de la liste côté serveur : la requête est forcée sur le propriétaire courant (sauf pour l'administrateur). Tout paramètre client tentant d'élargir la portée est écrasé.</w:t>
      </w:r>
    </w:p>
    <w:p>
      <w:pPr>
        <w:pStyle w:val="ListParagraph"/>
        <w:numPr>
          <w:ilvl w:val="0"/>
          <w:numId w:val="1"/>
        </w:numPr>
        <w:spacing w:after="60"/>
      </w:pPr>
      <w:r>
        <w:t xml:space="preserve">Vérification d'appartenance sur chaque accès par identifiant : GET, PUT, PATCH et DELETE /{id} renvoient 403 si la ressource n'appartient pas à l'appelant.</w:t>
      </w:r>
    </w:p>
    <w:p>
      <w:pPr>
        <w:shd w:fill="F2F4F5" w:val="clear"/>
        <w:spacing w:after="100"/>
      </w:pPr>
      <w:r>
        <w:rPr>
          <w:rFonts w:ascii="Consolas" w:cs="Consolas" w:eastAsia="Consolas" w:hAnsi="Consolas"/>
          <w:sz w:val="18"/>
          <w:szCs w:val="18"/>
        </w:rPr>
        <w:t xml:space="preserve">if (!autorisation.estAdmin()) { criteria.setUtilisateurId(monId); }   // liste scopée</w:t>
      </w:r>
    </w:p>
    <w:p>
      <w:pPr>
        <w:shd w:fill="F2F4F5" w:val="clear"/>
        <w:spacing w:after="100"/>
      </w:pPr>
      <w:r>
        <w:rPr>
          <w:rFonts w:ascii="Consolas" w:cs="Consolas" w:eastAsia="Consolas" w:hAnsi="Consolas"/>
          <w:sz w:val="18"/>
          <w:szCs w:val="18"/>
        </w:rPr>
        <w:t xml:space="preserve">favori.ifPresent(d -&gt; autorisation.exigerProprietaireOuAdmin(d.getUtilisateur().getId()));  // accès par id</w:t>
      </w:r>
    </w:p>
    <w:p>
      <w:pPr>
        <w:pStyle w:val="Heading2"/>
        <w:spacing w:after="120" w:before="260"/>
      </w:pPr>
      <w:r>
        <w:rPr>
          <w:b/>
          <w:bCs/>
        </w:rPr>
        <w:t xml:space="preserve">4.3. Ressources corrigées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3060"/>
      </w:tblGrid>
      <w:tr>
        <w:trPr>
          <w:tblHeader/>
        </w:trPr>
        <w:tc>
          <w:tcPr>
            <w:tcW w:type="dxa" w:w="1500"/>
            <w:shd w:fill="1F4E5F" w:val="clear"/>
            <w:tcMar>
              <w:top w:type="dxa" w:w="60"/>
              <w:left w:type="dxa" w:w="90"/>
              <w:bottom w:type="dxa" w:w="60"/>
              <w:right w:type="dxa" w:w="90"/>
            </w:tcMar>
          </w:tcPr>
          <w:p>
            <w:r>
              <w:rPr>
                <w:b/>
                <w:bCs/>
                <w:color w:val="FFFFFF"/>
                <w:sz w:val="18"/>
                <w:szCs w:val="18"/>
              </w:rPr>
              <w:t xml:space="preserve">Ressource</w:t>
            </w:r>
          </w:p>
        </w:tc>
        <w:tc>
          <w:tcPr>
            <w:tcW w:type="dxa" w:w="2600"/>
            <w:shd w:fill="1F4E5F" w:val="clear"/>
            <w:tcMar>
              <w:top w:type="dxa" w:w="60"/>
              <w:left w:type="dxa" w:w="90"/>
              <w:bottom w:type="dxa" w:w="60"/>
              <w:right w:type="dxa" w:w="90"/>
            </w:tcMar>
          </w:tcPr>
          <w:p>
            <w:r>
              <w:rPr>
                <w:b/>
                <w:bCs/>
                <w:color w:val="FFFFFF"/>
                <w:sz w:val="18"/>
                <w:szCs w:val="18"/>
              </w:rPr>
              <w:t xml:space="preserve">Donnée protégée</w:t>
            </w:r>
          </w:p>
        </w:tc>
        <w:tc>
          <w:tcPr>
            <w:tcW w:type="dxa" w:w="2200"/>
            <w:shd w:fill="1F4E5F" w:val="clear"/>
            <w:tcMar>
              <w:top w:type="dxa" w:w="60"/>
              <w:left w:type="dxa" w:w="90"/>
              <w:bottom w:type="dxa" w:w="60"/>
              <w:right w:type="dxa" w:w="90"/>
            </w:tcMar>
          </w:tcPr>
          <w:p>
            <w:r>
              <w:rPr>
                <w:b/>
                <w:bCs/>
                <w:color w:val="FFFFFF"/>
                <w:sz w:val="18"/>
                <w:szCs w:val="18"/>
              </w:rPr>
              <w:t xml:space="preserve">Propriétaire</w:t>
            </w:r>
          </w:p>
        </w:tc>
        <w:tc>
          <w:tcPr>
            <w:tcW w:type="dxa" w:w="3060"/>
            <w:shd w:fill="1F4E5F" w:val="clear"/>
            <w:tcMar>
              <w:top w:type="dxa" w:w="60"/>
              <w:left w:type="dxa" w:w="90"/>
              <w:bottom w:type="dxa" w:w="60"/>
              <w:right w:type="dxa" w:w="90"/>
            </w:tcMar>
          </w:tcPr>
          <w:p>
            <w:r>
              <w:rPr>
                <w:b/>
                <w:bCs/>
                <w:color w:val="FFFFFF"/>
                <w:sz w:val="18"/>
                <w:szCs w:val="18"/>
              </w:rPr>
              <w:t xml:space="preserve">Correctif</w:t>
            </w:r>
          </w:p>
        </w:tc>
      </w:tr>
      <w:tr>
        <w:tc>
          <w:tcPr>
            <w:tcW w:type="dxa" w:w="1500"/>
            <w:tcMar>
              <w:top w:type="dxa" w:w="60"/>
              <w:left w:type="dxa" w:w="90"/>
              <w:bottom w:type="dxa" w:w="60"/>
              <w:right w:type="dxa" w:w="90"/>
            </w:tcMar>
          </w:tcPr>
          <w:p>
            <w:r>
              <w:rPr>
                <w:sz w:val="18"/>
                <w:szCs w:val="18"/>
              </w:rPr>
              <w:t xml:space="preserve">RendezVous</w:t>
            </w:r>
          </w:p>
        </w:tc>
        <w:tc>
          <w:tcPr>
            <w:tcW w:type="dxa" w:w="2600"/>
            <w:tcMar>
              <w:top w:type="dxa" w:w="60"/>
              <w:left w:type="dxa" w:w="90"/>
              <w:bottom w:type="dxa" w:w="60"/>
              <w:right w:type="dxa" w:w="90"/>
            </w:tcMar>
          </w:tcPr>
          <w:p>
            <w:r>
              <w:rPr>
                <w:sz w:val="18"/>
                <w:szCs w:val="18"/>
              </w:rPr>
              <w:t xml:space="preserve">Visites, créneaux</w:t>
            </w:r>
          </w:p>
        </w:tc>
        <w:tc>
          <w:tcPr>
            <w:tcW w:type="dxa" w:w="2200"/>
            <w:tcMar>
              <w:top w:type="dxa" w:w="60"/>
              <w:left w:type="dxa" w:w="90"/>
              <w:bottom w:type="dxa" w:w="60"/>
              <w:right w:type="dxa" w:w="90"/>
            </w:tcMar>
          </w:tcPr>
          <w:p>
            <w:r>
              <w:rPr>
                <w:sz w:val="18"/>
                <w:szCs w:val="18"/>
              </w:rPr>
              <w:t xml:space="preserve">demandeur / auteur annonce</w:t>
            </w:r>
          </w:p>
        </w:tc>
        <w:tc>
          <w:tcPr>
            <w:tcW w:type="dxa" w:w="3060"/>
            <w:tcMar>
              <w:top w:type="dxa" w:w="60"/>
              <w:left w:type="dxa" w:w="90"/>
              <w:bottom w:type="dxa" w:w="60"/>
              <w:right w:type="dxa" w:w="90"/>
            </w:tcMar>
          </w:tcPr>
          <w:p>
            <w:r>
              <w:rPr>
                <w:sz w:val="18"/>
                <w:szCs w:val="18"/>
              </w:rPr>
              <w:t xml:space="preserve">Liste scopée (les deux rôles) + contrôle 403 par id</w:t>
            </w:r>
          </w:p>
        </w:tc>
      </w:tr>
      <w:tr>
        <w:tc>
          <w:tcPr>
            <w:tcW w:type="dxa" w:w="1500"/>
            <w:tcMar>
              <w:top w:type="dxa" w:w="60"/>
              <w:left w:type="dxa" w:w="90"/>
              <w:bottom w:type="dxa" w:w="60"/>
              <w:right w:type="dxa" w:w="90"/>
            </w:tcMar>
          </w:tcPr>
          <w:p>
            <w:r>
              <w:rPr>
                <w:sz w:val="18"/>
                <w:szCs w:val="18"/>
              </w:rPr>
              <w:t xml:space="preserve">Document</w:t>
            </w:r>
          </w:p>
        </w:tc>
        <w:tc>
          <w:tcPr>
            <w:tcW w:type="dxa" w:w="2600"/>
            <w:tcMar>
              <w:top w:type="dxa" w:w="60"/>
              <w:left w:type="dxa" w:w="90"/>
              <w:bottom w:type="dxa" w:w="60"/>
              <w:right w:type="dxa" w:w="90"/>
            </w:tcMar>
          </w:tcPr>
          <w:p>
            <w:r>
              <w:rPr>
                <w:sz w:val="18"/>
                <w:szCs w:val="18"/>
              </w:rPr>
              <w:t xml:space="preserve">Pièces KYC du démarcheur</w:t>
            </w:r>
          </w:p>
        </w:tc>
        <w:tc>
          <w:tcPr>
            <w:tcW w:type="dxa" w:w="2200"/>
            <w:tcMar>
              <w:top w:type="dxa" w:w="60"/>
              <w:left w:type="dxa" w:w="90"/>
              <w:bottom w:type="dxa" w:w="60"/>
              <w:right w:type="dxa" w:w="90"/>
            </w:tcMar>
          </w:tcPr>
          <w:p>
            <w:r>
              <w:rPr>
                <w:sz w:val="18"/>
                <w:szCs w:val="18"/>
              </w:rPr>
              <w:t xml:space="preserve">demarcheur</w:t>
            </w:r>
          </w:p>
        </w:tc>
        <w:tc>
          <w:tcPr>
            <w:tcW w:type="dxa" w:w="3060"/>
            <w:tcMar>
              <w:top w:type="dxa" w:w="60"/>
              <w:left w:type="dxa" w:w="90"/>
              <w:bottom w:type="dxa" w:w="60"/>
              <w:right w:type="dxa" w:w="90"/>
            </w:tcMar>
          </w:tcPr>
          <w:p>
            <w:r>
              <w:rPr>
                <w:sz w:val="18"/>
                <w:szCs w:val="18"/>
              </w:rPr>
              <w:t xml:space="preserve">Liste scopée + contrôle 403 par id</w:t>
            </w:r>
          </w:p>
        </w:tc>
      </w:tr>
      <w:tr>
        <w:tc>
          <w:tcPr>
            <w:tcW w:type="dxa" w:w="1500"/>
            <w:tcMar>
              <w:top w:type="dxa" w:w="60"/>
              <w:left w:type="dxa" w:w="90"/>
              <w:bottom w:type="dxa" w:w="60"/>
              <w:right w:type="dxa" w:w="90"/>
            </w:tcMar>
          </w:tcPr>
          <w:p>
            <w:r>
              <w:rPr>
                <w:sz w:val="18"/>
                <w:szCs w:val="18"/>
              </w:rPr>
              <w:t xml:space="preserve">Favori</w:t>
            </w:r>
          </w:p>
        </w:tc>
        <w:tc>
          <w:tcPr>
            <w:tcW w:type="dxa" w:w="2600"/>
            <w:tcMar>
              <w:top w:type="dxa" w:w="60"/>
              <w:left w:type="dxa" w:w="90"/>
              <w:bottom w:type="dxa" w:w="60"/>
              <w:right w:type="dxa" w:w="90"/>
            </w:tcMar>
          </w:tcPr>
          <w:p>
            <w:r>
              <w:rPr>
                <w:sz w:val="18"/>
                <w:szCs w:val="18"/>
              </w:rPr>
              <w:t xml:space="preserve">Annonces favorites</w:t>
            </w:r>
          </w:p>
        </w:tc>
        <w:tc>
          <w:tcPr>
            <w:tcW w:type="dxa" w:w="2200"/>
            <w:tcMar>
              <w:top w:type="dxa" w:w="60"/>
              <w:left w:type="dxa" w:w="90"/>
              <w:bottom w:type="dxa" w:w="60"/>
              <w:right w:type="dxa" w:w="90"/>
            </w:tcMar>
          </w:tcPr>
          <w:p>
            <w:r>
              <w:rPr>
                <w:sz w:val="18"/>
                <w:szCs w:val="18"/>
              </w:rPr>
              <w:t xml:space="preserve">utilisateur</w:t>
            </w:r>
          </w:p>
        </w:tc>
        <w:tc>
          <w:tcPr>
            <w:tcW w:type="dxa" w:w="3060"/>
            <w:tcMar>
              <w:top w:type="dxa" w:w="60"/>
              <w:left w:type="dxa" w:w="90"/>
              <w:bottom w:type="dxa" w:w="60"/>
              <w:right w:type="dxa" w:w="90"/>
            </w:tcMar>
          </w:tcPr>
          <w:p>
            <w:r>
              <w:rPr>
                <w:sz w:val="18"/>
                <w:szCs w:val="18"/>
              </w:rPr>
              <w:t xml:space="preserve">Liste scopée + contrôle 403 par id</w:t>
            </w:r>
          </w:p>
        </w:tc>
      </w:tr>
      <w:tr>
        <w:tc>
          <w:tcPr>
            <w:tcW w:type="dxa" w:w="1500"/>
            <w:tcMar>
              <w:top w:type="dxa" w:w="60"/>
              <w:left w:type="dxa" w:w="90"/>
              <w:bottom w:type="dxa" w:w="60"/>
              <w:right w:type="dxa" w:w="90"/>
            </w:tcMar>
          </w:tcPr>
          <w:p>
            <w:r>
              <w:rPr>
                <w:sz w:val="18"/>
                <w:szCs w:val="18"/>
              </w:rPr>
              <w:t xml:space="preserve">Alerte</w:t>
            </w:r>
          </w:p>
        </w:tc>
        <w:tc>
          <w:tcPr>
            <w:tcW w:type="dxa" w:w="2600"/>
            <w:tcMar>
              <w:top w:type="dxa" w:w="60"/>
              <w:left w:type="dxa" w:w="90"/>
              <w:bottom w:type="dxa" w:w="60"/>
              <w:right w:type="dxa" w:w="90"/>
            </w:tcMar>
          </w:tcPr>
          <w:p>
            <w:r>
              <w:rPr>
                <w:sz w:val="18"/>
                <w:szCs w:val="18"/>
              </w:rPr>
              <w:t xml:space="preserve">Alertes de prix</w:t>
            </w:r>
          </w:p>
        </w:tc>
        <w:tc>
          <w:tcPr>
            <w:tcW w:type="dxa" w:w="2200"/>
            <w:tcMar>
              <w:top w:type="dxa" w:w="60"/>
              <w:left w:type="dxa" w:w="90"/>
              <w:bottom w:type="dxa" w:w="60"/>
              <w:right w:type="dxa" w:w="90"/>
            </w:tcMar>
          </w:tcPr>
          <w:p>
            <w:r>
              <w:rPr>
                <w:sz w:val="18"/>
                <w:szCs w:val="18"/>
              </w:rPr>
              <w:t xml:space="preserve">titulaire</w:t>
            </w:r>
          </w:p>
        </w:tc>
        <w:tc>
          <w:tcPr>
            <w:tcW w:type="dxa" w:w="3060"/>
            <w:tcMar>
              <w:top w:type="dxa" w:w="60"/>
              <w:left w:type="dxa" w:w="90"/>
              <w:bottom w:type="dxa" w:w="60"/>
              <w:right w:type="dxa" w:w="90"/>
            </w:tcMar>
          </w:tcPr>
          <w:p>
            <w:r>
              <w:rPr>
                <w:sz w:val="18"/>
                <w:szCs w:val="18"/>
              </w:rPr>
              <w:t xml:space="preserve">Liste scopée + contrôle 403 par id</w:t>
            </w:r>
          </w:p>
        </w:tc>
      </w:tr>
      <w:tr>
        <w:tc>
          <w:tcPr>
            <w:tcW w:type="dxa" w:w="1500"/>
            <w:tcMar>
              <w:top w:type="dxa" w:w="60"/>
              <w:left w:type="dxa" w:w="90"/>
              <w:bottom w:type="dxa" w:w="60"/>
              <w:right w:type="dxa" w:w="90"/>
            </w:tcMar>
          </w:tcPr>
          <w:p>
            <w:r>
              <w:rPr>
                <w:sz w:val="18"/>
                <w:szCs w:val="18"/>
              </w:rPr>
              <w:t xml:space="preserve">Notification</w:t>
            </w:r>
          </w:p>
        </w:tc>
        <w:tc>
          <w:tcPr>
            <w:tcW w:type="dxa" w:w="2600"/>
            <w:tcMar>
              <w:top w:type="dxa" w:w="60"/>
              <w:left w:type="dxa" w:w="90"/>
              <w:bottom w:type="dxa" w:w="60"/>
              <w:right w:type="dxa" w:w="90"/>
            </w:tcMar>
          </w:tcPr>
          <w:p>
            <w:r>
              <w:rPr>
                <w:sz w:val="18"/>
                <w:szCs w:val="18"/>
              </w:rPr>
              <w:t xml:space="preserve">Notifications reçues</w:t>
            </w:r>
          </w:p>
        </w:tc>
        <w:tc>
          <w:tcPr>
            <w:tcW w:type="dxa" w:w="2200"/>
            <w:tcMar>
              <w:top w:type="dxa" w:w="60"/>
              <w:left w:type="dxa" w:w="90"/>
              <w:bottom w:type="dxa" w:w="60"/>
              <w:right w:type="dxa" w:w="90"/>
            </w:tcMar>
          </w:tcPr>
          <w:p>
            <w:r>
              <w:rPr>
                <w:sz w:val="18"/>
                <w:szCs w:val="18"/>
              </w:rPr>
              <w:t xml:space="preserve">destinataire</w:t>
            </w:r>
          </w:p>
        </w:tc>
        <w:tc>
          <w:tcPr>
            <w:tcW w:type="dxa" w:w="3060"/>
            <w:tcMar>
              <w:top w:type="dxa" w:w="60"/>
              <w:left w:type="dxa" w:w="90"/>
              <w:bottom w:type="dxa" w:w="60"/>
              <w:right w:type="dxa" w:w="90"/>
            </w:tcMar>
          </w:tcPr>
          <w:p>
            <w:r>
              <w:rPr>
                <w:sz w:val="18"/>
                <w:szCs w:val="18"/>
              </w:rPr>
              <w:t xml:space="preserve">Liste scopée + contrôle 403 par id</w:t>
            </w:r>
          </w:p>
        </w:tc>
      </w:tr>
      <w:tr>
        <w:tc>
          <w:tcPr>
            <w:tcW w:type="dxa" w:w="1500"/>
            <w:tcMar>
              <w:top w:type="dxa" w:w="60"/>
              <w:left w:type="dxa" w:w="90"/>
              <w:bottom w:type="dxa" w:w="60"/>
              <w:right w:type="dxa" w:w="90"/>
            </w:tcMar>
          </w:tcPr>
          <w:p>
            <w:r>
              <w:rPr>
                <w:sz w:val="18"/>
                <w:szCs w:val="18"/>
              </w:rPr>
              <w:t xml:space="preserve">ProfilProprietaire</w:t>
            </w:r>
          </w:p>
        </w:tc>
        <w:tc>
          <w:tcPr>
            <w:tcW w:type="dxa" w:w="2600"/>
            <w:tcMar>
              <w:top w:type="dxa" w:w="60"/>
              <w:left w:type="dxa" w:w="90"/>
              <w:bottom w:type="dxa" w:w="60"/>
              <w:right w:type="dxa" w:w="90"/>
            </w:tcMar>
          </w:tcPr>
          <w:p>
            <w:r>
              <w:rPr>
                <w:sz w:val="18"/>
                <w:szCs w:val="18"/>
              </w:rPr>
              <w:t xml:space="preserve">Profil de compte</w:t>
            </w:r>
          </w:p>
        </w:tc>
        <w:tc>
          <w:tcPr>
            <w:tcW w:type="dxa" w:w="2200"/>
            <w:tcMar>
              <w:top w:type="dxa" w:w="60"/>
              <w:left w:type="dxa" w:w="90"/>
              <w:bottom w:type="dxa" w:w="60"/>
              <w:right w:type="dxa" w:w="90"/>
            </w:tcMar>
          </w:tcPr>
          <w:p>
            <w:r>
              <w:rPr>
                <w:sz w:val="18"/>
                <w:szCs w:val="18"/>
              </w:rPr>
              <w:t xml:space="preserve">utilisateur</w:t>
            </w:r>
          </w:p>
        </w:tc>
        <w:tc>
          <w:tcPr>
            <w:tcW w:type="dxa" w:w="3060"/>
            <w:tcMar>
              <w:top w:type="dxa" w:w="60"/>
              <w:left w:type="dxa" w:w="90"/>
              <w:bottom w:type="dxa" w:w="60"/>
              <w:right w:type="dxa" w:w="90"/>
            </w:tcMar>
          </w:tcPr>
          <w:p>
            <w:r>
              <w:rPr>
                <w:sz w:val="18"/>
                <w:szCs w:val="18"/>
              </w:rPr>
              <w:t xml:space="preserve">Liste scopée + contrôle 403 par id</w:t>
            </w:r>
          </w:p>
        </w:tc>
      </w:tr>
      <w:tr>
        <w:tc>
          <w:tcPr>
            <w:tcW w:type="dxa" w:w="1500"/>
            <w:tcMar>
              <w:top w:type="dxa" w:w="60"/>
              <w:left w:type="dxa" w:w="90"/>
              <w:bottom w:type="dxa" w:w="60"/>
              <w:right w:type="dxa" w:w="90"/>
            </w:tcMar>
          </w:tcPr>
          <w:p>
            <w:r>
              <w:rPr>
                <w:sz w:val="18"/>
                <w:szCs w:val="18"/>
              </w:rPr>
              <w:t xml:space="preserve">ProfilDemarcheur</w:t>
            </w:r>
          </w:p>
        </w:tc>
        <w:tc>
          <w:tcPr>
            <w:tcW w:type="dxa" w:w="2600"/>
            <w:tcMar>
              <w:top w:type="dxa" w:w="60"/>
              <w:left w:type="dxa" w:w="90"/>
              <w:bottom w:type="dxa" w:w="60"/>
              <w:right w:type="dxa" w:w="90"/>
            </w:tcMar>
          </w:tcPr>
          <w:p>
            <w:r>
              <w:rPr>
                <w:sz w:val="18"/>
                <w:szCs w:val="18"/>
              </w:rPr>
              <w:t xml:space="preserve">Profil de compte</w:t>
            </w:r>
          </w:p>
        </w:tc>
        <w:tc>
          <w:tcPr>
            <w:tcW w:type="dxa" w:w="2200"/>
            <w:tcMar>
              <w:top w:type="dxa" w:w="60"/>
              <w:left w:type="dxa" w:w="90"/>
              <w:bottom w:type="dxa" w:w="60"/>
              <w:right w:type="dxa" w:w="90"/>
            </w:tcMar>
          </w:tcPr>
          <w:p>
            <w:r>
              <w:rPr>
                <w:sz w:val="18"/>
                <w:szCs w:val="18"/>
              </w:rPr>
              <w:t xml:space="preserve">utilisateur</w:t>
            </w:r>
          </w:p>
        </w:tc>
        <w:tc>
          <w:tcPr>
            <w:tcW w:type="dxa" w:w="3060"/>
            <w:tcMar>
              <w:top w:type="dxa" w:w="60"/>
              <w:left w:type="dxa" w:w="90"/>
              <w:bottom w:type="dxa" w:w="60"/>
              <w:right w:type="dxa" w:w="90"/>
            </w:tcMar>
          </w:tcPr>
          <w:p>
            <w:r>
              <w:rPr>
                <w:sz w:val="18"/>
                <w:szCs w:val="18"/>
              </w:rPr>
              <w:t xml:space="preserve">Liste scopée + contrôle 403 par id</w:t>
            </w:r>
          </w:p>
        </w:tc>
      </w:tr>
      <w:tr>
        <w:tc>
          <w:tcPr>
            <w:tcW w:type="dxa" w:w="1500"/>
            <w:tcMar>
              <w:top w:type="dxa" w:w="60"/>
              <w:left w:type="dxa" w:w="90"/>
              <w:bottom w:type="dxa" w:w="60"/>
              <w:right w:type="dxa" w:w="90"/>
            </w:tcMar>
          </w:tcPr>
          <w:p>
            <w:r>
              <w:rPr>
                <w:sz w:val="18"/>
                <w:szCs w:val="18"/>
              </w:rPr>
              <w:t xml:space="preserve">Annonce</w:t>
            </w:r>
          </w:p>
        </w:tc>
        <w:tc>
          <w:tcPr>
            <w:tcW w:type="dxa" w:w="2600"/>
            <w:tcMar>
              <w:top w:type="dxa" w:w="60"/>
              <w:left w:type="dxa" w:w="90"/>
              <w:bottom w:type="dxa" w:w="60"/>
              <w:right w:type="dxa" w:w="90"/>
            </w:tcMar>
          </w:tcPr>
          <w:p>
            <w:r>
              <w:rPr>
                <w:sz w:val="18"/>
                <w:szCs w:val="18"/>
              </w:rPr>
              <w:t xml:space="preserve">Brouillons / non publiées</w:t>
            </w:r>
          </w:p>
        </w:tc>
        <w:tc>
          <w:tcPr>
            <w:tcW w:type="dxa" w:w="2200"/>
            <w:tcMar>
              <w:top w:type="dxa" w:w="60"/>
              <w:left w:type="dxa" w:w="90"/>
              <w:bottom w:type="dxa" w:w="60"/>
              <w:right w:type="dxa" w:w="90"/>
            </w:tcMar>
          </w:tcPr>
          <w:p>
            <w:r>
              <w:rPr>
                <w:sz w:val="18"/>
                <w:szCs w:val="18"/>
              </w:rPr>
              <w:t xml:space="preserve">auteur</w:t>
            </w:r>
          </w:p>
        </w:tc>
        <w:tc>
          <w:tcPr>
            <w:tcW w:type="dxa" w:w="3060"/>
            <w:tcMar>
              <w:top w:type="dxa" w:w="60"/>
              <w:left w:type="dxa" w:w="90"/>
              <w:bottom w:type="dxa" w:w="60"/>
              <w:right w:type="dxa" w:w="90"/>
            </w:tcMar>
          </w:tcPr>
          <w:p>
            <w:r>
              <w:rPr>
                <w:sz w:val="18"/>
                <w:szCs w:val="18"/>
              </w:rPr>
              <w:t xml:space="preserve">Énumération des brouillons d'autrui bloquée</w:t>
            </w:r>
          </w:p>
        </w:tc>
      </w:tr>
    </w:tbl>
    <w:p>
      <w:pPr>
        <w:spacing w:after="120"/>
      </w:pPr>
      <w:r>
        <w:t xml:space="preserve"/>
      </w:r>
    </w:p>
    <w:p>
      <w:pPr>
        <w:spacing w:after="120"/>
      </w:pPr>
      <w:r>
        <w:rPr>
          <w:sz w:val="20"/>
          <w:szCs w:val="20"/>
        </w:rPr>
        <w:t xml:space="preserve">Fichiers modifiés ou créés (12) : AutorisationService.java (nouveau), RendezVousResource, DocumentResource, FavoriResource, AlerteResource, NotificationResource, ProfilProprietaireResource, ProfilDemarcheurResource, AnnonceResource, ainsi que RendezVousRepository / RendezVousService / RendezVousServiceImpl (requête de liste scopée pour le double titulaire).</w:t>
      </w:r>
    </w:p>
    <w:p>
      <w:pPr>
        <w:pStyle w:val="Heading2"/>
        <w:spacing w:after="120" w:before="260"/>
      </w:pPr>
      <w:r>
        <w:rPr>
          <w:b/>
          <w:bCs/>
        </w:rPr>
        <w:t xml:space="preserve">4.4. Effet sur le client web et le mobile</w:t>
      </w:r>
    </w:p>
    <w:p>
      <w:pPr>
        <w:spacing w:after="120"/>
      </w:pPr>
      <w:r>
        <w:t xml:space="preserve">Aucune modification n'est requise côté client pour fermer la faille : le filtrage désormais imposé par le serveur s'applique à tous les appelants. Le client web (rendezVousApi.lister(), favorisApi.mesFavoris()) et l'application Android (appels GET api/rendez-vous, api/favoris, api/notifications, sans filtre) ne reçoivent plus que les données de l'utilisateur connecté. Il est toutefois recommandé de retirer, côté client, les paramètres d'identifiant utilisateur devenus inutiles, afin de ne pas laisser croire que la sécurité en dépend.</w:t>
      </w:r>
    </w:p>
    <w:p>
      <w:pPr>
        <w:pStyle w:val="Heading1"/>
        <w:spacing w:after="120" w:before="260"/>
      </w:pPr>
      <w:r>
        <w:rPr>
          <w:b/>
          <w:bCs/>
        </w:rPr>
        <w:t xml:space="preserve">5. Vérification des conditions du rapport</w:t>
      </w:r>
    </w:p>
    <w:p>
      <w:pPr>
        <w:spacing w:after="120"/>
      </w:pPr>
      <w:r>
        <w:t xml:space="preserve">Confrontation des exigences énoncées dans le rapport avec le code livré, après correctifs.</w:t>
      </w:r>
    </w:p>
    <w:p>
      <w:pPr>
        <w:pStyle w:val="Heading2"/>
        <w:spacing w:after="120" w:before="260"/>
      </w:pPr>
      <w:r>
        <w:rPr>
          <w:b/>
          <w:bCs/>
        </w:rPr>
        <w:t xml:space="preserve">5.1. Besoin non fonctionnel de sécurité (§3.2.2)</w:t>
      </w:r>
    </w:p>
    <w:p>
      <w:pPr>
        <w:spacing w:after="120"/>
      </w:pPr>
      <w:r>
        <w:t xml:space="preserve">Le rapport exige que « l'accès aux fonctionnalités soit conditionné par le rôle » et que « les mots de passe soient chiffrés ». Vérifié : les mots de passe sont hachés en BCrypt ; les rôles sont portés par le jeton JWT et contrôlés par la configuration Spring Security. La correction ci-dessus ajoute la dimension manquante — le conditionnement par la donnée (appartenance), et pas seulement par le rôle.</w:t>
      </w:r>
    </w:p>
    <w:p>
      <w:pPr>
        <w:pStyle w:val="Heading2"/>
        <w:spacing w:after="120" w:before="260"/>
      </w:pPr>
      <w:r>
        <w:rPr>
          <w:b/>
          <w:bCs/>
        </w:rPr>
        <w:t xml:space="preserve">5.2. Règles de gestion sur les droits (RG24, RG25)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rPr>
          <w:tblHeader/>
        </w:trPr>
        <w:tc>
          <w:tcPr>
            <w:tcW w:type="dxa" w:w="1500"/>
            <w:shd w:fill="1F4E5F" w:val="clear"/>
            <w:tcMar>
              <w:top w:type="dxa" w:w="60"/>
              <w:left w:type="dxa" w:w="90"/>
              <w:bottom w:type="dxa" w:w="60"/>
              <w:right w:type="dxa" w:w="90"/>
            </w:tcMar>
          </w:tcPr>
          <w:p>
            <w:r>
              <w:rPr>
                <w:b/>
                <w:bCs/>
                <w:color w:val="FFFFFF"/>
                <w:sz w:val="18"/>
                <w:szCs w:val="18"/>
              </w:rPr>
              <w:t xml:space="preserve">Règle</w:t>
            </w:r>
          </w:p>
        </w:tc>
        <w:tc>
          <w:tcPr>
            <w:tcW w:type="dxa" w:w="5560"/>
            <w:shd w:fill="1F4E5F" w:val="clear"/>
            <w:tcMar>
              <w:top w:type="dxa" w:w="60"/>
              <w:left w:type="dxa" w:w="90"/>
              <w:bottom w:type="dxa" w:w="60"/>
              <w:right w:type="dxa" w:w="90"/>
            </w:tcMar>
          </w:tcPr>
          <w:p>
            <w:r>
              <w:rPr>
                <w:b/>
                <w:bCs/>
                <w:color w:val="FFFFFF"/>
                <w:sz w:val="18"/>
                <w:szCs w:val="18"/>
              </w:rPr>
              <w:t xml:space="preserve">Énoncé (résumé)</w:t>
            </w:r>
          </w:p>
        </w:tc>
        <w:tc>
          <w:tcPr>
            <w:tcW w:type="dxa" w:w="2300"/>
            <w:shd w:fill="1F4E5F" w:val="clear"/>
            <w:tcMar>
              <w:top w:type="dxa" w:w="60"/>
              <w:left w:type="dxa" w:w="90"/>
              <w:bottom w:type="dxa" w:w="60"/>
              <w:right w:type="dxa" w:w="90"/>
            </w:tcMar>
          </w:tcPr>
          <w:p>
            <w:r>
              <w:rPr>
                <w:b/>
                <w:bCs/>
                <w:color w:val="FFFFFF"/>
                <w:sz w:val="18"/>
                <w:szCs w:val="18"/>
              </w:rPr>
              <w:t xml:space="preserve">État</w:t>
            </w:r>
          </w:p>
        </w:tc>
      </w:tr>
      <w:tr>
        <w:tc>
          <w:tcPr>
            <w:tcW w:type="dxa" w:w="1500"/>
            <w:tcMar>
              <w:top w:type="dxa" w:w="60"/>
              <w:left w:type="dxa" w:w="90"/>
              <w:bottom w:type="dxa" w:w="60"/>
              <w:right w:type="dxa" w:w="90"/>
            </w:tcMar>
          </w:tcPr>
          <w:p>
            <w:r>
              <w:rPr>
                <w:b/>
                <w:bCs/>
                <w:sz w:val="18"/>
                <w:szCs w:val="18"/>
              </w:rPr>
              <w:t xml:space="preserve">RG24</w:t>
            </w:r>
          </w:p>
        </w:tc>
        <w:tc>
          <w:tcPr>
            <w:tcW w:type="dxa" w:w="5560"/>
            <w:tcMar>
              <w:top w:type="dxa" w:w="60"/>
              <w:left w:type="dxa" w:w="90"/>
              <w:bottom w:type="dxa" w:w="60"/>
              <w:right w:type="dxa" w:w="90"/>
            </w:tcMar>
          </w:tcPr>
          <w:p>
            <w:r>
              <w:rPr>
                <w:sz w:val="18"/>
                <w:szCs w:val="18"/>
              </w:rPr>
              <w:t xml:space="preserve">Seul le propriétaire de l'annonce ou le démarcheur qui la gère modifie le prix</w:t>
            </w:r>
          </w:p>
        </w:tc>
        <w:tc>
          <w:tcPr>
            <w:tcW w:type="dxa" w:w="2300"/>
            <w:tcMar>
              <w:top w:type="dxa" w:w="60"/>
              <w:left w:type="dxa" w:w="90"/>
              <w:bottom w:type="dxa" w:w="60"/>
              <w:right w:type="dxa" w:w="90"/>
            </w:tcMar>
          </w:tcPr>
          <w:p>
            <w:r>
              <w:rPr>
                <w:b/>
                <w:bCs/>
                <w:color w:val="2E7D5B"/>
                <w:sz w:val="18"/>
                <w:szCs w:val="18"/>
              </w:rPr>
              <w:t xml:space="preserve">Conforme</w:t>
            </w:r>
          </w:p>
        </w:tc>
      </w:tr>
      <w:tr>
        <w:tc>
          <w:tcPr>
            <w:tcW w:type="dxa" w:w="1500"/>
            <w:tcMar>
              <w:top w:type="dxa" w:w="60"/>
              <w:left w:type="dxa" w:w="90"/>
              <w:bottom w:type="dxa" w:w="60"/>
              <w:right w:type="dxa" w:w="90"/>
            </w:tcMar>
          </w:tcPr>
          <w:p>
            <w:r>
              <w:rPr>
                <w:b/>
                <w:bCs/>
                <w:sz w:val="18"/>
                <w:szCs w:val="18"/>
              </w:rPr>
              <w:t xml:space="preserve">RG25</w:t>
            </w:r>
          </w:p>
        </w:tc>
        <w:tc>
          <w:tcPr>
            <w:tcW w:type="dxa" w:w="5560"/>
            <w:tcMar>
              <w:top w:type="dxa" w:w="60"/>
              <w:left w:type="dxa" w:w="90"/>
              <w:bottom w:type="dxa" w:w="60"/>
              <w:right w:type="dxa" w:w="90"/>
            </w:tcMar>
          </w:tcPr>
          <w:p>
            <w:r>
              <w:rPr>
                <w:sz w:val="18"/>
                <w:szCs w:val="18"/>
              </w:rPr>
              <w:t xml:space="preserve">Un démarcheur non vérifié ne peut ni publier ni modifier de prix</w:t>
            </w:r>
          </w:p>
        </w:tc>
        <w:tc>
          <w:tcPr>
            <w:tcW w:type="dxa" w:w="2300"/>
            <w:tcMar>
              <w:top w:type="dxa" w:w="60"/>
              <w:left w:type="dxa" w:w="90"/>
              <w:bottom w:type="dxa" w:w="60"/>
              <w:right w:type="dxa" w:w="90"/>
            </w:tcMar>
          </w:tcPr>
          <w:p>
            <w:r>
              <w:rPr>
                <w:b/>
                <w:bCs/>
                <w:color w:val="2E7D5B"/>
                <w:sz w:val="18"/>
                <w:szCs w:val="18"/>
              </w:rPr>
              <w:t xml:space="preserve">Conforme</w:t>
            </w:r>
          </w:p>
        </w:tc>
      </w:tr>
      <w:tr>
        <w:tc>
          <w:tcPr>
            <w:tcW w:type="dxa" w:w="1500"/>
            <w:tcMar>
              <w:top w:type="dxa" w:w="60"/>
              <w:left w:type="dxa" w:w="90"/>
              <w:bottom w:type="dxa" w:w="60"/>
              <w:right w:type="dxa" w:w="90"/>
            </w:tcMar>
          </w:tcPr>
          <w:p>
            <w:r>
              <w:rPr>
                <w:b/>
                <w:bCs/>
                <w:sz w:val="18"/>
                <w:szCs w:val="18"/>
              </w:rPr>
              <w:t xml:space="preserve">RG07 / RG26</w:t>
            </w:r>
          </w:p>
        </w:tc>
        <w:tc>
          <w:tcPr>
            <w:tcW w:type="dxa" w:w="5560"/>
            <w:tcMar>
              <w:top w:type="dxa" w:w="60"/>
              <w:left w:type="dxa" w:w="90"/>
              <w:bottom w:type="dxa" w:w="60"/>
              <w:right w:type="dxa" w:w="90"/>
            </w:tcMar>
          </w:tcPr>
          <w:p>
            <w:r>
              <w:rPr>
                <w:sz w:val="18"/>
                <w:szCs w:val="18"/>
              </w:rPr>
              <w:t xml:space="preserve">Historique de prix : correction et export réservés à l'administrateur</w:t>
            </w:r>
          </w:p>
        </w:tc>
        <w:tc>
          <w:tcPr>
            <w:tcW w:type="dxa" w:w="2300"/>
            <w:tcMar>
              <w:top w:type="dxa" w:w="60"/>
              <w:left w:type="dxa" w:w="90"/>
              <w:bottom w:type="dxa" w:w="60"/>
              <w:right w:type="dxa" w:w="90"/>
            </w:tcMar>
          </w:tcPr>
          <w:p>
            <w:r>
              <w:rPr>
                <w:b/>
                <w:bCs/>
                <w:color w:val="2E7D5B"/>
                <w:sz w:val="18"/>
                <w:szCs w:val="18"/>
              </w:rPr>
              <w:t xml:space="preserve">Conforme</w:t>
            </w:r>
          </w:p>
        </w:tc>
      </w:tr>
      <w:tr>
        <w:tc>
          <w:tcPr>
            <w:tcW w:type="dxa" w:w="1500"/>
            <w:tcMar>
              <w:top w:type="dxa" w:w="60"/>
              <w:left w:type="dxa" w:w="90"/>
              <w:bottom w:type="dxa" w:w="60"/>
              <w:right w:type="dxa" w:w="90"/>
            </w:tcMar>
          </w:tcPr>
          <w:p>
            <w:r>
              <w:rPr>
                <w:b/>
                <w:bCs/>
                <w:sz w:val="18"/>
                <w:szCs w:val="18"/>
              </w:rPr>
              <w:t xml:space="preserve">RG31 / RG32</w:t>
            </w:r>
          </w:p>
        </w:tc>
        <w:tc>
          <w:tcPr>
            <w:tcW w:type="dxa" w:w="5560"/>
            <w:tcMar>
              <w:top w:type="dxa" w:w="60"/>
              <w:left w:type="dxa" w:w="90"/>
              <w:bottom w:type="dxa" w:w="60"/>
              <w:right w:type="dxa" w:w="90"/>
            </w:tcMar>
          </w:tcPr>
          <w:p>
            <w:r>
              <w:rPr>
                <w:sz w:val="18"/>
                <w:szCs w:val="18"/>
              </w:rPr>
              <w:t xml:space="preserve">Séquestre des frais de visite (paiement conditionnel, remboursement)</w:t>
            </w:r>
          </w:p>
        </w:tc>
        <w:tc>
          <w:tcPr>
            <w:tcW w:type="dxa" w:w="2300"/>
            <w:tcMar>
              <w:top w:type="dxa" w:w="60"/>
              <w:left w:type="dxa" w:w="90"/>
              <w:bottom w:type="dxa" w:w="60"/>
              <w:right w:type="dxa" w:w="90"/>
            </w:tcMar>
          </w:tcPr>
          <w:p>
            <w:r>
              <w:rPr>
                <w:b/>
                <w:bCs/>
                <w:color w:val="2E7D5B"/>
                <w:sz w:val="18"/>
                <w:szCs w:val="18"/>
              </w:rPr>
              <w:t xml:space="preserve">Conforme</w:t>
            </w:r>
          </w:p>
        </w:tc>
      </w:tr>
    </w:tbl>
    <w:p>
      <w:pPr>
        <w:spacing w:after="120"/>
      </w:pPr>
      <w:r>
        <w:t xml:space="preserve"/>
      </w:r>
    </w:p>
    <w:p>
      <w:pPr>
        <w:spacing w:after="120"/>
      </w:pPr>
      <w:r>
        <w:rPr>
          <w:sz w:val="20"/>
          <w:szCs w:val="20"/>
        </w:rPr>
        <w:t xml:space="preserve">Avant correctif, RG24 et RG25 étaient respectées pour la modification du prix (contrôlée dans le service de publication), mais contournables sur les autres opérations CRUD faute de contrôle d'appartenance. Le correctif rend l'application de ces règles homogène sur l'ensemble des accès.</w:t>
      </w:r>
    </w:p>
    <w:p>
      <w:pPr>
        <w:pStyle w:val="Heading2"/>
        <w:spacing w:after="120" w:before="260"/>
      </w:pPr>
      <w:r>
        <w:rPr>
          <w:b/>
          <w:bCs/>
        </w:rPr>
        <w:t xml:space="preserve">5.3. Modules fonctionnels (§1.4, §3.2.1)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60"/>
        <w:gridCol w:w="4000"/>
      </w:tblGrid>
      <w:tr>
        <w:trPr>
          <w:tblHeader/>
        </w:trPr>
        <w:tc>
          <w:tcPr>
            <w:tcW w:type="dxa" w:w="3100"/>
            <w:shd w:fill="1F4E5F" w:val="clear"/>
            <w:tcMar>
              <w:top w:type="dxa" w:w="60"/>
              <w:left w:type="dxa" w:w="90"/>
              <w:bottom w:type="dxa" w:w="60"/>
              <w:right w:type="dxa" w:w="90"/>
            </w:tcMar>
          </w:tcPr>
          <w:p>
            <w:r>
              <w:rPr>
                <w:b/>
                <w:bCs/>
                <w:color w:val="FFFFFF"/>
                <w:sz w:val="18"/>
                <w:szCs w:val="18"/>
              </w:rPr>
              <w:t xml:space="preserve">Module</w:t>
            </w:r>
          </w:p>
        </w:tc>
        <w:tc>
          <w:tcPr>
            <w:tcW w:type="dxa" w:w="2260"/>
            <w:shd w:fill="1F4E5F" w:val="clear"/>
            <w:tcMar>
              <w:top w:type="dxa" w:w="60"/>
              <w:left w:type="dxa" w:w="90"/>
              <w:bottom w:type="dxa" w:w="60"/>
              <w:right w:type="dxa" w:w="90"/>
            </w:tcMar>
          </w:tcPr>
          <w:p>
            <w:r>
              <w:rPr>
                <w:b/>
                <w:bCs/>
                <w:color w:val="FFFFFF"/>
                <w:sz w:val="18"/>
                <w:szCs w:val="18"/>
              </w:rPr>
              <w:t xml:space="preserve">Statut dans le code</w:t>
            </w:r>
          </w:p>
        </w:tc>
        <w:tc>
          <w:tcPr>
            <w:tcW w:type="dxa" w:w="4000"/>
            <w:shd w:fill="1F4E5F" w:val="clear"/>
            <w:tcMar>
              <w:top w:type="dxa" w:w="60"/>
              <w:left w:type="dxa" w:w="90"/>
              <w:bottom w:type="dxa" w:w="60"/>
              <w:right w:type="dxa" w:w="90"/>
            </w:tcMar>
          </w:tcPr>
          <w:p>
            <w:r>
              <w:rPr>
                <w:b/>
                <w:bCs/>
                <w:color w:val="FFFFFF"/>
                <w:sz w:val="18"/>
                <w:szCs w:val="18"/>
              </w:rPr>
              <w:t xml:space="preserve">Observation</w:t>
            </w:r>
          </w:p>
        </w:tc>
      </w:tr>
      <w:tr>
        <w:tc>
          <w:tcPr>
            <w:tcW w:type="dxa" w:w="3100"/>
            <w:tcMar>
              <w:top w:type="dxa" w:w="60"/>
              <w:left w:type="dxa" w:w="90"/>
              <w:bottom w:type="dxa" w:w="60"/>
              <w:right w:type="dxa" w:w="90"/>
            </w:tcMar>
          </w:tcPr>
          <w:p>
            <w:r>
              <w:rPr>
                <w:sz w:val="18"/>
                <w:szCs w:val="18"/>
              </w:rPr>
              <w:t xml:space="preserve">Comptes &amp; authentification</w:t>
            </w:r>
          </w:p>
        </w:tc>
        <w:tc>
          <w:tcPr>
            <w:tcW w:type="dxa" w:w="2260"/>
            <w:tcMar>
              <w:top w:type="dxa" w:w="60"/>
              <w:left w:type="dxa" w:w="90"/>
              <w:bottom w:type="dxa" w:w="60"/>
              <w:right w:type="dxa" w:w="90"/>
            </w:tcMar>
          </w:tcPr>
          <w:p>
            <w:r>
              <w:rPr>
                <w:color w:val="2E7D5B"/>
                <w:sz w:val="18"/>
                <w:szCs w:val="18"/>
              </w:rPr>
              <w:t xml:space="preserve">Implémenté</w:t>
            </w:r>
          </w:p>
        </w:tc>
        <w:tc>
          <w:tcPr>
            <w:tcW w:type="dxa" w:w="4000"/>
            <w:tcMar>
              <w:top w:type="dxa" w:w="60"/>
              <w:left w:type="dxa" w:w="90"/>
              <w:bottom w:type="dxa" w:w="60"/>
              <w:right w:type="dxa" w:w="90"/>
            </w:tcMar>
          </w:tcPr>
          <w:p>
            <w:r>
              <w:rPr>
                <w:sz w:val="18"/>
                <w:szCs w:val="18"/>
              </w:rPr>
              <w:t xml:space="preserve">Inscription multi-profils, JWT + refresh, /account</w:t>
            </w:r>
          </w:p>
        </w:tc>
      </w:tr>
      <w:tr>
        <w:tc>
          <w:tcPr>
            <w:tcW w:type="dxa" w:w="3100"/>
            <w:tcMar>
              <w:top w:type="dxa" w:w="60"/>
              <w:left w:type="dxa" w:w="90"/>
              <w:bottom w:type="dxa" w:w="60"/>
              <w:right w:type="dxa" w:w="90"/>
            </w:tcMar>
          </w:tcPr>
          <w:p>
            <w:r>
              <w:rPr>
                <w:sz w:val="18"/>
                <w:szCs w:val="18"/>
              </w:rPr>
              <w:t xml:space="preserve">Vérification &amp; confiance (KYC)</w:t>
            </w:r>
          </w:p>
        </w:tc>
        <w:tc>
          <w:tcPr>
            <w:tcW w:type="dxa" w:w="2260"/>
            <w:tcMar>
              <w:top w:type="dxa" w:w="60"/>
              <w:left w:type="dxa" w:w="90"/>
              <w:bottom w:type="dxa" w:w="60"/>
              <w:right w:type="dxa" w:w="90"/>
            </w:tcMar>
          </w:tcPr>
          <w:p>
            <w:r>
              <w:rPr>
                <w:color w:val="2E7D5B"/>
                <w:sz w:val="18"/>
                <w:szCs w:val="18"/>
              </w:rPr>
              <w:t xml:space="preserve">Implémenté</w:t>
            </w:r>
          </w:p>
        </w:tc>
        <w:tc>
          <w:tcPr>
            <w:tcW w:type="dxa" w:w="4000"/>
            <w:tcMar>
              <w:top w:type="dxa" w:w="60"/>
              <w:left w:type="dxa" w:w="90"/>
              <w:bottom w:type="dxa" w:w="60"/>
              <w:right w:type="dxa" w:w="90"/>
            </w:tcMar>
          </w:tcPr>
          <w:p>
            <w:r>
              <w:rPr>
                <w:sz w:val="18"/>
                <w:szCs w:val="18"/>
              </w:rPr>
              <w:t xml:space="preserve">Documents, validation admin, badge — désormais cloisonnés</w:t>
            </w:r>
          </w:p>
        </w:tc>
      </w:tr>
      <w:tr>
        <w:tc>
          <w:tcPr>
            <w:tcW w:type="dxa" w:w="3100"/>
            <w:tcMar>
              <w:top w:type="dxa" w:w="60"/>
              <w:left w:type="dxa" w:w="90"/>
              <w:bottom w:type="dxa" w:w="60"/>
              <w:right w:type="dxa" w:w="90"/>
            </w:tcMar>
          </w:tcPr>
          <w:p>
            <w:r>
              <w:rPr>
                <w:sz w:val="18"/>
                <w:szCs w:val="18"/>
              </w:rPr>
              <w:t xml:space="preserve">Annonces</w:t>
            </w:r>
          </w:p>
        </w:tc>
        <w:tc>
          <w:tcPr>
            <w:tcW w:type="dxa" w:w="2260"/>
            <w:tcMar>
              <w:top w:type="dxa" w:w="60"/>
              <w:left w:type="dxa" w:w="90"/>
              <w:bottom w:type="dxa" w:w="60"/>
              <w:right w:type="dxa" w:w="90"/>
            </w:tcMar>
          </w:tcPr>
          <w:p>
            <w:r>
              <w:rPr>
                <w:color w:val="2E7D5B"/>
                <w:sz w:val="18"/>
                <w:szCs w:val="18"/>
              </w:rPr>
              <w:t xml:space="preserve">Implémenté</w:t>
            </w:r>
          </w:p>
        </w:tc>
        <w:tc>
          <w:tcPr>
            <w:tcW w:type="dxa" w:w="4000"/>
            <w:tcMar>
              <w:top w:type="dxa" w:w="60"/>
              <w:left w:type="dxa" w:w="90"/>
              <w:bottom w:type="dxa" w:w="60"/>
              <w:right w:type="dxa" w:w="90"/>
            </w:tcMar>
          </w:tcPr>
          <w:p>
            <w:r>
              <w:rPr>
                <w:sz w:val="18"/>
                <w:szCs w:val="18"/>
              </w:rPr>
              <w:t xml:space="preserve">Publication, modération, cycle de vie, brouillons protégés</w:t>
            </w:r>
          </w:p>
        </w:tc>
      </w:tr>
      <w:tr>
        <w:tc>
          <w:tcPr>
            <w:tcW w:type="dxa" w:w="3100"/>
            <w:tcMar>
              <w:top w:type="dxa" w:w="60"/>
              <w:left w:type="dxa" w:w="90"/>
              <w:bottom w:type="dxa" w:w="60"/>
              <w:right w:type="dxa" w:w="90"/>
            </w:tcMar>
          </w:tcPr>
          <w:p>
            <w:r>
              <w:rPr>
                <w:sz w:val="18"/>
                <w:szCs w:val="18"/>
              </w:rPr>
              <w:t xml:space="preserve">Recherche &amp; découverte</w:t>
            </w:r>
          </w:p>
        </w:tc>
        <w:tc>
          <w:tcPr>
            <w:tcW w:type="dxa" w:w="2260"/>
            <w:tcMar>
              <w:top w:type="dxa" w:w="60"/>
              <w:left w:type="dxa" w:w="90"/>
              <w:bottom w:type="dxa" w:w="60"/>
              <w:right w:type="dxa" w:w="90"/>
            </w:tcMar>
          </w:tcPr>
          <w:p>
            <w:r>
              <w:rPr>
                <w:color w:val="2E7D5B"/>
                <w:sz w:val="18"/>
                <w:szCs w:val="18"/>
              </w:rPr>
              <w:t xml:space="preserve">Implémenté</w:t>
            </w:r>
          </w:p>
        </w:tc>
        <w:tc>
          <w:tcPr>
            <w:tcW w:type="dxa" w:w="4000"/>
            <w:tcMar>
              <w:top w:type="dxa" w:w="60"/>
              <w:left w:type="dxa" w:w="90"/>
              <w:bottom w:type="dxa" w:w="60"/>
              <w:right w:type="dxa" w:w="90"/>
            </w:tcMar>
          </w:tcPr>
          <w:p>
            <w:r>
              <w:rPr>
                <w:sz w:val="18"/>
                <w:szCs w:val="18"/>
              </w:rPr>
              <w:t xml:space="preserve">Multicritères, favoris</w:t>
            </w:r>
          </w:p>
        </w:tc>
      </w:tr>
      <w:tr>
        <w:tc>
          <w:tcPr>
            <w:tcW w:type="dxa" w:w="3100"/>
            <w:tcMar>
              <w:top w:type="dxa" w:w="60"/>
              <w:left w:type="dxa" w:w="90"/>
              <w:bottom w:type="dxa" w:w="60"/>
              <w:right w:type="dxa" w:w="90"/>
            </w:tcMar>
          </w:tcPr>
          <w:p>
            <w:r>
              <w:rPr>
                <w:sz w:val="18"/>
                <w:szCs w:val="18"/>
              </w:rPr>
              <w:t xml:space="preserve">Rendez-vous &amp; visites</w:t>
            </w:r>
          </w:p>
        </w:tc>
        <w:tc>
          <w:tcPr>
            <w:tcW w:type="dxa" w:w="2260"/>
            <w:tcMar>
              <w:top w:type="dxa" w:w="60"/>
              <w:left w:type="dxa" w:w="90"/>
              <w:bottom w:type="dxa" w:w="60"/>
              <w:right w:type="dxa" w:w="90"/>
            </w:tcMar>
          </w:tcPr>
          <w:p>
            <w:r>
              <w:rPr>
                <w:color w:val="2E7D5B"/>
                <w:sz w:val="18"/>
                <w:szCs w:val="18"/>
              </w:rPr>
              <w:t xml:space="preserve">Implémenté</w:t>
            </w:r>
          </w:p>
        </w:tc>
        <w:tc>
          <w:tcPr>
            <w:tcW w:type="dxa" w:w="4000"/>
            <w:tcMar>
              <w:top w:type="dxa" w:w="60"/>
              <w:left w:type="dxa" w:w="90"/>
              <w:bottom w:type="dxa" w:w="60"/>
              <w:right w:type="dxa" w:w="90"/>
            </w:tcMar>
          </w:tcPr>
          <w:p>
            <w:r>
              <w:rPr>
                <w:sz w:val="18"/>
                <w:szCs w:val="18"/>
              </w:rPr>
              <w:t xml:space="preserve">Prise de RDV, transitions, listes cloisonnées</w:t>
            </w:r>
          </w:p>
        </w:tc>
      </w:tr>
      <w:tr>
        <w:tc>
          <w:tcPr>
            <w:tcW w:type="dxa" w:w="3100"/>
            <w:tcMar>
              <w:top w:type="dxa" w:w="60"/>
              <w:left w:type="dxa" w:w="90"/>
              <w:bottom w:type="dxa" w:w="60"/>
              <w:right w:type="dxa" w:w="90"/>
            </w:tcMar>
          </w:tcPr>
          <w:p>
            <w:r>
              <w:rPr>
                <w:sz w:val="18"/>
                <w:szCs w:val="18"/>
              </w:rPr>
              <w:t xml:space="preserve">Alertes &amp; notifications</w:t>
            </w:r>
          </w:p>
        </w:tc>
        <w:tc>
          <w:tcPr>
            <w:tcW w:type="dxa" w:w="2260"/>
            <w:tcMar>
              <w:top w:type="dxa" w:w="60"/>
              <w:left w:type="dxa" w:w="90"/>
              <w:bottom w:type="dxa" w:w="60"/>
              <w:right w:type="dxa" w:w="90"/>
            </w:tcMar>
          </w:tcPr>
          <w:p>
            <w:r>
              <w:rPr>
                <w:color w:val="2E7D5B"/>
                <w:sz w:val="18"/>
                <w:szCs w:val="18"/>
              </w:rPr>
              <w:t xml:space="preserve">Implémenté</w:t>
            </w:r>
          </w:p>
        </w:tc>
        <w:tc>
          <w:tcPr>
            <w:tcW w:type="dxa" w:w="4000"/>
            <w:tcMar>
              <w:top w:type="dxa" w:w="60"/>
              <w:left w:type="dxa" w:w="90"/>
              <w:bottom w:type="dxa" w:w="60"/>
              <w:right w:type="dxa" w:w="90"/>
            </w:tcMar>
          </w:tcPr>
          <w:p>
            <w:r>
              <w:rPr>
                <w:sz w:val="18"/>
                <w:szCs w:val="18"/>
              </w:rPr>
              <w:t xml:space="preserve">Alertes de prix, notifications — cloisonnées</w:t>
            </w:r>
          </w:p>
        </w:tc>
      </w:tr>
      <w:tr>
        <w:tc>
          <w:tcPr>
            <w:tcW w:type="dxa" w:w="3100"/>
            <w:tcMar>
              <w:top w:type="dxa" w:w="60"/>
              <w:left w:type="dxa" w:w="90"/>
              <w:bottom w:type="dxa" w:w="60"/>
              <w:right w:type="dxa" w:w="90"/>
            </w:tcMar>
          </w:tcPr>
          <w:p>
            <w:r>
              <w:rPr>
                <w:sz w:val="18"/>
                <w:szCs w:val="18"/>
              </w:rPr>
              <w:t xml:space="preserve">Paiement &amp; séquestre</w:t>
            </w:r>
          </w:p>
        </w:tc>
        <w:tc>
          <w:tcPr>
            <w:tcW w:type="dxa" w:w="2260"/>
            <w:tcMar>
              <w:top w:type="dxa" w:w="60"/>
              <w:left w:type="dxa" w:w="90"/>
              <w:bottom w:type="dxa" w:w="60"/>
              <w:right w:type="dxa" w:w="90"/>
            </w:tcMar>
          </w:tcPr>
          <w:p>
            <w:r>
              <w:rPr>
                <w:color w:val="2E7D5B"/>
                <w:sz w:val="18"/>
                <w:szCs w:val="18"/>
              </w:rPr>
              <w:t xml:space="preserve">Implémenté (simulé)</w:t>
            </w:r>
          </w:p>
        </w:tc>
        <w:tc>
          <w:tcPr>
            <w:tcW w:type="dxa" w:w="4000"/>
            <w:tcMar>
              <w:top w:type="dxa" w:w="60"/>
              <w:left w:type="dxa" w:w="90"/>
              <w:bottom w:type="dxa" w:w="60"/>
              <w:right w:type="dxa" w:w="90"/>
            </w:tcMar>
          </w:tcPr>
          <w:p>
            <w:r>
              <w:rPr>
                <w:sz w:val="18"/>
                <w:szCs w:val="18"/>
              </w:rPr>
              <w:t xml:space="preserve">Passerelle simulée, séquestre RG31/RG32</w:t>
            </w:r>
          </w:p>
        </w:tc>
      </w:tr>
      <w:tr>
        <w:tc>
          <w:tcPr>
            <w:tcW w:type="dxa" w:w="3100"/>
            <w:tcMar>
              <w:top w:type="dxa" w:w="60"/>
              <w:left w:type="dxa" w:w="90"/>
              <w:bottom w:type="dxa" w:w="60"/>
              <w:right w:type="dxa" w:w="90"/>
            </w:tcMar>
          </w:tcPr>
          <w:p>
            <w:r>
              <w:rPr>
                <w:sz w:val="18"/>
                <w:szCs w:val="18"/>
              </w:rPr>
              <w:t xml:space="preserve">Messagerie / Avis / Gestion locative</w:t>
            </w:r>
          </w:p>
        </w:tc>
        <w:tc>
          <w:tcPr>
            <w:tcW w:type="dxa" w:w="2260"/>
            <w:tcMar>
              <w:top w:type="dxa" w:w="60"/>
              <w:left w:type="dxa" w:w="90"/>
              <w:bottom w:type="dxa" w:w="60"/>
              <w:right w:type="dxa" w:w="90"/>
            </w:tcMar>
          </w:tcPr>
          <w:p>
            <w:r>
              <w:rPr>
                <w:color w:val="B26A00"/>
                <w:sz w:val="18"/>
                <w:szCs w:val="18"/>
              </w:rPr>
              <w:t xml:space="preserve">Perspective</w:t>
            </w:r>
          </w:p>
        </w:tc>
        <w:tc>
          <w:tcPr>
            <w:tcW w:type="dxa" w:w="4000"/>
            <w:tcMar>
              <w:top w:type="dxa" w:w="60"/>
              <w:left w:type="dxa" w:w="90"/>
              <w:bottom w:type="dxa" w:w="60"/>
              <w:right w:type="dxa" w:w="90"/>
            </w:tcMar>
          </w:tcPr>
          <w:p>
            <w:r>
              <w:rPr>
                <w:sz w:val="18"/>
                <w:szCs w:val="18"/>
              </w:rPr>
              <w:t xml:space="preserve">Annoncés « perspective » dans le rapport — non livrés</w:t>
            </w:r>
          </w:p>
        </w:tc>
      </w:tr>
    </w:tbl>
    <w:p>
      <w:pPr>
        <w:pStyle w:val="Heading1"/>
        <w:spacing w:after="120" w:before="260"/>
      </w:pPr>
      <w:r>
        <w:rPr>
          <w:b/>
          <w:bCs/>
        </w:rPr>
        <w:t xml:space="preserve">6. Points restants et recommandations</w:t>
      </w:r>
    </w:p>
    <w:p>
      <w:pPr>
        <w:pStyle w:val="ListParagraph"/>
        <w:numPr>
          <w:ilvl w:val="0"/>
          <w:numId w:val="1"/>
        </w:numPr>
        <w:spacing w:after="60"/>
      </w:pPr>
      <w:r>
        <w:t xml:space="preserve">Paiement par identifiant de rendez-vous : les points d'entrée initier / simuler-reglement / pourRendezVous vérifient déjà le payeur ; conserver ce contrôle si de nouveaux points d'entrée paiement sont ajoutés.</w:t>
      </w:r>
    </w:p>
    <w:p>
      <w:pPr>
        <w:pStyle w:val="ListParagraph"/>
        <w:numPr>
          <w:ilvl w:val="0"/>
          <w:numId w:val="1"/>
        </w:numPr>
        <w:spacing w:after="60"/>
      </w:pPr>
      <w:r>
        <w:t xml:space="preserve">Tests d'intégration : certains tests générés (…ResourceIT) affirmaient l'ancien comportement non cloisonné des listes. Ils devront être adaptés pour refléter la nouvelle règle (un non-admin ne voit que ses données) — c'est une conséquence attendue du correctif, pas une régression.</w:t>
      </w:r>
    </w:p>
    <w:p>
      <w:pPr>
        <w:pStyle w:val="ListParagraph"/>
        <w:numPr>
          <w:ilvl w:val="0"/>
          <w:numId w:val="1"/>
        </w:numPr>
        <w:spacing w:after="60"/>
      </w:pPr>
      <w:r>
        <w:t xml:space="preserve">Stockage du jeton sur mobile : le jeton est conservé en DataStore non chiffré. Pour renforcer, envisager un stockage chiffré (EncryptedSharedPreferences / clé Keystore).</w:t>
      </w:r>
    </w:p>
    <w:p>
      <w:pPr>
        <w:pStyle w:val="ListParagraph"/>
        <w:numPr>
          <w:ilvl w:val="0"/>
          <w:numId w:val="1"/>
        </w:numPr>
        <w:spacing w:after="60"/>
      </w:pPr>
      <w:r>
        <w:t xml:space="preserve">Double authentification (2FA) : mentionnée dans le rapport comme perspective ; non activée. À généraliser lors du renforcement de sécurité annoncé en conclusion.</w:t>
      </w:r>
    </w:p>
    <w:p>
      <w:pPr>
        <w:pStyle w:val="ListParagraph"/>
        <w:numPr>
          <w:ilvl w:val="0"/>
          <w:numId w:val="1"/>
        </w:numPr>
        <w:spacing w:after="60"/>
      </w:pPr>
      <w:r>
        <w:t xml:space="preserve">Retirer côté client les paramètres d'identifiant utilisateur devenus superflus (mesAnnonces(userId), mesDocuments(userId)), la portée étant désormais imposée par le serveur.</w:t>
      </w:r>
    </w:p>
    <w:p>
      <w:pPr>
        <w:pStyle w:val="Heading1"/>
        <w:spacing w:after="120" w:before="260"/>
      </w:pPr>
      <w:r>
        <w:rPr>
          <w:b/>
          <w:bCs/>
        </w:rPr>
        <w:t xml:space="preserve">7. Procédure de validation</w:t>
      </w:r>
    </w:p>
    <w:p>
      <w:pPr>
        <w:spacing w:after="120"/>
      </w:pPr>
      <w:r>
        <w:t xml:space="preserve">Pour valider la mise à jour sur un poste de développement :</w:t>
      </w:r>
    </w:p>
    <w:p>
      <w:pPr>
        <w:shd w:fill="F2F4F5" w:val="clear"/>
        <w:spacing w:after="100"/>
      </w:pPr>
      <w:r>
        <w:rPr>
          <w:rFonts w:ascii="Consolas" w:cs="Consolas" w:eastAsia="Consolas" w:hAnsi="Consolas"/>
          <w:sz w:val="18"/>
          <w:szCs w:val="18"/>
        </w:rPr>
        <w:t xml:space="preserve">cd backend &amp;&amp; ./mvnw -q compile        # compilation</w:t>
      </w:r>
    </w:p>
    <w:p>
      <w:pPr>
        <w:shd w:fill="F2F4F5" w:val="clear"/>
        <w:spacing w:after="100"/>
      </w:pPr>
      <w:r>
        <w:rPr>
          <w:rFonts w:ascii="Consolas" w:cs="Consolas" w:eastAsia="Consolas" w:hAnsi="Consolas"/>
          <w:sz w:val="18"/>
          <w:szCs w:val="18"/>
        </w:rPr>
        <w:t xml:space="preserve">./mvnw test                            # tests (adapter les *ResourceIT sur les listes)</w:t>
      </w:r>
    </w:p>
    <w:p>
      <w:pPr>
        <w:spacing w:after="120"/>
      </w:pPr>
      <w:r>
        <w:t xml:space="preserve">Vérification manuelle rapide : se connecter avec deux comptes distincts A et B, puis, depuis le jeton de A, appeler GET /api/documents/{id} avec un identifiant appartenant à B. La réponse attendue est désormais 403 (Forbidden), là où elle renvoyait auparavant les données de B.</w:t>
      </w:r>
    </w:p>
    <w:p>
      <w:pPr>
        <w:pBdr>
          <w:top w:val="single" w:color="CCCCCC" w:sz="4" w:space="8"/>
        </w:pBdr>
        <w:spacing w:before="240"/>
      </w:pPr>
      <w:r>
        <w:rPr>
          <w:i/>
          <w:iCs/>
          <w:color w:val="777777"/>
          <w:sz w:val="18"/>
          <w:szCs w:val="18"/>
        </w:rPr>
        <w:t xml:space="preserve">Document généré dans le cadre de la mise à jour de sécurité du projet — à joindre en annexe technique du rapport de stage.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2026-07-17T14:48:27.229Z</dcterms:created>
  <dcterms:modified xsi:type="dcterms:W3CDTF">2026-07-17T14:48:27.242Z</dcterms:modified>
</cp:coreProperties>
</file>

<file path=docProps/custom.xml><?xml version="1.0" encoding="utf-8"?>
<Properties xmlns="http://schemas.openxmlformats.org/officeDocument/2006/custom-properties" xmlns:vt="http://schemas.openxmlformats.org/officeDocument/2006/docPropsVTypes"/>
</file>