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C4" w:rsidRDefault="001E7364">
      <w:proofErr w:type="spellStart"/>
      <w:r>
        <w:t>DWFWriter</w:t>
      </w:r>
      <w:proofErr w:type="spellEnd"/>
      <w:r>
        <w:t xml:space="preserve"> Instructions:</w:t>
      </w:r>
    </w:p>
    <w:p w:rsidR="001E7364" w:rsidRDefault="001E7364"/>
    <w:p w:rsidR="001E7364" w:rsidRDefault="001E7364">
      <w:r>
        <w:t xml:space="preserve">The </w:t>
      </w:r>
      <w:proofErr w:type="spellStart"/>
      <w:r>
        <w:t>DWFWriter</w:t>
      </w:r>
      <w:proofErr w:type="spellEnd"/>
      <w:r>
        <w:t xml:space="preserve">, (Debye Waller Factor Writer) has become the main workhorse of these programs. It takes in the various pieces of information given by Dr. Lindsay, runs them through Xu </w:t>
      </w:r>
      <w:proofErr w:type="spellStart"/>
      <w:r>
        <w:t>Ruqing’s</w:t>
      </w:r>
      <w:proofErr w:type="spellEnd"/>
      <w:r>
        <w:t xml:space="preserve"> equations, and returns scattering intensities with and without a thermal gradient.</w:t>
      </w:r>
    </w:p>
    <w:p w:rsidR="001E7364" w:rsidRDefault="001E7364"/>
    <w:p w:rsidR="001E7364" w:rsidRDefault="001E7364">
      <w:r>
        <w:t xml:space="preserve">First, the </w:t>
      </w:r>
      <w:proofErr w:type="spellStart"/>
      <w:r>
        <w:t>wb</w:t>
      </w:r>
      <w:proofErr w:type="spellEnd"/>
      <w:r>
        <w:t xml:space="preserve"> loads the Excel Workbook that the file will later manipulate. Similarly, </w:t>
      </w:r>
      <w:proofErr w:type="spellStart"/>
      <w:r>
        <w:t>ws</w:t>
      </w:r>
      <w:proofErr w:type="spellEnd"/>
      <w:r>
        <w:t xml:space="preserve"> (worksheet) will select the active worksheet at the time of the Excel Workbooks last session. </w:t>
      </w:r>
      <w:proofErr w:type="gramStart"/>
      <w:r>
        <w:t>y</w:t>
      </w:r>
      <w:proofErr w:type="gramEnd"/>
      <w:r>
        <w:t xml:space="preserve"> is the starting number at which the data points begin, and z is one number beyond the last data point in the sheet (row 12295). This ensures that the following math will occur for all of the data points.</w:t>
      </w:r>
    </w:p>
    <w:p w:rsidR="001E7364" w:rsidRDefault="001E7364"/>
    <w:p w:rsidR="001E7364" w:rsidRDefault="001E7364">
      <w:r>
        <w:t xml:space="preserve">A helper function, mag2, is used to calculate the magnitude squared of a value. </w:t>
      </w:r>
    </w:p>
    <w:p w:rsidR="001E7364" w:rsidRDefault="001E7364"/>
    <w:p w:rsidR="001E7364" w:rsidRDefault="001E7364">
      <w:proofErr w:type="gramStart"/>
      <w:r>
        <w:t>h</w:t>
      </w:r>
      <w:proofErr w:type="gramEnd"/>
      <w:r>
        <w:t xml:space="preserve"> is set to the reduced Plank’s constant (in units of m</w:t>
      </w:r>
      <w:r>
        <w:rPr>
          <w:vertAlign w:val="superscript"/>
        </w:rPr>
        <w:t>2</w:t>
      </w:r>
      <w:r>
        <w:t xml:space="preserve"> kg / 2). </w:t>
      </w:r>
    </w:p>
    <w:p w:rsidR="001E7364" w:rsidRDefault="001E7364"/>
    <w:p w:rsidR="001E7364" w:rsidRDefault="001E7364">
      <w:proofErr w:type="gramStart"/>
      <w:r>
        <w:t>w</w:t>
      </w:r>
      <w:proofErr w:type="gramEnd"/>
      <w:r>
        <w:t xml:space="preserve"> becomes the set of angular frequency values for each of the data points. First, I initialize an array equal to the amount of data points in the sheet (range(y, z)). Then, for each data point, I multiply the given frequency by 2 * pi * 10</w:t>
      </w:r>
      <w:r>
        <w:rPr>
          <w:vertAlign w:val="superscript"/>
        </w:rPr>
        <w:t>12</w:t>
      </w:r>
      <w:r>
        <w:t xml:space="preserve"> in order to obtain the angular frequency of that particular data point in radians (note that the frequency in the excel sheet is in THz, hence the 10</w:t>
      </w:r>
      <w:r>
        <w:rPr>
          <w:vertAlign w:val="superscript"/>
        </w:rPr>
        <w:t>12</w:t>
      </w:r>
      <w:r>
        <w:t>). This is the first instance of stor</w:t>
      </w:r>
      <w:r w:rsidR="00152194">
        <w:t xml:space="preserve">ing excel data in a python array, which is used throughout the program. </w:t>
      </w:r>
      <w:proofErr w:type="gramStart"/>
      <w:r w:rsidR="00152194">
        <w:t>w</w:t>
      </w:r>
      <w:proofErr w:type="gramEnd"/>
      <w:r w:rsidR="00152194">
        <w:t xml:space="preserve"> is the array, which starts at row 8 (w[0] = w[</w:t>
      </w:r>
      <w:proofErr w:type="spellStart"/>
      <w:r w:rsidR="00152194">
        <w:t>i</w:t>
      </w:r>
      <w:proofErr w:type="spellEnd"/>
      <w:r w:rsidR="00152194">
        <w:t xml:space="preserve">-y]) and ends at row 12295. In order to retrieve the data from a cell using </w:t>
      </w:r>
      <w:proofErr w:type="spellStart"/>
      <w:r w:rsidR="00152194">
        <w:t>openpyxl</w:t>
      </w:r>
      <w:proofErr w:type="spellEnd"/>
      <w:r w:rsidR="00152194">
        <w:t xml:space="preserve">, you use </w:t>
      </w:r>
      <w:proofErr w:type="spellStart"/>
      <w:proofErr w:type="gramStart"/>
      <w:r w:rsidR="00152194">
        <w:t>ws</w:t>
      </w:r>
      <w:proofErr w:type="spellEnd"/>
      <w:r w:rsidR="00152194">
        <w:t>[</w:t>
      </w:r>
      <w:proofErr w:type="gramEnd"/>
      <w:r w:rsidR="00152194">
        <w:t>‘Cell number’].value. I wrote this such that all of one particular type of data would be in a specified column (F in the case of frequency) and then I parse together strings that are indexed according to their row in the excel sheet.</w:t>
      </w:r>
    </w:p>
    <w:p w:rsidR="004136F3" w:rsidRDefault="004136F3"/>
    <w:p w:rsidR="001E7364" w:rsidRDefault="004136F3">
      <w:r>
        <w:t>From here, I add in additional constants and variables as they are needed, with kb equaling Boltzmann’s constant in units of (m</w:t>
      </w:r>
      <w:r>
        <w:rPr>
          <w:vertAlign w:val="superscript"/>
        </w:rPr>
        <w:t>2</w:t>
      </w:r>
      <w:r>
        <w:t xml:space="preserve"> kg / s</w:t>
      </w:r>
      <w:r>
        <w:rPr>
          <w:vertAlign w:val="superscript"/>
        </w:rPr>
        <w:t xml:space="preserve">2 </w:t>
      </w:r>
      <w:r>
        <w:t>K), and set the absolute temperature of the system to 300 K.</w:t>
      </w:r>
    </w:p>
    <w:p w:rsidR="004136F3" w:rsidRDefault="004136F3"/>
    <w:p w:rsidR="004136F3" w:rsidRDefault="004136F3">
      <w:r>
        <w:t xml:space="preserve">At this point, this gives us enough data to determine the Bragg scattering of the crystal (which is not really used in this experiment). This data is then transcribed into column K by using the </w:t>
      </w:r>
      <w:proofErr w:type="spellStart"/>
      <w:r>
        <w:t>openpxyl</w:t>
      </w:r>
      <w:proofErr w:type="spellEnd"/>
      <w:r>
        <w:t xml:space="preserve"> function (</w:t>
      </w:r>
      <w:proofErr w:type="spellStart"/>
      <w:proofErr w:type="gramStart"/>
      <w:r>
        <w:t>ws</w:t>
      </w:r>
      <w:proofErr w:type="spellEnd"/>
      <w:r>
        <w:t>[</w:t>
      </w:r>
      <w:proofErr w:type="gramEnd"/>
      <w:r>
        <w:t xml:space="preserve">‘cell name’] = value). </w:t>
      </w:r>
    </w:p>
    <w:p w:rsidR="004136F3" w:rsidRDefault="004136F3"/>
    <w:p w:rsidR="004136F3" w:rsidRDefault="004136F3">
      <w:r>
        <w:t>From here, I set N equal to Avogadro’s number (arbitrarily).</w:t>
      </w:r>
    </w:p>
    <w:p w:rsidR="004136F3" w:rsidRDefault="004136F3"/>
    <w:p w:rsidR="004136F3" w:rsidRDefault="004136F3">
      <w:r>
        <w:t>Next, in f, I set the values for the atomic form factor for the two atoms in the unit cell of each material. These values were acquired by online tables.</w:t>
      </w:r>
      <w:r w:rsidR="00F17148">
        <w:t xml:space="preserve"> </w:t>
      </w:r>
      <w:r w:rsidR="00F17148" w:rsidRPr="00F17148">
        <w:t>http://lampx.tugraz.at/~hadley/ss1/crystaldiffraction/atomicformfactors/formfactors.php</w:t>
      </w:r>
      <w:bookmarkStart w:id="0" w:name="_GoBack"/>
      <w:bookmarkEnd w:id="0"/>
    </w:p>
    <w:p w:rsidR="004136F3" w:rsidRDefault="004136F3"/>
    <w:p w:rsidR="004136F3" w:rsidRDefault="004136F3">
      <w:r>
        <w:t xml:space="preserve">In order to acquire the Thomson scattering (amount of scattering per incident photon), given by the equation below: </w:t>
      </w:r>
    </w:p>
    <w:p w:rsidR="00145517" w:rsidRDefault="00145517"/>
    <w:p w:rsidR="00145517" w:rsidRPr="00145517" w:rsidRDefault="00F17148">
      <w:pPr>
        <w:rPr>
          <w:rFonts w:eastAsiaTheme="minorEastAsia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q</m:t>
              </m:r>
              <m:r>
                <w:rPr>
                  <w:rFonts w:ascii="Cambria Math" w:hAnsi="Cambria Math"/>
                  <w:vertAlign w:val="superscript"/>
                </w:rPr>
                <m:t>, d</m:t>
              </m:r>
            </m:e>
          </m:d>
          <m:r>
            <w:rPr>
              <w:rFonts w:ascii="Cambria Math" w:hAnsi="Cambria Math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incident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[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  <w:vertAlign w:val="superscript"/>
                </w:rPr>
              </m:ctrlPr>
            </m:e>
          </m:func>
          <m:r>
            <w:rPr>
              <w:rFonts w:ascii="Cambria Math" w:hAnsi="Cambria Math"/>
              <w:vertAlign w:val="superscript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vertAlign w:val="superscript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  <m:ctrlPr>
                    <w:rPr>
                      <w:rFonts w:ascii="Cambria Math" w:hAnsi="Cambria Math"/>
                      <w:vertAlign w:val="superscript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vertAlign w:val="superscript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vertAlign w:val="superscript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perscript"/>
                    </w:rPr>
                    <m:t>cos</m:t>
                  </m:r>
                  <m:ctrlPr>
                    <w:rPr>
                      <w:rFonts w:ascii="Cambria Math" w:hAnsi="Cambria Math"/>
                      <w:vertAlign w:val="superscript"/>
                    </w:rPr>
                  </m:ctrlP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  <m:ctrlPr>
                    <w:rPr>
                      <w:rFonts w:ascii="Cambria Math" w:hAnsi="Cambria Math"/>
                      <w:vertAlign w:val="superscript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vertAlign w:val="superscript"/>
                </w:rPr>
                <m:t>(2θ)]</m:t>
              </m:r>
            </m:e>
          </m:func>
        </m:oMath>
      </m:oMathPara>
    </w:p>
    <w:p w:rsidR="00145517" w:rsidRDefault="00145517">
      <w:pPr>
        <w:rPr>
          <w:rFonts w:eastAsiaTheme="minorEastAsia"/>
        </w:rPr>
      </w:pPr>
    </w:p>
    <w:p w:rsidR="00145517" w:rsidRDefault="00145517">
      <w:pPr>
        <w:rPr>
          <w:rFonts w:eastAsiaTheme="minorEastAsia"/>
        </w:rPr>
      </w:pPr>
      <w:r>
        <w:rPr>
          <w:rFonts w:eastAsiaTheme="minorEastAsia"/>
        </w:rPr>
        <w:t xml:space="preserve">I arbitrarily set </w:t>
      </w:r>
      <w:proofErr w:type="spellStart"/>
      <w:r>
        <w:rPr>
          <w:rFonts w:eastAsiaTheme="minorEastAsia"/>
        </w:rPr>
        <w:t>I_incident</w:t>
      </w:r>
      <w:proofErr w:type="spellEnd"/>
      <w:r>
        <w:rPr>
          <w:rFonts w:eastAsiaTheme="minorEastAsia"/>
        </w:rPr>
        <w:t xml:space="preserve"> (the amount of photon flux) to 1 photon per meter (which is likely why my values end up being so small), d (distance to observer) to 1 m, r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the classical electron radius to the value 2.82 * 10</w:t>
      </w:r>
      <w:r>
        <w:rPr>
          <w:rFonts w:eastAsiaTheme="minorEastAsia"/>
          <w:vertAlign w:val="superscript"/>
        </w:rPr>
        <w:t>-15</w:t>
      </w:r>
      <w:r>
        <w:rPr>
          <w:rFonts w:eastAsiaTheme="minorEastAsia"/>
        </w:rPr>
        <w:t>, and both 2θ and φ to 90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. </w:t>
      </w:r>
      <w:r w:rsidR="00AC0E9C">
        <w:rPr>
          <w:rFonts w:eastAsiaTheme="minorEastAsia"/>
        </w:rPr>
        <w:t>For the actual experiment, these values should be adjusted to reflect their real values.</w:t>
      </w:r>
    </w:p>
    <w:p w:rsidR="00AC0E9C" w:rsidRDefault="00AC0E9C">
      <w:pPr>
        <w:rPr>
          <w:rFonts w:eastAsiaTheme="minorEastAsia"/>
        </w:rPr>
      </w:pPr>
    </w:p>
    <w:p w:rsidR="00AC0E9C" w:rsidRDefault="00AC0E9C">
      <w:pPr>
        <w:rPr>
          <w:rFonts w:eastAsiaTheme="minorEastAsia"/>
        </w:rPr>
      </w:pPr>
      <w:r>
        <w:rPr>
          <w:rFonts w:eastAsiaTheme="minorEastAsia"/>
        </w:rPr>
        <w:t xml:space="preserve">Next, I set a to the lattice constant for the appropriate number for each material (I never changed the Diamond in all of the comments, but I have verified that each of the values are correct for each of the materials). </w:t>
      </w:r>
    </w:p>
    <w:p w:rsidR="00AC0E9C" w:rsidRDefault="00AC0E9C">
      <w:pPr>
        <w:rPr>
          <w:rFonts w:eastAsiaTheme="minorEastAsia"/>
        </w:rPr>
      </w:pPr>
    </w:p>
    <w:p w:rsidR="00AC0E9C" w:rsidRDefault="00AC0E9C">
      <w:proofErr w:type="gramStart"/>
      <w:r>
        <w:t>tau</w:t>
      </w:r>
      <w:proofErr w:type="gramEnd"/>
      <w:r>
        <w:t xml:space="preserve"> is the set of basis vectors in the unit cells (which is the same for each of the investigated materials).</w:t>
      </w:r>
    </w:p>
    <w:p w:rsidR="00AC0E9C" w:rsidRDefault="00AC0E9C"/>
    <w:p w:rsidR="00AC0E9C" w:rsidRDefault="00AC0E9C">
      <w:r>
        <w:t xml:space="preserve">q </w:t>
      </w:r>
      <w:proofErr w:type="gramStart"/>
      <w:r>
        <w:t>is</w:t>
      </w:r>
      <w:proofErr w:type="gramEnd"/>
      <w:r>
        <w:t xml:space="preserve"> the array of three dimensional vectors set by columns C, D, and E (x, y and z respectively) and represent the vectors in reciprocal space (in units of A</w:t>
      </w:r>
      <w:r>
        <w:rPr>
          <w:vertAlign w:val="superscript"/>
        </w:rPr>
        <w:t>-1</w:t>
      </w:r>
      <w:r>
        <w:t xml:space="preserve">). </w:t>
      </w:r>
    </w:p>
    <w:p w:rsidR="00AC0E9C" w:rsidRDefault="00AC0E9C"/>
    <w:p w:rsidR="00AC0E9C" w:rsidRDefault="00AC0E9C">
      <w:proofErr w:type="gramStart"/>
      <w:r>
        <w:t>mu</w:t>
      </w:r>
      <w:proofErr w:type="gramEnd"/>
      <w:r>
        <w:t xml:space="preserve"> is set to the atomic mass of the material in question (since each crystal is monotonic, this can be set to a constant, but for materials with more than one element, this would need to turn into an array quantity). </w:t>
      </w:r>
    </w:p>
    <w:p w:rsidR="00AC0E9C" w:rsidRDefault="00AC0E9C"/>
    <w:p w:rsidR="00AC0E9C" w:rsidRDefault="00AC0E9C">
      <w:r>
        <w:t>At first, the temperature gradient (</w:t>
      </w:r>
      <w:proofErr w:type="spellStart"/>
      <w:r>
        <w:t>Grad_T</w:t>
      </w:r>
      <w:proofErr w:type="spellEnd"/>
      <w:r>
        <w:t>) is set to zero, in order to measure the thermal diffuse scattering without a temperature gradient.</w:t>
      </w:r>
    </w:p>
    <w:p w:rsidR="00AC0E9C" w:rsidRDefault="00AC0E9C"/>
    <w:p w:rsidR="00AC0E9C" w:rsidRDefault="00AC0E9C">
      <w:r>
        <w:t>F is set to the normalized distance away from equilibrium for each of the data points, as provided and described by Dr. Lindsay.</w:t>
      </w:r>
    </w:p>
    <w:p w:rsidR="00AC0E9C" w:rsidRDefault="00AC0E9C"/>
    <w:p w:rsidR="00AC0E9C" w:rsidRDefault="00AC0E9C">
      <w:r>
        <w:t xml:space="preserve">These values allow us to calculate the </w:t>
      </w:r>
      <w:r w:rsidR="009E619B">
        <w:t>change in phonon populations due to a thermal gradient, which is set to the eta_1.</w:t>
      </w:r>
    </w:p>
    <w:p w:rsidR="009E619B" w:rsidRDefault="009E619B"/>
    <w:p w:rsidR="009E619B" w:rsidRDefault="009E619B">
      <w:r>
        <w:t>Once I obtain eta_1, I then calculate eta total by adding it to the initial contribution:</w:t>
      </w:r>
    </w:p>
    <w:p w:rsidR="009E619B" w:rsidRDefault="009E619B">
      <w:proofErr w:type="gramStart"/>
      <w:r>
        <w:t>eta</w:t>
      </w:r>
      <w:proofErr w:type="gramEnd"/>
      <w:r>
        <w:t xml:space="preserve"> = eta_0 + eta_1.</w:t>
      </w:r>
    </w:p>
    <w:p w:rsidR="009E619B" w:rsidRDefault="009E619B"/>
    <w:p w:rsidR="009E619B" w:rsidRDefault="009E619B">
      <w:r>
        <w:t>I then use this value to obtain the Debye Waller factor for each data point, and then sum them all together, as per the equation:</w:t>
      </w:r>
    </w:p>
    <w:p w:rsidR="009E619B" w:rsidRDefault="009E619B">
      <w:r w:rsidRPr="00FA66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56F21" wp14:editId="0574E3DD">
            <wp:extent cx="2536371" cy="10314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20" cy="10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which</w:t>
      </w:r>
      <w:proofErr w:type="gramEnd"/>
      <w:r>
        <w:t xml:space="preserve"> is equation 2.58 in Xu’s paper. </w:t>
      </w:r>
    </w:p>
    <w:p w:rsidR="009E619B" w:rsidRDefault="009E619B"/>
    <w:p w:rsidR="009E619B" w:rsidRDefault="001F290D">
      <w:proofErr w:type="spellStart"/>
      <w:proofErr w:type="gramStart"/>
      <w:r>
        <w:t>k_l</w:t>
      </w:r>
      <w:proofErr w:type="spellEnd"/>
      <w:proofErr w:type="gramEnd"/>
      <w:r>
        <w:t xml:space="preserve"> is set to all of the reciprocal lattice vectors in the unit cell of a diamond cell.</w:t>
      </w:r>
    </w:p>
    <w:p w:rsidR="001F290D" w:rsidRDefault="001F290D"/>
    <w:p w:rsidR="001F290D" w:rsidRDefault="001F290D">
      <w:r>
        <w:t xml:space="preserve">I_0 is the </w:t>
      </w:r>
      <w:r w:rsidR="00984492">
        <w:t>intensity due to Bragg Scattering</w:t>
      </w:r>
    </w:p>
    <w:p w:rsidR="00984492" w:rsidRDefault="00984492"/>
    <w:p w:rsidR="00984492" w:rsidRDefault="00984492">
      <w:r>
        <w:t>I_1 is the intensity due to thermal diffuse scattering.</w:t>
      </w:r>
    </w:p>
    <w:p w:rsidR="00984492" w:rsidRDefault="00984492"/>
    <w:p w:rsidR="00984492" w:rsidRDefault="00984492">
      <w:r>
        <w:t>The two aforementioned values are then recalculated for an applied thermal gradient.</w:t>
      </w:r>
    </w:p>
    <w:p w:rsidR="00984492" w:rsidRDefault="00984492"/>
    <w:p w:rsidR="00984492" w:rsidRDefault="00984492">
      <w:r>
        <w:t>Once everything is calculated, in order to save the values, I use the save function:</w:t>
      </w:r>
    </w:p>
    <w:p w:rsidR="00984492" w:rsidRDefault="00984492"/>
    <w:p w:rsidR="00984492" w:rsidRDefault="00984492">
      <w:proofErr w:type="spellStart"/>
      <w:r>
        <w:t>wb.save</w:t>
      </w:r>
      <w:proofErr w:type="spellEnd"/>
      <w:r>
        <w:t>(‘name of file you want to save to’)</w:t>
      </w:r>
    </w:p>
    <w:p w:rsidR="009E619B" w:rsidRPr="00AC0E9C" w:rsidRDefault="009E619B"/>
    <w:sectPr w:rsidR="009E619B" w:rsidRPr="00AC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64"/>
    <w:rsid w:val="00145517"/>
    <w:rsid w:val="00152194"/>
    <w:rsid w:val="001E7364"/>
    <w:rsid w:val="001F290D"/>
    <w:rsid w:val="004136F3"/>
    <w:rsid w:val="0069363A"/>
    <w:rsid w:val="00760880"/>
    <w:rsid w:val="00865A64"/>
    <w:rsid w:val="00984492"/>
    <w:rsid w:val="009E619B"/>
    <w:rsid w:val="00AC0E9C"/>
    <w:rsid w:val="00B40896"/>
    <w:rsid w:val="00D07EB4"/>
    <w:rsid w:val="00E609B6"/>
    <w:rsid w:val="00E66CF8"/>
    <w:rsid w:val="00F1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973BC-B99A-4D42-9233-F3052BE3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9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55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Newman</dc:creator>
  <cp:keywords/>
  <dc:description/>
  <cp:lastModifiedBy>John Newman</cp:lastModifiedBy>
  <cp:revision>2</cp:revision>
  <dcterms:created xsi:type="dcterms:W3CDTF">2016-06-30T21:46:00Z</dcterms:created>
  <dcterms:modified xsi:type="dcterms:W3CDTF">2016-07-01T16:21:00Z</dcterms:modified>
</cp:coreProperties>
</file>