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673227" cy="1665688"/>
            <wp:effectExtent b="0" l="0" r="0" t="0"/>
            <wp:docPr descr="A black and red graduation cap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ack and red graduation cap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227" cy="166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446"/>
        <w:tblGridChange w:id="0">
          <w:tblGrid>
            <w:gridCol w:w="1044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Weekly Progress Report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 Name: John Toner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Name: Maeve Clarke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 Mathematics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04/05/2026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Report Number: 2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7767"/>
        <w:tblGridChange w:id="0">
          <w:tblGrid>
            <w:gridCol w:w="2689"/>
            <w:gridCol w:w="7767"/>
          </w:tblGrid>
        </w:tblGridChange>
      </w:tblGrid>
      <w:tr>
        <w:trPr>
          <w:cantSplit w:val="0"/>
          <w:trHeight w:val="1785.8496093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This Weeks Progress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Maeve showed a good level of aptitude for more difficult probability questions from her Edexcel textbook, as she felt satisfied with Hypothesis Testing for normal distribution.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 will move into other kinds of Hypthesis testing to focuson.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Improvement Areas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Going forward, the aim is to </w:t>
            </w:r>
            <w:r w:rsidDel="00000000" w:rsidR="00000000" w:rsidRPr="00000000">
              <w:rPr>
                <w:rtl w:val="0"/>
              </w:rPr>
              <w:t xml:space="preserve">increase her knowledge of the different question types for other topics and deepen her understanding of the relationships in probability.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 is in a good position to move on to other question types, with an increasing focus on exam technique and clear working out.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