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left"/>
      </w:pPr>
      <w:r>
        <w:rPr>
          <w:b/>
          <w:bCs/>
          <w:color w:val="151515"/>
          <w:sz w:val="72"/>
          <w:szCs w:val="72"/>
        </w:rPr>
        <w:t xml:space="preserve">ASIKO</w:t>
      </w:r>
    </w:p>
    <w:p>
      <w:pPr>
        <w:spacing w:after="400"/>
      </w:pPr>
      <w:r>
        <w:rPr>
          <w:b/>
          <w:bCs/>
          <w:color w:val="C99632"/>
          <w:sz w:val="24"/>
          <w:szCs w:val="24"/>
        </w:rPr>
        <w:t xml:space="preserve">THE SOUL OF AFRICA</w:t>
      </w:r>
    </w:p>
    <w:p>
      <w:pPr>
        <w:pBdr>
          <w:bottom w:val="single" w:color="C99632" w:sz="12" w:space="1"/>
        </w:pBdr>
        <w:spacing w:after="400"/>
      </w:pPr>
    </w:p>
    <w:p>
      <w:pPr>
        <w:spacing w:after="160"/>
      </w:pPr>
      <w:r>
        <w:rPr>
          <w:b/>
          <w:bCs/>
          <w:color w:val="151515"/>
          <w:sz w:val="40"/>
          <w:szCs w:val="40"/>
        </w:rPr>
        <w:t xml:space="preserve">Self-Serve Advertising Service</w:t>
      </w:r>
    </w:p>
    <w:p>
      <w:pPr>
        <w:spacing w:after="800"/>
      </w:pPr>
      <w:r>
        <w:rPr>
          <w:color w:val="6B6B6B"/>
          <w:sz w:val="24"/>
          <w:szCs w:val="24"/>
        </w:rPr>
        <w:t xml:space="preserve">A Tier 2 Product, Market &amp; Build Plan for the African Home Market and the Diaspora</w:t>
      </w:r>
    </w:p>
    <w:p>
      <w:pPr>
        <w:spacing w:after="100"/>
      </w:pPr>
      <w:r>
        <w:rPr>
          <w:sz w:val="22"/>
          <w:szCs w:val="22"/>
        </w:rPr>
        <w:t xml:space="preserve">Prepared for: John Idani Upah, ARPA — Managing Director, Media Icons Africa</w:t>
      </w:r>
    </w:p>
    <w:p>
      <w:pPr>
        <w:spacing w:after="100"/>
      </w:pPr>
      <w:r>
        <w:rPr>
          <w:sz w:val="22"/>
          <w:szCs w:val="22"/>
        </w:rPr>
        <w:t xml:space="preserve">Deploys to: www.asiko.live self-serve sales funnel</w:t>
      </w:r>
    </w:p>
    <w:p>
      <w:r>
        <w:rPr>
          <w:i/>
          <w:iCs/>
          <w:color w:val="6B6B6B"/>
          <w:sz w:val="22"/>
          <w:szCs w:val="22"/>
        </w:rPr>
        <w:t xml:space="preserve">Status: Ready to build — extracted from the Tier 1/Tier 2 Revenue Architecture deck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document extracts the Tier 2 self-serve advertising line from Asiko's revenue architecture and develops it into a standalone, buildable product: a booking flow that lets a business buy ad inventory on Asiko without a sales call, a signed contract, or a wait for Media Icons Africa's sales team to have bandwidth.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Two markets are served by one engine, priced and paid for differently: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African home market — Naira-denominated, price-sensitive SMEs, event promoters and local businesses who currently have no affordable way to advertise on television.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diaspora market — hard-currency (GBP/USD/EUR) businesses serving Africans abroad: remittance apps, African restaurants, travel agents, event promoters, faith communities — who already spend on diaspora-targeted marketing but have no African-owned streaming platform to buy into.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build described here uses only the infrastructure Asiko already has — Hercules CMS and Bunny Stream — plus a lightweight booking form and two payment integrations. It does not require a programmatic ad-tech vendor. That layer stays on the roadmap, as set out in the main revenue deck.</w:t>
      </w:r>
    </w:p>
    <w:p>
      <w:pPr>
        <w:pStyle w:val="Heading1"/>
        <w:spacing w:after="160" w:before="360"/>
      </w:pPr>
      <w:r>
        <w:t xml:space="preserve">2. Why This, Why Now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Tier 1 category-exclusive sponsorship funds Asiko's floor. But it has a structural limit: there are only ~30 sectors, and one sponsor per sector means a hard ceiling on how many deals the sales team can close, no matter how good the platform is.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Self-serve removes that ceiling. It turns every business that will never sign a category-exclusivity contract — a diaspora hair salon, a Lagos event planner, a remittance start-up too early for a $25,000 annual deal — into a paying advertiser, without adding a single sales call to the team's calendar.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It also does something the Tier 1 motion cannot: it proves demand and inventory value with real transaction data, which is exactly the evidence a future programmatic (SSP) partner will want to see before they plug in.</w:t>
      </w:r>
    </w:p>
    <w:p>
      <w:pPr>
        <w:pStyle w:val="Heading1"/>
        <w:spacing w:after="160" w:before="360"/>
      </w:pPr>
      <w:r>
        <w:t xml:space="preserve">3. Two Markets, One Engine</w:t>
      </w:r>
    </w:p>
    <w:p>
      <w:pPr>
        <w:pStyle w:val="Heading2"/>
        <w:spacing w:after="120" w:before="260"/>
      </w:pPr>
      <w:r>
        <w:t xml:space="preserve">3.1 Africa Home Market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Who: independent local businesses, event promoters, market fairs, local political and civic campaigns, churches/mosques, real estate agents, small hospitality brands — the businesses too small for a Tier 1 sector-exclusivity deal but who already spend on local radio, roadside billboards and WhatsApp/Instagram ads.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Currency &amp; price point: Naira, priced to compete with what these businesses currently pay for a roadside billboard or a week of boosted Instagram posts — not against television ad rates.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Buying trigger: an event, a launch, a seasonal push (Detty December, Eid, back-to-school, election season) — campaigns are short and dated, so the product must support single-week and single-campaign bookings, not just monthly subscriptions.</w:t>
      </w:r>
    </w:p>
    <w:p>
      <w:pPr>
        <w:pStyle w:val="Heading2"/>
        <w:spacing w:after="120" w:before="260"/>
      </w:pPr>
      <w:r>
        <w:t xml:space="preserve">3.2 Diaspora Market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Who: remittance and fintech apps, African restaurants and grocers in the UK/US/Canada/Europe, travel agents selling home-country flights, diaspora event promoters (concerts, weddings, cultural festivals), faith communities, hometown/alumni associations.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Currency &amp; price point: GBP/USD/EUR, priced against what these businesses currently pay for diaspora-community Facebook groups, WhatsApp broadcast lists and diaspora radio — a category with real but fragmented ad spend and no dominant screen to buy into.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Buying trigger: usually calendar-driven — a concert date, a flight-sale window, a religious holiday, a hometown association's annual event — which argues for the same short-campaign flexibility as the home market, priced in hard currency.</w:t>
      </w:r>
    </w:p>
    <w:p>
      <w:pPr>
        <w:pStyle w:val="Heading1"/>
        <w:spacing w:after="160" w:before="360"/>
      </w:pPr>
      <w:r>
        <w:t xml:space="preserve">4. Product Structure — Packages &amp; Pricing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Illustrative starting price points, for discussion — not final rate-card figures. Set to undercut the price of a local billboard or diaspora Facebook-group ad while remaining well below Tier 1 sponsorship value, so self-serve never cannibalises Tier 1 deals.</w:t>
      </w:r>
    </w:p>
    <w:p>
      <w:pPr>
        <w:pStyle w:val="Heading2"/>
        <w:spacing w:after="120" w:before="260"/>
      </w:pPr>
      <w:r>
        <w:t xml:space="preserve">4.1 Africa Home Market — Naira Packages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400"/>
      </w:tblGrid>
      <w:tr>
        <w:trPr>
          <w:tblHeader/>
        </w:trPr>
        <w:tc>
          <w:tcPr>
            <w:tcW w:type="dxa" w:w="24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4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Spotlight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₦25,000 / week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rotating 15-second spot across the general Asiko network</w:t>
            </w:r>
          </w:p>
        </w:tc>
      </w:tr>
      <w:t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₦75,000 / month</w:t>
            </w:r>
          </w:p>
        </w:tc>
        <w:tc>
          <w:tcPr>
            <w:tcW w:type="dxa" w:w="5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spots per day, choice of up to 3 channel categories, channel-guide banner included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₦180,000 / month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category placement, guaranteed daily impression minimum, priority creative support</w:t>
            </w:r>
          </w:p>
        </w:tc>
      </w:tr>
      <w:t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Campaign Boost</w:t>
            </w:r>
          </w:p>
        </w:tc>
        <w:tc>
          <w:tcPr>
            <w:tcW w:type="dxa" w:w="2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₦40,000 flat</w:t>
            </w:r>
          </w:p>
        </w:tc>
        <w:tc>
          <w:tcPr>
            <w:tcW w:type="dxa" w:w="5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One-off push tied to a dated event (launch, election, festival) — runs for the event window only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4.2 Diaspora Market — Hard-Currency Packages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400"/>
      </w:tblGrid>
      <w:tr>
        <w:trPr>
          <w:tblHeader/>
        </w:trPr>
        <w:tc>
          <w:tcPr>
            <w:tcW w:type="dxa" w:w="24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4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Spotlight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 / week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rotating 15-second spot across diaspora-relevant channels</w:t>
            </w:r>
          </w:p>
        </w:tc>
      </w:tr>
      <w:t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 / month</w:t>
            </w:r>
          </w:p>
        </w:tc>
        <w:tc>
          <w:tcPr>
            <w:tcW w:type="dxa" w:w="5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spots per day, choice of up to 3 channel categories, channel-guide banner included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$399 / month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category placement, guaranteed daily impression minimum, priority creative support</w:t>
            </w:r>
          </w:p>
        </w:tc>
      </w:tr>
      <w:t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Campaign Boost</w:t>
            </w:r>
          </w:p>
        </w:tc>
        <w:tc>
          <w:tcPr>
            <w:tcW w:type="dxa" w:w="2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 flat</w:t>
            </w:r>
          </w:p>
        </w:tc>
        <w:tc>
          <w:tcPr>
            <w:tcW w:type="dxa" w:w="5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One-off push tied to a dated event (concert, flight sale, festival) — runs for the event window only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Creative support add-on: a business with no ad ready to run can add a produced 15-second spot via Studio Iconia (Media Icons Africa's production division) for a flat add-on fee, rather than being turned away at checkout.</w:t>
      </w:r>
    </w:p>
    <w:p>
      <w:pPr>
        <w:pStyle w:val="Heading1"/>
        <w:spacing w:after="160" w:before="360"/>
      </w:pPr>
      <w:r>
        <w:t xml:space="preserve">5. Self-Serve Booking Flow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Six steps, no phone call required, unless the advertiser wants one: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your market — Home (Nigeria/Africa) or Diaspora (UK/US/Canada/Europe) — which sets currency and channel recommendations.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Choose a package — Spotlight, Growth, Business, or a dated Campaign Boost.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Pick channel categories — e.g. Nollywood, News, Gospel/Faith, Sports, Diaspora Life — from the live Asiko/Homee channel guide.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Upload your ad, or add Studio Iconia production if you don't have one yet.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Pick your dates — calendar picker shows real-time availability so a business never buys a sold-out slot.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Pay and confirm — Paystack/Flutterwave for Naira, Stripe/PayPal for hard currency — confirmation and a lightweight performance dashboard follow immediately by email.</w:t>
      </w:r>
    </w:p>
    <w:p>
      <w:pPr>
        <w:pStyle w:val="Heading1"/>
        <w:spacing w:after="160" w:before="360"/>
      </w:pPr>
      <w:r>
        <w:t xml:space="preserve">6. Payment Rails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800"/>
      </w:tblGrid>
      <w:tr>
        <w:trPr>
          <w:tblHeader/>
        </w:trPr>
        <w:tc>
          <w:tcPr>
            <w:tcW w:type="dxa" w:w="30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42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rail</w:t>
            </w:r>
          </w:p>
        </w:tc>
        <w:tc>
          <w:tcPr>
            <w:tcW w:type="dxa" w:w="28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Backup / alternative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Africa Home Market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 (cards, bank transfer, USSD)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Flutterwave</w:t>
            </w:r>
          </w:p>
        </w:tc>
      </w:tr>
      <w:tr>
        <w:tc>
          <w:tcPr>
            <w:tcW w:type="dxa" w:w="30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Diaspora Market</w:t>
            </w:r>
          </w:p>
        </w:tc>
        <w:tc>
          <w:tcPr>
            <w:tcW w:type="dxa" w:w="4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(cards, Apple/Google Pay)</w:t>
            </w:r>
          </w:p>
        </w:tc>
        <w:tc>
          <w:tcPr>
            <w:tcW w:type="dxa" w:w="28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PayPal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Both rails settle into Media Icons Africa's existing accounts; no new banking relationship is required to launch.</w:t>
      </w:r>
    </w:p>
    <w:p>
      <w:pPr>
        <w:pStyle w:val="Heading1"/>
        <w:spacing w:after="160" w:before="360"/>
      </w:pPr>
      <w:r>
        <w:t xml:space="preserve">7. Technical Build on the Existing Stack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Nothing here requires new infrastructure — it is a booking layer and a lightweight ad-rotation rule set placed on top of Hercules and Bunny Stream, which Asiko already runs.</w:t>
      </w:r>
    </w:p>
    <w:p>
      <w:pPr>
        <w:pStyle w:val="Heading2"/>
        <w:spacing w:after="120" w:before="260"/>
      </w:pPr>
      <w:r>
        <w:t xml:space="preserve">7.1 What already exists and is reused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Hercules CMS — becomes the system of record for advertiser accounts, bookings and creative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Bunny Stream — handles the actual ad-insertion into the live channel stream; self-serve bookings simply add entries to its existing rotation/insertion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Asiko/Homee channel guide data — reused to power the live channel-category picker and the calendar-availability check.</w:t>
      </w:r>
    </w:p>
    <w:p>
      <w:pPr>
        <w:pStyle w:val="Heading2"/>
        <w:spacing w:after="120" w:before="260"/>
      </w:pPr>
      <w:r>
        <w:t xml:space="preserve">7.2 What needs to be built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booking front-end (the funnel described in Section 8) — market/package/channel/date selection, creative upload,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simple rotation-slot ledger — tracks how many spots are sold per channel per day so the calendar never oversells inventory.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payment webhooks — Paystack/Flutterwave and Stripe/PayPal — that mark a booking paid and push it into the Bunny Stream rotation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advertiser confirmation email + a one-page performance view (impressions served, spots remaining) — keeps the experience self-serve end to end, with no manual reporting from the Media Icons Africa team.</w:t>
      </w:r>
    </w:p>
    <w:p>
      <w:pPr>
        <w:pStyle w:val="Heading2"/>
        <w:spacing w:after="120" w:before="260"/>
      </w:pPr>
      <w:r>
        <w:t xml:space="preserve">7.3 Immediate build sequence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1: Build the booking form and package/pricing pages (front-end only, no live payment yet).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2: Wire Paystack (home market) and confirm manual booking confirmation by email — sell the first Naira packages by hand if the automated ledger isn't ready.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3: Wire Stripe/PayPal (diaspora market); connect both payment webhooks to the Bunny Stream rotation ledger.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4: Launch the calendar-availability picker and the advertiser performance view; go fully self-serve with no manual steps.</w:t>
      </w:r>
    </w:p>
    <w:p>
      <w:pPr>
        <w:pStyle w:val="Heading1"/>
        <w:spacing w:after="160" w:before="360"/>
      </w:pPr>
      <w:r>
        <w:t xml:space="preserve">8. Funnel &amp; Website Integration — www.asiko.live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self-serve service becomes a dedicated path inside the existing advertiser segment of the Asiko sales funnel, sitting alongside — not replacing — the Tier 1 "Talk to our sales team" path for category-exclusivity sponsors.</w:t>
      </w:r>
    </w:p>
    <w:p>
      <w:pPr>
        <w:pStyle w:val="Heading2"/>
        <w:spacing w:after="120" w:before="260"/>
      </w:pPr>
      <w:r>
        <w:t xml:space="preserve">8.1 Funnel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Entry point: an "Advertise on Asiko" link in the site's main navigation and footer, plus a dedicated /advertise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Fork: two large, equal-weight buttons — "I'm advertising in Africa" and "I'm advertising to the diaspora" — this is the single most important decision on the page, so it is the first thing a visitor sees.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 selection: three package cards plus a Campaign Boost option, prices shown in the currency matching the market already chosen.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Guided checkout: channel picker → date picker → creative upload → payment — each step on its own screen so nothing feels like a long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Confirmation: on-screen and email confirmation, with a link to the advertiser's ongoing performance view.</w:t>
      </w:r>
    </w:p>
    <w:p>
      <w:pPr>
        <w:pStyle w:val="Heading2"/>
        <w:spacing w:after="120" w:before="260"/>
      </w:pPr>
      <w:r>
        <w:t xml:space="preserve">8.2 What this document ships with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working front-end prototype of this exact funnel — built to the Asiko brand system, with the Home/Diaspora fork, live package cards, and a functioning booking form — is delivered alongside this document, ready for the development team to connect to Hercules, Bunny Stream and the two payment rails described in Section 6 and 7.</w:t>
      </w:r>
    </w:p>
    <w:p>
      <w:pPr>
        <w:pStyle w:val="Heading1"/>
        <w:spacing w:after="160" w:before="360"/>
      </w:pPr>
      <w:r>
        <w:t xml:space="preserve">9. Success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600"/>
            <w:shd w:fill="15151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Bookings completed without a sales call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core proof that self-serve is actually removing friction from the sales team's calendar</w:t>
            </w:r>
          </w:p>
        </w:tc>
      </w:tr>
      <w:tr>
        <w:tc>
          <w:tcPr>
            <w:tcW w:type="dxa" w:w="3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vs diaspora revenue split</w:t>
            </w:r>
          </w:p>
        </w:tc>
        <w:tc>
          <w:tcPr>
            <w:tcW w:type="dxa" w:w="66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Tells the team which market to weight marketing spend toward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Campaign Boost vs subscription package mix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whether short, dated campaigns are the dominant buying pattern, as hypothesised in Section 3</w:t>
            </w:r>
          </w:p>
        </w:tc>
      </w:tr>
      <w:tr>
        <w:tc>
          <w:tcPr>
            <w:tcW w:type="dxa" w:w="3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time from landing on /advertise to paid booking</w:t>
            </w:r>
          </w:p>
        </w:tc>
        <w:tc>
          <w:tcPr>
            <w:tcW w:type="dxa" w:w="66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clearest single measure of funnel friction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Repeat-booking rate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a first-time self-serve advertiser comes back — the leading indicator that this becomes a durable revenue line, not a one-off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Prepared by Media Icons Africa  |  Page </w:t>
    </w:r>
    <w:r>
      <w:rPr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4"/>
        <w:szCs w:val="14"/>
      </w:rPr>
      <w:t xml:space="preserve">ASIKO — SELF-SERVE ADVERTISING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9632" w:sz="6" w:space="4"/>
      </w:pBdr>
      <w:spacing w:after="160" w:before="360"/>
    </w:pPr>
    <w:rPr>
      <w:rFonts w:ascii="Cambria" w:cs="Cambria" w:eastAsia="Cambria" w:hAnsi="Cambria"/>
      <w:b/>
      <w:bCs/>
      <w:color w:val="15151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C996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2026-09-03T06:33:45.606Z</dcterms:created>
  <dcterms:modified xsi:type="dcterms:W3CDTF">2026-09-03T06:33:45.606Z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