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Asiko TV — Revised Platform Architecture</w:t>
      </w:r>
    </w:p>
    <w:p>
      <w:pPr>
        <w:pStyle w:val="Subtitle"/>
      </w:pPr>
      <w:r>
        <w:rPr>
          <w:lang w:val="en"/>
        </w:rPr>
        <w:t xml:space="preserve">Response to Enveu Proposal v3 (ENV/ASIKO/2026-09/03)</w:t>
      </w:r>
    </w:p>
    <w:p>
      <w:pPr>
        <w:pStyle w:val="Author"/>
      </w:pPr>
      <w:r>
        <w:rPr>
          <w:lang w:val="en"/>
        </w:rPr>
        <w:t xml:space="preserve">John Upah, Managing Director, Media Icons Africa</w:t>
      </w:r>
    </w:p>
    <w:p>
      <w:pPr>
        <w:pStyle w:val="Date"/>
      </w:pPr>
      <w:r>
        <w:rPr>
          <w:lang w:val="en"/>
        </w:rPr>
        <w:t xml:space="preserve">5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  <w:lang w:val="en"/>
        </w:rPr>
        <w:t xml:space="preserve">Commercial in confidence — prepared for Enveu, not for onward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In response to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Proposal v3 — ENV/ASIKO/2026-09/03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Chandan Luthra, Head of Professional Services, Enveu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John Upah, Managing Director, Media Icons Africa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5 September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Asiko TV — free ad-supported linear, African diaspora (UK / US / CA / EU)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Launch scope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 channels (proof of concept) → 100+ channels (target)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he-change-in-one-paragraph"/>
    <w:p>
      <w:pPr>
        <w:pStyle w:val="Heading2"/>
      </w:pPr>
      <w:r>
        <w:rPr>
          <w:lang w:val="en"/>
        </w:rPr>
        <w:t xml:space="preserve">1. The change, in one paragraph</w:t>
      </w:r>
    </w:p>
    <w:p>
      <w:pPr>
        <w:pStyle w:val="FirstParagraph"/>
      </w:pPr>
      <w:r>
        <w:rPr>
          <w:lang w:val="en"/>
        </w:rPr>
        <w:t xml:space="preserve">We are removing AWS Elemental and AWS Elemental MediaTailor from the Asiko TV</w:t>
      </w:r>
      <w:r>
        <w:rPr>
          <w:lang w:val="en"/>
        </w:rPr>
        <w:t xml:space="preserve"> </w:t>
      </w:r>
      <w:r>
        <w:rPr>
          <w:lang w:val="en"/>
        </w:rPr>
        <w:t xml:space="preserve">stack entirely. Server-side ad insertion moves to the Eyevinn platform, alongside</w:t>
      </w:r>
      <w:r>
        <w:rPr>
          <w:lang w:val="en"/>
        </w:rPr>
        <w:t xml:space="preserve"> </w:t>
      </w:r>
      <w:r>
        <w:rPr>
          <w:lang w:val="en"/>
        </w:rPr>
        <w:t xml:space="preserve">the Channel Engine origin that Proposal v3 already assumes. Nothing else in your</w:t>
      </w:r>
      <w:r>
        <w:rPr>
          <w:lang w:val="en"/>
        </w:rPr>
        <w:t xml:space="preserve"> </w:t>
      </w:r>
      <w:r>
        <w:rPr>
          <w:lang w:val="en"/>
        </w:rPr>
        <w:t xml:space="preserve">engagement changes in intent — scheduling, playout orchestration, EPG, SCTE-35</w:t>
      </w:r>
      <w:r>
        <w:rPr>
          <w:lang w:val="en"/>
        </w:rPr>
        <w:t xml:space="preserve"> </w:t>
      </w:r>
      <w:r>
        <w:rPr>
          <w:lang w:val="en"/>
        </w:rPr>
        <w:t xml:space="preserve">break signalling and the CMS are still the layer we need Enveu to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Why:</w:t>
      </w:r>
      <w:r>
        <w:rPr>
          <w:lang w:val="en"/>
        </w:rPr>
        <w:t xml:space="preserve"> </w:t>
      </w:r>
      <w:r>
        <w:rPr>
          <w:lang w:val="en"/>
        </w:rPr>
        <w:t xml:space="preserve">one platform instead of two, no AWS account or egress to manage, and</w:t>
      </w:r>
      <w:r>
        <w:rPr>
          <w:lang w:val="en"/>
        </w:rPr>
        <w:t xml:space="preserve"> </w:t>
      </w:r>
      <w:r>
        <w:rPr>
          <w:lang w:val="en"/>
        </w:rPr>
        <w:t xml:space="preserve">every dollar not spent on infrastructure goes to content licensing — the real</w:t>
      </w:r>
      <w:r>
        <w:rPr>
          <w:lang w:val="en"/>
        </w:rPr>
        <w:t xml:space="preserve"> </w:t>
      </w:r>
      <w:r>
        <w:rPr>
          <w:lang w:val="en"/>
        </w:rPr>
        <w:t xml:space="preserve">constraint on launch.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What is unaffected:</w:t>
      </w:r>
      <w:r>
        <w:rPr>
          <w:lang w:val="en"/>
        </w:rPr>
        <w:t xml:space="preserve"> </w:t>
      </w:r>
      <w:r>
        <w:rPr>
          <w:lang w:val="en"/>
        </w:rPr>
        <w:t xml:space="preserve">the ad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decision</w:t>
      </w:r>
      <w:r>
        <w:rPr>
          <w:lang w:val="en"/>
        </w:rPr>
        <w:t xml:space="preserve"> </w:t>
      </w:r>
      <w:r>
        <w:rPr>
          <w:lang w:val="en"/>
        </w:rPr>
        <w:t xml:space="preserve">server (Google Ad Manager, SpringServe</w:t>
      </w:r>
      <w:r>
        <w:rPr>
          <w:lang w:val="en"/>
        </w:rPr>
        <w:t xml:space="preserve"> </w:t>
      </w:r>
      <w:r>
        <w:rPr>
          <w:lang w:val="en"/>
        </w:rPr>
        <w:t xml:space="preserve">or Publica) stays with Media Icons and is still integrated by Enveu. Direct</w:t>
      </w:r>
      <w:r>
        <w:rPr>
          <w:lang w:val="en"/>
        </w:rPr>
        <w:t xml:space="preserve"> </w:t>
      </w:r>
      <w:r>
        <w:rPr>
          <w:lang w:val="en"/>
        </w:rPr>
        <w:t xml:space="preserve">sponsorship is still sold by 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In parallel:</w:t>
      </w:r>
      <w:r>
        <w:rPr>
          <w:lang w:val="en"/>
        </w:rPr>
        <w:t xml:space="preserve"> </w:t>
      </w:r>
      <w:r>
        <w:rPr>
          <w:lang w:val="en"/>
        </w:rPr>
        <w:t xml:space="preserve">Media Icons is building a working proof of concept now, on</w:t>
      </w:r>
      <w:r>
        <w:rPr>
          <w:lang w:val="en"/>
        </w:rPr>
        <w:t xml:space="preserve"> </w:t>
      </w:r>
      <w:r>
        <w:rPr>
          <w:lang w:val="en"/>
        </w:rPr>
        <w:t xml:space="preserve">Eyevinn Open Source Cloud, at near-zero cost. It is described in Section 4 and is</w:t>
      </w:r>
      <w:r>
        <w:rPr>
          <w:lang w:val="en"/>
        </w:rPr>
        <w:t xml:space="preserve"> </w:t>
      </w:r>
      <w:r>
        <w:rPr>
          <w:lang w:val="en"/>
        </w:rPr>
        <w:t xml:space="preserve">offered to Enveu as the starting point for the front end and EPG rather than a</w:t>
      </w:r>
      <w:r>
        <w:rPr>
          <w:lang w:val="en"/>
        </w:rPr>
        <w:t xml:space="preserve"> </w:t>
      </w:r>
      <w:r>
        <w:rPr>
          <w:lang w:val="en"/>
        </w:rPr>
        <w:t xml:space="preserve">greenfield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Scale is unchanged:</w:t>
      </w:r>
      <w:r>
        <w:rPr>
          <w:lang w:val="en"/>
        </w:rPr>
        <w:t xml:space="preserve"> </w:t>
      </w:r>
      <w:r>
        <w:rPr>
          <w:lang w:val="en"/>
        </w:rPr>
        <w:t xml:space="preserve">we accept that operating 100+ channels needs Enveu. The</w:t>
      </w:r>
      <w:r>
        <w:rPr>
          <w:lang w:val="en"/>
        </w:rPr>
        <w:t xml:space="preserve"> </w:t>
      </w:r>
      <w:r>
        <w:rPr>
          <w:lang w:val="en"/>
        </w:rPr>
        <w:t xml:space="preserve">proof of concept proves feasibility and de-risks the origin; it does not replace</w:t>
      </w:r>
      <w:r>
        <w:rPr>
          <w:lang w:val="en"/>
        </w:rPr>
        <w:t xml:space="preserve"> </w:t>
      </w:r>
      <w:r>
        <w:rPr>
          <w:lang w:val="en"/>
        </w:rPr>
        <w:t xml:space="preserve">the production platform.</w:t>
      </w:r>
    </w:p>
    <w:bookmarkEnd w:id="9"/>
    <w:bookmarkStart w:id="11" w:name="the-revised-stack"/>
    <w:p>
      <w:pPr>
        <w:pStyle w:val="Heading2"/>
      </w:pPr>
      <w:r>
        <w:rPr>
          <w:lang w:val="en"/>
        </w:rPr>
        <w:t xml:space="preserve">2. The revised stack</w:t>
      </w:r>
    </w:p>
    <w:p>
      <w:pPr>
        <w:pStyle w:val="FirstParagraph"/>
      </w:pPr>
      <w:r>
        <w:rPr>
          <w:lang w:val="en"/>
        </w:rPr>
        <w:t xml:space="preserve">Seven layers, one platform doing the playout and ad insertion. Read top-down as the</w:t>
      </w:r>
      <w:r>
        <w:rPr>
          <w:lang w:val="en"/>
        </w:rPr>
        <w:t xml:space="preserve"> </w:t>
      </w:r>
      <w:r>
        <w:rPr>
          <w:lang w:val="en"/>
        </w:rPr>
        <w:t xml:space="preserve">viewer experiences it; the data flows bottom-up from the library to the screen.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PWA player · channel surf · EPG (now / next) · ad-break UX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POC delivers a working reference → Enveu hardens &amp; extends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Scheduling &amp; CMS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schedule builder · break-structure config · content metadata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builds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 decision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Google Ad Manager / SpringServe / Publica · direct sponsorship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 (Enveu integrates)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 insertion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Eyevinn SGAI Pipeline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·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Ad Normalizer (VAST / VMAP)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 — replaces AWS MediaTailor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Playout origin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Eyevinn Channel Engine ×7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· VOD2Live · SCTE-35 markers 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 (Enveu orchestrates)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Bunny CDN — edge cache &amp; egress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transcoded HLS library · Bunny storage · Eyevinn VOD Pipeline (batch transcode)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</w:tr>
    </w:tbl>
    <w:p>
      <w:pPr>
        <w:pStyle w:val="BodyText"/>
      </w:pPr>
      <w:r>
        <w:rPr>
          <w:b/>
          <w:bCs/>
          <w:lang w:val="en"/>
        </w:rPr>
        <w:t xml:space="preserve">Data flow:</w:t>
      </w:r>
      <w:r>
        <w:rPr>
          <w:lang w:val="en"/>
        </w:rPr>
        <w:t xml:space="preserve"> </w:t>
      </w:r>
      <w:r>
        <w:rPr>
          <w:lang w:val="en"/>
        </w:rPr>
        <w:t xml:space="preserve">Library (Bunny) → Channel Engine (playout + SCTE-35) → Eyevinn SGAI</w:t>
      </w:r>
      <w:r>
        <w:rPr>
          <w:lang w:val="en"/>
        </w:rPr>
        <w:t xml:space="preserve"> </w:t>
      </w:r>
      <w:r>
        <w:rPr>
          <w:lang w:val="en"/>
        </w:rPr>
        <w:t xml:space="preserve">(stitch per viewer) ⇄ Ad decision server (VAST) → Bunny CDN → PWA player.</w:t>
      </w:r>
    </w:p>
    <w:p>
      <w:pPr>
        <w:pStyle w:val="BodyText"/>
      </w:pPr>
      <w:r>
        <w:rPr>
          <w:b/>
          <w:bCs/>
          <w:lang w:val="en"/>
        </w:rPr>
        <w:t xml:space="preserve">Removed from the stack:</w:t>
      </w:r>
      <w:r>
        <w:rPr>
          <w:lang w:val="en"/>
        </w:rPr>
        <w:t xml:space="preserve"> </w:t>
      </w:r>
      <w:r>
        <w:rPr>
          <w:lang w:val="en"/>
        </w:rPr>
        <w:t xml:space="preserve">AWS Elemental MediaLive · AWS Elemental MediaPackage ·</w:t>
      </w:r>
      <w:r>
        <w:rPr>
          <w:lang w:val="en"/>
        </w:rPr>
        <w:t xml:space="preserve"> </w:t>
      </w:r>
      <w:r>
        <w:rPr>
          <w:lang w:val="en"/>
        </w:rPr>
        <w:t xml:space="preserve">AWS Elemental MediaTailor · Hostinger KVM8 (VPS).</w:t>
      </w:r>
    </w:p>
    <w:bookmarkStart w:id="10" w:name="component-register"/>
    <w:p>
      <w:pPr>
        <w:pStyle w:val="Heading3"/>
      </w:pPr>
      <w:r>
        <w:rPr>
          <w:lang w:val="en"/>
        </w:rPr>
        <w:t xml:space="preserve">Component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 vs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Channel Engine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Linear playout origin, one instance per channel (VOD2Live), emits HLS + SCTE-35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SGAI Pipeline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Server-side ad insertion — stitches ads against SCTE-35 markers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Replaces MediaTailor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Ad Normalizer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VAST / VMAP handling between SGAI and the ad decision server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New — was MediaTailor-internal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 decision server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Which ad plays — GAM / SpringServe / Publica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Bunny CDN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Edge cache and delivery to viewers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Bunny storage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Origin store for the transcoded HLS library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VOD Pipeline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 transcode / package to a consistent profile — run, then stop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Optional — or existing Bunny transcode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Scheduling &amp; CMS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Schedule building, break-structure config, content metadata for non-engineers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build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PWA front end + EPG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Channel selection, live playback, programme guide, ad-break UX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build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Re-based on POC — extend, not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AWS Elemental MediaTailor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Server-side ad insertion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AWS Elemental MediaLive / MediaPackage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 encode / package origin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Removed — not required by v3 either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Hostinger KVM8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Self-managed VPS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Removed — Eyevinn runs the 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Hostinger CloudStartup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Marketing / corporate site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Icons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</w:t>
            </w:r>
          </w:p>
        </w:tc>
      </w:tr>
    </w:tbl>
    <w:bookmarkEnd w:id="10"/>
    <w:bookmarkEnd w:id="11"/>
    <w:bookmarkStart w:id="12" w:name="what-this-changes-against-proposal-v3"/>
    <w:p>
      <w:pPr>
        <w:pStyle w:val="Heading2"/>
      </w:pPr>
      <w:r>
        <w:rPr>
          <w:lang w:val="en"/>
        </w:rPr>
        <w:t xml:space="preserve">3. What this changes against Proposal v3</w:t>
      </w:r>
    </w:p>
    <w:p>
      <w:pPr>
        <w:pStyle w:val="FirstParagraph"/>
      </w:pPr>
      <w:r>
        <w:rPr>
          <w:lang w:val="en"/>
        </w:rPr>
        <w:t xml:space="preserve">Your scope in Section 2 holds almost line for line. The one substantive edit is the</w:t>
      </w:r>
      <w:r>
        <w:rPr>
          <w:lang w:val="en"/>
        </w:rPr>
        <w:t xml:space="preserve"> </w:t>
      </w:r>
      <w:r>
        <w:rPr>
          <w:lang w:val="en"/>
        </w:rPr>
        <w:t xml:space="preserve">ad-insertion target; two front-end items re-base onto the proof of concept.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scope item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Revised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Channel scheduling &amp; playout orchestration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Unchanged. Eyevinn Channel Engine remains the origin; your orchestration drives it from the schedule with SCTE-35 markers in place. The POC proves the origin works for 7 channels before you build on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SCTE-35 / break structure feeding the engine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 in effort. The markers are now consumed by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Eyevinn SGAI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instead of MediaTailor. The schedule → break-structure → marker work is 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Electronic Programme Guide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Re-based. The POC already generates a working EPG (now / next / forward) from schedule JSON. Enveu formalises generation and delivery from a proven reference rather than from zero.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 server integration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Changed target.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“Integrate with AWS MediaTailor”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becomes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“integrate Eyevinn SGAI Pipeline + Ad Normalizer with the chosen ad decision server.”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Both are SCTE-35-driven SSAI calling a VAST endpoint — like-for-like.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Viewer front end (PWA)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Re-based. The POC is a working PWA — channel surfing, HLS playback, guide, ad-break UX. Enveu hardens it to production (state backend, analytics, QA) and extends it, rather than greenfield.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Content management (CMS)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Unchanged. Not covered by the POC. Still Enveu’s to build.</w:t>
            </w:r>
          </w:p>
        </w:tc>
      </w:tr>
    </w:tbl>
    <w:p>
      <w:pPr>
        <w:pStyle w:val="BodyText"/>
      </w:pPr>
      <w:r>
        <w:rPr>
          <w:b/>
          <w:bCs/>
          <w:lang w:val="en"/>
        </w:rPr>
        <w:t xml:space="preserve">On the Section 5 assumptions.</w:t>
      </w:r>
      <w:r>
        <w:rPr>
          <w:lang w:val="en"/>
        </w:rPr>
        <w:t xml:space="preserve"> </w:t>
      </w:r>
      <w:r>
        <w:rPr>
          <w:lang w:val="en"/>
        </w:rPr>
        <w:t xml:space="preserve">Your assumptions still hold with one</w:t>
      </w:r>
      <w:r>
        <w:rPr>
          <w:lang w:val="en"/>
        </w:rPr>
        <w:t xml:space="preserve"> </w:t>
      </w:r>
      <w:r>
        <w:rPr>
          <w:lang w:val="en"/>
        </w:rPr>
        <w:t xml:space="preserve">clarification: the shared origin both Channel Engine and the ad-insertion layer read</w:t>
      </w:r>
      <w:r>
        <w:rPr>
          <w:lang w:val="en"/>
        </w:rPr>
        <w:t xml:space="preserve"> </w:t>
      </w:r>
      <w:r>
        <w:rPr>
          <w:lang w:val="en"/>
        </w:rPr>
        <w:t xml:space="preserve">from is Bunny storage or object storage behind Bunny CDN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AWS dependency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Content is pre-transcoded HLS on one consistent profile, as you require. Media Icons</w:t>
      </w:r>
      <w:r>
        <w:rPr>
          <w:lang w:val="en"/>
        </w:rPr>
        <w:t xml:space="preserve"> </w:t>
      </w:r>
      <w:r>
        <w:rPr>
          <w:lang w:val="en"/>
        </w:rPr>
        <w:t xml:space="preserve">runs and hosts the Channel Engine instance.</w:t>
      </w:r>
    </w:p>
    <w:bookmarkEnd w:id="12"/>
    <w:bookmarkStart w:id="16" w:name="X6599868e4cf6973177cf2bd1903afed7cbe470d"/>
    <w:p>
      <w:pPr>
        <w:pStyle w:val="Heading2"/>
      </w:pPr>
      <w:r>
        <w:rPr>
          <w:lang w:val="en"/>
        </w:rPr>
        <w:t xml:space="preserve">4. Where the proof of concept fits your build</w:t>
      </w:r>
    </w:p>
    <w:p>
      <w:pPr>
        <w:pStyle w:val="FirstParagraph"/>
      </w:pPr>
      <w:r>
        <w:rPr>
          <w:lang w:val="en"/>
        </w:rPr>
        <w:t xml:space="preserve">The proof of concept is a Git repository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github.com/johnupah-dev/asiko-tv-poc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lang w:val="en"/>
        </w:rPr>
        <w:t xml:space="preserve">that Media Icons is building now and will give Enveu read access to on day one.</w:t>
      </w:r>
    </w:p>
    <w:bookmarkStart w:id="13" w:name="what-it-delivers-today"/>
    <w:p>
      <w:pPr>
        <w:pStyle w:val="Heading3"/>
      </w:pPr>
      <w:r>
        <w:rPr>
          <w:lang w:val="en"/>
        </w:rPr>
        <w:t xml:space="preserve">What it delivers today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 working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viewer PWA</w:t>
      </w:r>
      <w:r>
        <w:rPr>
          <w:lang w:val="en"/>
        </w:rPr>
        <w:t xml:space="preserve">: 7 branded channels, live HLS playback, channel surfing,</w:t>
      </w:r>
      <w:r>
        <w:rPr>
          <w:lang w:val="en"/>
        </w:rPr>
        <w:t xml:space="preserve"> </w:t>
      </w:r>
      <w:r>
        <w:rPr>
          <w:lang w:val="en"/>
        </w:rPr>
        <w:t xml:space="preserve">a programme guide, an ad-break sequence with countdown and rejoin, and a</w:t>
      </w:r>
      <w:r>
        <w:rPr>
          <w:lang w:val="en"/>
        </w:rPr>
        <w:t xml:space="preserve"> </w:t>
      </w:r>
      <w:r>
        <w:rPr>
          <w:lang w:val="en"/>
        </w:rPr>
        <w:t xml:space="preserve">monetisation dashboard modelling Direct / PMP / Open Exchange / House demand.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One config file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data/channels.json</w:t>
      </w:r>
      <w:r>
        <w:rPr>
          <w:lang w:val="en"/>
        </w:rPr>
        <w:t xml:space="preserve">) holding all 7 channels, their</w:t>
      </w:r>
      <w:r>
        <w:rPr>
          <w:lang w:val="en"/>
        </w:rPr>
        <w:t xml:space="preserve"> </w:t>
      </w:r>
      <w:r>
        <w:rPr>
          <w:lang w:val="en"/>
        </w:rPr>
        <w:t xml:space="preserve">schedules, break structure and demand weights — no code changes to re-programme.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Playout provisioning scripts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playout/</w:t>
      </w:r>
      <w:r>
        <w:rPr>
          <w:lang w:val="en"/>
        </w:rPr>
        <w:t xml:space="preserve">) that stand up real Eyevinn Channel</w:t>
      </w:r>
      <w:r>
        <w:rPr>
          <w:lang w:val="en"/>
        </w:rPr>
        <w:t xml:space="preserve"> </w:t>
      </w:r>
      <w:r>
        <w:rPr>
          <w:lang w:val="en"/>
        </w:rPr>
        <w:t xml:space="preserve">Engine channels from that same config via the Open Source Cloud API, and return</w:t>
      </w:r>
      <w:r>
        <w:rPr>
          <w:lang w:val="en"/>
        </w:rPr>
        <w:t xml:space="preserve"> </w:t>
      </w:r>
      <w:r>
        <w:rPr>
          <w:lang w:val="en"/>
        </w:rPr>
        <w:t xml:space="preserve">the live HLS playback URLs.</w:t>
      </w:r>
    </w:p>
    <w:bookmarkEnd w:id="13"/>
    <w:bookmarkStart w:id="14" w:name="what-it-proves-so-enveu-does-not-have-to"/>
    <w:p>
      <w:pPr>
        <w:pStyle w:val="Heading3"/>
      </w:pPr>
      <w:r>
        <w:rPr>
          <w:lang w:val="en"/>
        </w:rPr>
        <w:t xml:space="preserve">What it proves — so Enveu does not have to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Eyevinn Channel Engine works as the origin for a 7-channel line-up, end to end,</w:t>
      </w:r>
      <w:r>
        <w:rPr>
          <w:lang w:val="en"/>
        </w:rPr>
        <w:t xml:space="preserve"> </w:t>
      </w:r>
      <w:r>
        <w:rPr>
          <w:lang w:val="en"/>
        </w:rPr>
        <w:t xml:space="preserve">on real infrastructure.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An EPG can be generated from a schedule document and rendered in the player.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The ad-break placement and viewer experience are validated in a real player</w:t>
      </w:r>
      <w:r>
        <w:rPr>
          <w:lang w:val="en"/>
        </w:rPr>
        <w:t xml:space="preserve"> </w:t>
      </w:r>
      <w:r>
        <w:rPr>
          <w:lang w:val="en"/>
        </w:rPr>
        <w:t xml:space="preserve">before any ad server is wired in.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The monetisation model — avail → creative → impression → revenue, split by demand</w:t>
      </w:r>
      <w:r>
        <w:rPr>
          <w:lang w:val="en"/>
        </w:rPr>
        <w:t xml:space="preserve"> </w:t>
      </w:r>
      <w:r>
        <w:rPr>
          <w:lang w:val="en"/>
        </w:rPr>
        <w:t xml:space="preserve">type — is expressed and can be reconciled later against the real ad server.</w:t>
      </w:r>
    </w:p>
    <w:bookmarkEnd w:id="14"/>
    <w:bookmarkStart w:id="15" w:name="what-stays-firmly-enveus"/>
    <w:p>
      <w:pPr>
        <w:pStyle w:val="Heading3"/>
      </w:pPr>
      <w:r>
        <w:rPr>
          <w:lang w:val="en"/>
        </w:rPr>
        <w:t xml:space="preserve">What stays firmly Enveu’s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Production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scheduling and playout orchestration</w:t>
      </w:r>
      <w:r>
        <w:rPr>
          <w:lang w:val="en"/>
        </w:rPr>
        <w:t xml:space="preserve"> </w:t>
      </w:r>
      <w:r>
        <w:rPr>
          <w:lang w:val="en"/>
        </w:rPr>
        <w:t xml:space="preserve">— the POC loops assets; it</w:t>
      </w:r>
      <w:r>
        <w:rPr>
          <w:lang w:val="en"/>
        </w:rPr>
        <w:t xml:space="preserve"> </w:t>
      </w:r>
      <w:r>
        <w:rPr>
          <w:lang w:val="en"/>
        </w:rPr>
        <w:t xml:space="preserve">does not run a real schedule-driven linear feed with SCTE-35 emission.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SCTE-35 signalling</w:t>
      </w:r>
      <w:r>
        <w:rPr>
          <w:lang w:val="en"/>
        </w:rPr>
        <w:t xml:space="preserve"> </w:t>
      </w:r>
      <w:r>
        <w:rPr>
          <w:lang w:val="en"/>
        </w:rPr>
        <w:t xml:space="preserve">into the manifest, and the break-structure adapter feeding</w:t>
      </w:r>
      <w:r>
        <w:rPr>
          <w:lang w:val="en"/>
        </w:rPr>
        <w:t xml:space="preserve"> </w:t>
      </w:r>
      <w:r>
        <w:rPr>
          <w:lang w:val="en"/>
        </w:rPr>
        <w:t xml:space="preserve">the engine.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Server-side ad insertion</w:t>
      </w:r>
      <w:r>
        <w:rPr>
          <w:lang w:val="en"/>
        </w:rPr>
        <w:t xml:space="preserve"> </w:t>
      </w:r>
      <w:r>
        <w:rPr>
          <w:lang w:val="en"/>
        </w:rPr>
        <w:t xml:space="preserve">wiring — Eyevinn SGAI configured per channel and</w:t>
      </w:r>
      <w:r>
        <w:rPr>
          <w:lang w:val="en"/>
        </w:rPr>
        <w:t xml:space="preserve"> </w:t>
      </w:r>
      <w:r>
        <w:rPr>
          <w:lang w:val="en"/>
        </w:rPr>
        <w:t xml:space="preserve">connected to the ad decision server.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A multi-user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CMS</w:t>
      </w:r>
      <w:r>
        <w:rPr>
          <w:lang w:val="en"/>
        </w:rPr>
        <w:t xml:space="preserve"> </w:t>
      </w:r>
      <w:r>
        <w:rPr>
          <w:lang w:val="en"/>
        </w:rPr>
        <w:t xml:space="preserve">for non-engineers; production hardening of the PWA; an</w:t>
      </w:r>
      <w:r>
        <w:rPr>
          <w:lang w:val="en"/>
        </w:rPr>
        <w:t xml:space="preserve"> </w:t>
      </w:r>
      <w:r>
        <w:rPr>
          <w:lang w:val="en"/>
        </w:rPr>
        <w:t xml:space="preserve">analytics backend.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Everything that makes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100+ channels</w:t>
      </w:r>
      <w:r>
        <w:rPr>
          <w:lang w:val="en"/>
        </w:rPr>
        <w:t xml:space="preserve"> </w:t>
      </w:r>
      <w:r>
        <w:rPr>
          <w:lang w:val="en"/>
        </w:rPr>
        <w:t xml:space="preserve">operable rather than 7.</w:t>
      </w:r>
    </w:p>
    <w:p>
      <w:pPr>
        <w:pStyle w:val="FirstParagraph"/>
      </w:pPr>
      <w:r>
        <w:rPr>
          <w:b/>
          <w:bCs/>
          <w:lang w:val="en"/>
        </w:rPr>
        <w:t xml:space="preserve">Net effect:</w:t>
      </w:r>
      <w:r>
        <w:rPr>
          <w:lang w:val="en"/>
        </w:rPr>
        <w:t xml:space="preserve"> </w:t>
      </w:r>
      <w:r>
        <w:rPr>
          <w:lang w:val="en"/>
        </w:rPr>
        <w:t xml:space="preserve">Enveu begins from a proven origin, a live reference front end and a</w:t>
      </w:r>
      <w:r>
        <w:rPr>
          <w:lang w:val="en"/>
        </w:rPr>
        <w:t xml:space="preserve"> </w:t>
      </w:r>
      <w:r>
        <w:rPr>
          <w:lang w:val="en"/>
        </w:rPr>
        <w:t xml:space="preserve">working EPG, integrating one platform rather than an AWS toolchain. Two of the five</w:t>
      </w:r>
      <w:r>
        <w:rPr>
          <w:lang w:val="en"/>
        </w:rPr>
        <w:t xml:space="preserve"> </w:t>
      </w:r>
      <w:r>
        <w:rPr>
          <w:lang w:val="en"/>
        </w:rPr>
        <w:t xml:space="preserve">Section 2 scope items shift from</w:t>
      </w:r>
      <w:r>
        <w:rPr>
          <w:lang w:val="en"/>
        </w:rPr>
        <w:t xml:space="preserve"> </w:t>
      </w:r>
      <w:r>
        <w:rPr>
          <w:lang w:val="en"/>
        </w:rPr>
        <w:t xml:space="preserve">“build”</w:t>
      </w:r>
      <w:r>
        <w:rPr>
          <w:lang w:val="en"/>
        </w:rPr>
        <w:t xml:space="preserve"> </w:t>
      </w:r>
      <w:r>
        <w:rPr>
          <w:lang w:val="en"/>
        </w:rPr>
        <w:t xml:space="preserve">to</w:t>
      </w:r>
      <w:r>
        <w:rPr>
          <w:lang w:val="en"/>
        </w:rPr>
        <w:t xml:space="preserve"> </w:t>
      </w:r>
      <w:r>
        <w:rPr>
          <w:lang w:val="en"/>
        </w:rPr>
        <w:t xml:space="preserve">“extend.”</w:t>
      </w:r>
    </w:p>
    <w:bookmarkEnd w:id="15"/>
    <w:bookmarkEnd w:id="16"/>
    <w:bookmarkStart w:id="17" w:name="what-we-are-asking-enveu-to-confirm"/>
    <w:p>
      <w:pPr>
        <w:pStyle w:val="Heading2"/>
      </w:pPr>
      <w:r>
        <w:rPr>
          <w:lang w:val="en"/>
        </w:rPr>
        <w:t xml:space="preserve">5. What we are asking Enveu to confirm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A revised scope, timeline and price reflecting: MediaTailor integration removed;</w:t>
      </w:r>
      <w:r>
        <w:rPr>
          <w:lang w:val="en"/>
        </w:rPr>
        <w:t xml:space="preserve"> </w:t>
      </w:r>
      <w:r>
        <w:rPr>
          <w:lang w:val="en"/>
        </w:rPr>
        <w:t xml:space="preserve">Eyevinn SGAI + Ad Normalizer integration added; PWA front end and EPG re-based as</w:t>
      </w:r>
      <w:r>
        <w:rPr>
          <w:lang w:val="en"/>
        </w:rPr>
        <w:t xml:space="preserve"> </w:t>
      </w:r>
      <w:r>
        <w:rPr>
          <w:lang w:val="en"/>
        </w:rPr>
        <w:t xml:space="preserve">“extend the delivered POC,”</w:t>
      </w:r>
      <w:r>
        <w:rPr>
          <w:lang w:val="en"/>
        </w:rPr>
        <w:t xml:space="preserve"> </w:t>
      </w:r>
      <w:r>
        <w:rPr>
          <w:lang w:val="en"/>
        </w:rPr>
        <w:t xml:space="preserve">not build from zero.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That Eyevinn SGAI integration is a like-for-like substitution for MediaTailor</w:t>
      </w:r>
      <w:r>
        <w:rPr>
          <w:lang w:val="en"/>
        </w:rPr>
        <w:t xml:space="preserve"> </w:t>
      </w:r>
      <w:r>
        <w:rPr>
          <w:lang w:val="en"/>
        </w:rPr>
        <w:t xml:space="preserve">integration — both SCTE-35-driven SSAI against a VAST endpoint — with no net</w:t>
      </w:r>
      <w:r>
        <w:rPr>
          <w:lang w:val="en"/>
        </w:rPr>
        <w:t xml:space="preserve"> </w:t>
      </w:r>
      <w:r>
        <w:rPr>
          <w:lang w:val="en"/>
        </w:rPr>
        <w:t xml:space="preserve">increase to the one-time fee.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Day-one read access to the POC repository as the reference architecture and the</w:t>
      </w:r>
      <w:r>
        <w:rPr>
          <w:lang w:val="en"/>
        </w:rPr>
        <w:t xml:space="preserve"> </w:t>
      </w:r>
      <w:r>
        <w:rPr>
          <w:lang w:val="en"/>
        </w:rPr>
        <w:t xml:space="preserve">starting point for the front end and EPG.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That the Section 5 assumptions hold with Bunny storage / object storage behind</w:t>
      </w:r>
      <w:r>
        <w:rPr>
          <w:lang w:val="en"/>
        </w:rPr>
        <w:t xml:space="preserve"> </w:t>
      </w:r>
      <w:r>
        <w:rPr>
          <w:lang w:val="en"/>
        </w:rPr>
        <w:t xml:space="preserve">Bunny CDN as the shared origin, and no AWS component anywhere in the delivered</w:t>
      </w:r>
      <w:r>
        <w:rPr>
          <w:lang w:val="en"/>
        </w:rPr>
        <w:t xml:space="preserve"> </w:t>
      </w:r>
      <w:r>
        <w:rPr>
          <w:lang w:val="en"/>
        </w:rPr>
        <w:t xml:space="preserve">platform.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The managed-operations line still stands as optional and separately quoted, not a</w:t>
      </w:r>
      <w:r>
        <w:rPr>
          <w:lang w:val="en"/>
        </w:rPr>
        <w:t xml:space="preserve"> </w:t>
      </w:r>
      <w:r>
        <w:rPr>
          <w:lang w:val="en"/>
        </w:rPr>
        <w:t xml:space="preserve">condition of IP transfer — unchanged from v3.</w:t>
      </w:r>
    </w:p>
    <w:bookmarkEnd w:id="17"/>
    <w:bookmarkStart w:id="18" w:name="commercial-posture"/>
    <w:p>
      <w:pPr>
        <w:pStyle w:val="Heading2"/>
      </w:pPr>
      <w:r>
        <w:rPr>
          <w:lang w:val="en"/>
        </w:rPr>
        <w:t xml:space="preserve">6. Commercial posture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Basis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Indicative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— 7 channels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10 tokens / channel / day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70 /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— storage, ad insertion, scheduler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 overhead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~30 /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— POC total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fits Professional plan, €69/mo, 300 tokens/day, 14-day trial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~100 /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Eyevinn — batch transcode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250 tokens/day while running — run, then stop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Bunny CDN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usage — egress scales with audience, not channel count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— recurring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 after handover; managed ops optional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Enveu — build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one-time, per revised scope (v3 baseline USD 13,000)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one-time</w:t>
            </w:r>
          </w:p>
        </w:tc>
      </w:tr>
    </w:tbl>
    <w:p>
      <w:pPr>
        <w:pStyle w:val="BodyText"/>
      </w:pPr>
      <w:r>
        <w:rPr>
          <w:lang w:val="en"/>
        </w:rPr>
        <w:t xml:space="preserve">Media Icons is a sales house, not a technology house. Capital is being held for</w:t>
      </w:r>
      <w:r>
        <w:rPr>
          <w:lang w:val="en"/>
        </w:rPr>
        <w:t xml:space="preserve"> </w:t>
      </w:r>
      <w:r>
        <w:rPr>
          <w:lang w:val="en"/>
        </w:rPr>
        <w:t xml:space="preserve">content licensing, which is the binding constraint on launch. The revised stack</w:t>
      </w:r>
      <w:r>
        <w:rPr>
          <w:lang w:val="en"/>
        </w:rPr>
        <w:t xml:space="preserve"> </w:t>
      </w:r>
      <w:r>
        <w:rPr>
          <w:lang w:val="en"/>
        </w:rPr>
        <w:t xml:space="preserve">exists to protect that: no AWS spend, no recurring platform fee, and a proof of</w:t>
      </w:r>
      <w:r>
        <w:rPr>
          <w:lang w:val="en"/>
        </w:rPr>
        <w:t xml:space="preserve"> </w:t>
      </w:r>
      <w:r>
        <w:rPr>
          <w:lang w:val="en"/>
        </w:rPr>
        <w:t xml:space="preserve">concept that costs the price of a trial to stand 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lang w:val="en"/>
        </w:rPr>
        <w:t xml:space="preserve">John Upah</w:t>
      </w:r>
      <w:r>
        <w:rPr>
          <w:lang w:val="en"/>
        </w:rPr>
        <w:t xml:space="preserve"> </w:t>
      </w:r>
      <w:r>
        <w:rPr>
          <w:lang w:val="en"/>
        </w:rPr>
        <w:t xml:space="preserve">Managing Director, Media Icons Africa</w:t>
      </w:r>
    </w:p>
    <w:p>
      <w:pPr>
        <w:pStyle w:val="BodyText"/>
      </w:pPr>
      <w:r>
        <w:rPr>
          <w:lang w:val="en"/>
        </w:rPr>
        <w:t xml:space="preserve">Reference: response to ENV/ASIKO/2026-09/03 (v3) · 5 September 2026 · Commercial in confidence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Asiko TV — Revised Platform Architecture</dc:title>
  <dc:creator>John Upah, Managing Director, Media Icons Africa</dc:creator>
  <dc:language>en</dc:language>
  <cp:keywords/>
  <dcterms:created xsi:type="dcterms:W3CDTF">2026-09-05T17:08:37Z</dcterms:created>
  <dcterms:modified xsi:type="dcterms:W3CDTF">2026-09-05T17:08:37Z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September 2026</vt:lpwstr>
  </property>
  <property fmtid="{D5CDD505-2E9C-101B-9397-08002B2CF9AE}" pid="3" name="subtitle">
    <vt:lpwstr>Response to Enveu Proposal v3 (ENV/ASIKO/2026-09/03)</vt:lpwstr>
  </property>
</Properties>
</file>