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sz w:val="40"/>
          <w:szCs w:val="40"/>
        </w:rPr>
        <w:t xml:space="preserve">Resumo Capítulo a Capítulo</w:t>
      </w:r>
    </w:p>
    <w:p>
      <w:pPr>
        <w:spacing w:after="100"/>
        <w:jc w:val="center"/>
      </w:pPr>
      <w:r>
        <w:rPr>
          <w:i/>
          <w:iCs/>
          <w:sz w:val="30"/>
          <w:szCs w:val="30"/>
        </w:rPr>
        <w:t xml:space="preserve">Public Leadership Ethics: A Management Approach</w:t>
      </w:r>
    </w:p>
    <w:p>
      <w:pPr>
        <w:spacing w:after="600"/>
        <w:jc w:val="center"/>
      </w:pPr>
      <w:r>
        <w:rPr>
          <w:sz w:val="26"/>
          <w:szCs w:val="26"/>
        </w:rPr>
        <w:t xml:space="preserve">J. Patrick Dobel (Routledge, 2018)</w:t>
      </w:r>
    </w:p>
    <w:p>
      <w:pPr>
        <w:jc w:val="center"/>
      </w:pPr>
      <w:r>
        <w:rPr>
          <w:sz w:val="22"/>
          <w:szCs w:val="22"/>
        </w:rPr>
        <w:t xml:space="preserve">Este documento apresenta um resumo capítulo a capítulo (com seções e subseções na ordem original do autor), destacando as discussões e os conceitos mais importantes de cada parte do livro, seguido de três perguntas de discussão em nível de doutorado (PhD) sobre o Capítulo 6.</w:t>
      </w:r>
    </w:p>
    <w:p>
      <w:pPr>
        <w:pStyle w:val="Heading1"/>
        <w:pageBreakBefore/>
        <w:spacing w:after="200" w:before="400"/>
      </w:pPr>
      <w:r>
        <w:t xml:space="preserve">Introdução</w:t>
      </w:r>
    </w:p>
    <w:p>
      <w:pPr>
        <w:spacing w:after="160"/>
        <w:jc w:val="both"/>
      </w:pPr>
      <w:r>
        <w:t xml:space="preserve">O livro parte da premissa de que todo indivíduo que ocupa um cargo em uma organização pública ou sem fins lucrativos assume responsabilidade ética ao agir em nome de propósitos públicos. Essa responsabilidade decorre da discrição inerente a qualquer posição: gerir e liderar sempre envolve julgamento, e esse julgamento é, por natureza, uma atividade ética. Dobel argumenta que a gestão ética eficaz exige autoconhecimento, autodomínio (self-mastery), integridade e uma estrutura de valores e caráter bem trabalhada.</w:t>
      </w:r>
    </w:p>
    <w:p>
      <w:pPr>
        <w:spacing w:after="160"/>
        <w:jc w:val="both"/>
      </w:pPr>
      <w:r>
        <w:t xml:space="preserve">O autor recorre a conceitos de psicologia cognitiva e social, além da teoria ética tradicional, para explicar como líderes podem antecipar e enfrentar ameaças à integridade pessoal e organizacional. O livro dá atenção especial (a) aos desafios de integrar pessoas e perspectivas diversas dentro de organizações públicas e (b) aos “deslizamentos” (slippages) de integridade que ocorrem na vida organizacional, oferecendo checklists e estruturas de decisão que gestores podem adotar.</w:t>
      </w:r>
    </w:p>
    <w:p>
      <w:pPr>
        <w:spacing w:after="160"/>
        <w:jc w:val="both"/>
      </w:pPr>
      <w:r>
        <w:t xml:space="preserve">Na Introdução, Dobel resume o percurso lógico da obra, que é o mesmo preservado neste resumo: o Capítulo 1 examina os propósitos e funções da ética nas organizações; o Capítulo 2 examina a importância da ética gerencial e de liderança como motor e guardiã da missão; o Capítulo 3 discute como o julgamento e a ação éticos dependem do conceito de integridade pessoal, e mapeia as ameaças recorrentes a essa integridade; o Capítulo 4 identifica pontos de alavancagem organizacional para sustentar o desempenho ético; o Capítulo 5 apresenta os valores centrais que líderes precisam lembrar e cultivar; o Capítulo 6 retoma os alertas do Capítulo 3 para mapear como ocorrem os deslizamentos éticos e de desempenho, apresentando um modelo para antecipá-los; e o Capítulo 7 (concluindo com o Apêndice) integra tudo isso em um modelo de “liderança orientada por valores” (value driven leading), estruturado em quatro dimensões cognitivas que o líder deve percorrer ao decidir.</w:t>
      </w:r>
    </w:p>
    <w:p>
      <w:pPr>
        <w:spacing w:after="160"/>
        <w:jc w:val="both"/>
      </w:pPr>
      <w:r>
        <w:t xml:space="preserve">As quatro dimensões do modelo final, antecipadas já na Introdução, são: (1) compreender os próprios valores, caráter e compromisso com a missão; (2) administrar o significado de incidentes ou desafios individuais; (3) agir para construir normas organizacionais e direção de política; e (4) assegurar o poder e os recursos necessários para resultados resilientes.</w:t>
      </w:r>
    </w:p>
    <w:p>
      <w:pPr>
        <w:pStyle w:val="Heading1"/>
        <w:pageBreakBefore/>
        <w:spacing w:after="200" w:before="400"/>
      </w:pPr>
      <w:r>
        <w:t xml:space="preserve">Capítulo 1 — Os Propósitos da Ética nas Organizações (The Purposes of Ethics in Organizations)</w:t>
      </w:r>
    </w:p>
    <w:p>
      <w:pPr>
        <w:spacing w:after="160"/>
        <w:jc w:val="both"/>
      </w:pPr>
      <w:r>
        <w:t xml:space="preserve">O capítulo abre afirmando que organizações existem para produzir resultados que têm consequências éticas para pessoas dentro e fora delas. Organizações com propósitos públicos administram funções necessárias e não geram métricas claras como lucro e prejuízo; servem propósitos de longo prazo, o que aprofunda as consequências morais de suas ações e impõe altas obrigações de competência, justiça e efetividade.</w:t>
      </w:r>
    </w:p>
    <w:p>
      <w:pPr>
        <w:spacing w:after="160"/>
        <w:jc w:val="both"/>
      </w:pPr>
      <w:r>
        <w:t xml:space="preserve">Dobel sustenta que organizações fortes constroem culturas fortes, e que essas culturas carregam os valores que sustentam a missão contra as tentações previsíveis do autointeresse de agentes, de subculturas ou de grupos externos que buscam capturar a organização pública para fins próprios.</w:t>
      </w:r>
    </w:p>
    <w:p>
      <w:pPr>
        <w:pStyle w:val="Heading2"/>
        <w:spacing w:after="150" w:before="300"/>
      </w:pPr>
      <w:r>
        <w:t xml:space="preserve">Os Papéis da Ética nas Instituições (The Roles of Ethics in Institutions)</w:t>
      </w:r>
    </w:p>
    <w:p>
      <w:pPr>
        <w:spacing w:after="160"/>
        <w:jc w:val="both"/>
      </w:pPr>
      <w:r>
        <w:t xml:space="preserve">O autor propõe seis papéis fundamentais desempenhados pela ética dentro de instituições públicas e sem fins lucrativos, que estruturam o restante do capítulo:</w:t>
      </w:r>
    </w:p>
    <w:p>
      <w:pPr>
        <w:pStyle w:val="ListParagraph"/>
        <w:numPr>
          <w:ilvl w:val="0"/>
          <w:numId w:val="2"/>
        </w:numPr>
        <w:spacing w:after="80"/>
      </w:pPr>
      <w:r>
        <w:t xml:space="preserve">Ancora a integridade (Anchors Integrity)</w:t>
      </w:r>
    </w:p>
    <w:p>
      <w:pPr>
        <w:pStyle w:val="ListParagraph"/>
        <w:numPr>
          <w:ilvl w:val="0"/>
          <w:numId w:val="2"/>
        </w:numPr>
        <w:spacing w:after="80"/>
      </w:pPr>
      <w:r>
        <w:t xml:space="preserve">Foca o uso da discrição (Focuses Discretion / Focuses the Use of Discretion)</w:t>
      </w:r>
    </w:p>
    <w:p>
      <w:pPr>
        <w:pStyle w:val="ListParagraph"/>
        <w:numPr>
          <w:ilvl w:val="0"/>
          <w:numId w:val="2"/>
        </w:numPr>
        <w:spacing w:after="80"/>
      </w:pPr>
      <w:r>
        <w:t xml:space="preserve">Identifica e aborda situações de alto risco (Identify and Address High Stakes)</w:t>
      </w:r>
    </w:p>
    <w:p>
      <w:pPr>
        <w:pStyle w:val="ListParagraph"/>
        <w:numPr>
          <w:ilvl w:val="0"/>
          <w:numId w:val="2"/>
        </w:numPr>
        <w:spacing w:after="80"/>
      </w:pPr>
      <w:r>
        <w:t xml:space="preserve">Protege a legitimidade institucional (Guards Institutional Legitimacy)</w:t>
      </w:r>
    </w:p>
    <w:p>
      <w:pPr>
        <w:pStyle w:val="ListParagraph"/>
        <w:numPr>
          <w:ilvl w:val="0"/>
          <w:numId w:val="2"/>
        </w:numPr>
        <w:spacing w:after="80"/>
      </w:pPr>
      <w:r>
        <w:t xml:space="preserve">Carrega a cultura organizacional (Carries Organizational Culture)</w:t>
      </w:r>
    </w:p>
    <w:p>
      <w:pPr>
        <w:pStyle w:val="ListParagraph"/>
        <w:numPr>
          <w:ilvl w:val="0"/>
          <w:numId w:val="2"/>
        </w:numPr>
        <w:spacing w:after="80"/>
      </w:pPr>
      <w:r>
        <w:t xml:space="preserve">Informa a diversidade e o respeito (Informs Diversity and Respect)</w:t>
      </w:r>
    </w:p>
    <w:p>
      <w:pPr>
        <w:pStyle w:val="Heading3"/>
        <w:spacing w:after="100" w:before="200"/>
      </w:pPr>
      <w:r>
        <w:t xml:space="preserve">Ancora a Integridade</w:t>
      </w:r>
    </w:p>
    <w:p>
      <w:pPr>
        <w:spacing w:after="160"/>
        <w:jc w:val="both"/>
      </w:pPr>
      <w:r>
        <w:t xml:space="preserve">Valores e caráter individuais fundamentam decisões e expressam quem as pessoas são; funcionam como o meio pelo qual a integridade pessoal se alinha com a missão organizacional. Servem de esteio para a autonarrativa que os indivíduos constroem para si — o “eu ideal” (ideal self) — e para a autoavaliação sobre se os resultados de fato correspondem aos propósitos valorizados.</w:t>
      </w:r>
    </w:p>
    <w:p>
      <w:pPr>
        <w:pStyle w:val="Heading3"/>
        <w:spacing w:after="100" w:before="200"/>
      </w:pPr>
      <w:r>
        <w:t xml:space="preserve">Foca o Uso da Discrição</w:t>
      </w:r>
    </w:p>
    <w:p>
      <w:pPr>
        <w:spacing w:after="160"/>
        <w:jc w:val="both"/>
      </w:pPr>
      <w:r>
        <w:t xml:space="preserve">A discrição é central à gestão e à liderança: gerir e liderar sempre implicam escolha diante de situações não totalmente previstas por regras. A ética, junto ao desenho institucional e à supervisão, é um dos pilares que ancora essa discrição a decisões consistentes com a missão, tanto para altos executivos quanto para supervisores e trabalhadores de linha.</w:t>
      </w:r>
    </w:p>
    <w:p>
      <w:pPr>
        <w:pStyle w:val="Heading3"/>
        <w:spacing w:after="100" w:before="200"/>
      </w:pPr>
      <w:r>
        <w:t xml:space="preserve">Identifica e Aborda Situações de Alto Risco (High Stakes)</w:t>
      </w:r>
    </w:p>
    <w:p>
      <w:pPr>
        <w:spacing w:after="160"/>
        <w:jc w:val="both"/>
      </w:pPr>
      <w:r>
        <w:t xml:space="preserve">Organizações públicas e sem fins lucrativos carregam responsabilidade por questões de grande impacto — segurança pública, educação, saúde, segurança alimentar e hídrica — muitas vezes a favor de populações vulneráveis ou de gerações futuras. A rotina do dia a dia pode desgastar o senso de propósito; more importante, a negligência acumulada e não examinada pode levar a colapsos institucionais e escândalos, com efeito de contágio que se espalha por partes da organização.</w:t>
      </w:r>
    </w:p>
    <w:p>
      <w:pPr>
        <w:pStyle w:val="Heading3"/>
        <w:spacing w:after="100" w:before="200"/>
      </w:pPr>
      <w:r>
        <w:t xml:space="preserve">Protege a Legitimidade Institucional</w:t>
      </w:r>
    </w:p>
    <w:p>
      <w:pPr>
        <w:spacing w:after="160"/>
        <w:jc w:val="both"/>
      </w:pPr>
      <w:r>
        <w:t xml:space="preserve">A legitimidade e a confiança pública são atributos fundamentais de qualquer organização pública bem-sucedida; a ética é central para sustentá-las. A perda de legitimidade aumenta a evasão da lei, a resistência à fiscalização e a desconfiança mútua entre cidadãos e funcionários, gerando um ciclo vicioso de desrespeito. Líderes seniores precisam tratar a construção de legitimidade como parte central de sua liderança ética, pois gestores e supervisores são os agentes de linha de frente onde a legitimidade é ganha ou perdida.</w:t>
      </w:r>
    </w:p>
    <w:p>
      <w:pPr>
        <w:pStyle w:val="Heading3"/>
        <w:spacing w:after="100" w:before="200"/>
      </w:pPr>
      <w:r>
        <w:t xml:space="preserve">Carrega a Cultura Organizacional</w:t>
      </w:r>
    </w:p>
    <w:p>
      <w:pPr>
        <w:spacing w:after="160"/>
        <w:jc w:val="both"/>
      </w:pPr>
      <w:r>
        <w:t xml:space="preserve">Gestores e supervisores vivem onde “a borracha encontra o asfalto” eticamente: suas decisões diárias cumulativas criam padrões de expectativa, modelam comportamentos (para o bem ou para o mal) e constroem a cultura institucional. Poucas ações antiéticas podem se infiltrar como contágio em subculturas quase sem que ninguém perceba, tornando a vigilância gerencial constante uma obrigação central.</w:t>
      </w:r>
    </w:p>
    <w:p>
      <w:pPr>
        <w:pStyle w:val="Heading3"/>
        <w:spacing w:after="100" w:before="200"/>
      </w:pPr>
      <w:r>
        <w:t xml:space="preserve">Informa a Diversidade e o Respeito</w:t>
      </w:r>
    </w:p>
    <w:p>
      <w:pPr>
        <w:spacing w:after="160"/>
        <w:jc w:val="both"/>
      </w:pPr>
      <w:r>
        <w:t xml:space="preserve">Culturas organizacionais éticas dependem de normas confiáveis que sustentem desempenho consistente entre muitas pessoas ao longo do tempo. Diferenças raciais, culturais, étnicas, religiosas e de gênero — somadas a desigualdades sociais e econômicas persistentes — impõem o desafio de integrar pessoas diversas em equipes coesas, com respeito e tratamento equitativo tanto internamente quanto na relação com cidadãos e clientes.</w:t>
      </w:r>
    </w:p>
    <w:p>
      <w:pPr>
        <w:pStyle w:val="Heading1"/>
        <w:pageBreakBefore/>
        <w:spacing w:after="200" w:before="400"/>
      </w:pPr>
      <w:r>
        <w:t xml:space="preserve">Capítulo 2 — Os Gestores Lideram (Managers Lead)</w:t>
      </w:r>
    </w:p>
    <w:p>
      <w:pPr>
        <w:spacing w:after="160"/>
        <w:jc w:val="both"/>
      </w:pPr>
      <w:r>
        <w:t xml:space="preserve">Dobel argumenta que gestores estão no centro da atividade ética e da integridade organizacional: toda ação gerencial é inerentemente ética, pois afeta o bem comum e a qualidade de vida das pessoas que dependem do desempenho competente da organização. O capítulo rejeita a distinção rígida, comum na literatura de administração, entre “liderar” (visão, missão) e “gerenciar” (rotina, regras): na prática, gestores precisam liderar continuamente, e bons líderes precisam de profunda capacidade de gestão.</w:t>
      </w:r>
    </w:p>
    <w:p>
      <w:pPr>
        <w:spacing w:after="160"/>
        <w:jc w:val="both"/>
      </w:pPr>
      <w:r>
        <w:t xml:space="preserve">Um líder gerencial, seja em nível de linha ou sênior, desenvolve e motiva um propósito compartilhado; refina metas e comunica-se com o pessoal; realiza tarefas diárias de direção e improvisação; toma a iniciativa diante de desafios; monitora o limite (boundary) do desempenho do grupo; mantém vigilância sobre deslizamentos de desempenho e integridade; responsabiliza-se pelos resultados; e constrói uma base de poder e recursos para sustentar a capacidade organizacional.</w:t>
      </w:r>
    </w:p>
    <w:p>
      <w:pPr>
        <w:pStyle w:val="Heading2"/>
        <w:spacing w:after="150" w:before="300"/>
      </w:pPr>
      <w:r>
        <w:t xml:space="preserve">Responsabilidade Gerencial (Managerial Responsibility)</w:t>
      </w:r>
    </w:p>
    <w:p>
      <w:pPr>
        <w:pStyle w:val="ListParagraph"/>
        <w:numPr>
          <w:ilvl w:val="0"/>
          <w:numId w:val="2"/>
        </w:numPr>
        <w:spacing w:after="80"/>
      </w:pPr>
      <w:r>
        <w:t xml:space="preserve">A Promessa como Fundamento Moral (Promise as the Moral Foundation)</w:t>
      </w:r>
    </w:p>
    <w:p>
      <w:pPr>
        <w:pStyle w:val="ListParagraph"/>
        <w:numPr>
          <w:ilvl w:val="0"/>
          <w:numId w:val="2"/>
        </w:numPr>
        <w:spacing w:after="80"/>
      </w:pPr>
      <w:r>
        <w:t xml:space="preserve">Responsabilidade Pessoal (Personal Responsibility)</w:t>
      </w:r>
    </w:p>
    <w:p>
      <w:pPr>
        <w:pStyle w:val="ListParagraph"/>
        <w:numPr>
          <w:ilvl w:val="0"/>
          <w:numId w:val="2"/>
        </w:numPr>
        <w:spacing w:after="80"/>
      </w:pPr>
      <w:r>
        <w:t xml:space="preserve">Autoconsciência (Self-Awareness)</w:t>
      </w:r>
    </w:p>
    <w:p>
      <w:pPr>
        <w:pStyle w:val="Heading3"/>
        <w:spacing w:after="100" w:before="200"/>
      </w:pPr>
      <w:r>
        <w:t xml:space="preserve">A Promessa como Fundamento Moral</w:t>
      </w:r>
    </w:p>
    <w:p>
      <w:pPr>
        <w:spacing w:after="160"/>
        <w:jc w:val="both"/>
      </w:pPr>
      <w:r>
        <w:t xml:space="preserve">O padrão ético dominante para quem exerce discrição deriva da “ética do papel” (role ethics): gestores e líderes exercem poder e autoridade com base nas responsabilidades atribuídas ao seu cargo, dentro da legitimidade moral ou legal mais ampla da organização. A força ética de ocupar um cargo oficial decorre da importância moral de uma promessa: o indivíduo conecta sua integridade à posição por meio de um compromisso pessoal de cumprir as exigências daquele cargo. Sem essa promessa, todo o edifício da responsabilização democrática e organizacional desmorona.</w:t>
      </w:r>
    </w:p>
    <w:p>
      <w:pPr>
        <w:pStyle w:val="Heading3"/>
        <w:spacing w:after="100" w:before="200"/>
      </w:pPr>
      <w:r>
        <w:t xml:space="preserve">Responsabilidade Pessoal</w:t>
      </w:r>
    </w:p>
    <w:p>
      <w:pPr>
        <w:spacing w:after="160"/>
        <w:jc w:val="both"/>
      </w:pPr>
      <w:r>
        <w:t xml:space="preserve">Assumir esse compromisso significa que o gestor aceita responsabilidade pessoal por suas ações — a posição se torna sua. Ainda que a função pareça, em teoria, mera aplicação de regras, cada gestor imprime a ela seu próprio estilo, talento e julgamento; gestores não são autômatos. Essa singularidade de estilo é ao mesmo tempo uma fonte de inovação necessária e uma possível fonte de deslizamento (slippage).</w:t>
      </w:r>
    </w:p>
    <w:p>
      <w:pPr>
        <w:pStyle w:val="Heading3"/>
        <w:spacing w:after="100" w:before="200"/>
      </w:pPr>
      <w:r>
        <w:t xml:space="preserve">Autoconsciência</w:t>
      </w:r>
    </w:p>
    <w:p>
      <w:pPr>
        <w:spacing w:after="160"/>
        <w:jc w:val="both"/>
      </w:pPr>
      <w:r>
        <w:t xml:space="preserve">A autoconsciência é o alicerce da responsabilidade pessoal e da integridade: a capacidade de recuar e avaliar a própria situação, as consequências das próprias ações e a adequação entre pessoa e cargo. Autoconsciência permite evitar o autoengano e o enrijecimento (frame lock) do julgamento, e depende também de manter redes sociais de apoio — amigos, pares, mentores — capazes de oferecer feedback honesto fora da cadeia de comando, o que ajuda a evitar isolamento executivo e groupthink.</w:t>
      </w:r>
    </w:p>
    <w:p>
      <w:pPr>
        <w:pStyle w:val="Heading1"/>
        <w:pageBreakBefore/>
        <w:spacing w:after="200" w:before="400"/>
      </w:pPr>
      <w:r>
        <w:t xml:space="preserve">Capítulo 3 — Agindo com Integridade (Acting With Integrity)</w:t>
      </w:r>
    </w:p>
    <w:p>
      <w:pPr>
        <w:spacing w:after="160"/>
        <w:jc w:val="both"/>
      </w:pPr>
      <w:r>
        <w:t xml:space="preserve">Este capítulo é central para toda a arquitetura conceitual do livro: define integridade e apresenta o modelo dos “três domínios do julgamento” (Diagrama 3.1), além de mapear as ameaças recorrentes à integridade na vida organizacional.</w:t>
      </w:r>
    </w:p>
    <w:p>
      <w:pPr>
        <w:pStyle w:val="Heading2"/>
        <w:spacing w:after="150" w:before="300"/>
      </w:pPr>
      <w:r>
        <w:t xml:space="preserve">A Integridade Pública (The Public Integrity)</w:t>
      </w:r>
    </w:p>
    <w:p>
      <w:pPr>
        <w:pStyle w:val="ListParagraph"/>
        <w:numPr>
          <w:ilvl w:val="0"/>
          <w:numId w:val="2"/>
        </w:numPr>
        <w:spacing w:after="80"/>
      </w:pPr>
      <w:r>
        <w:t xml:space="preserve">A Natureza da Integridade (The Nature of Integrity)</w:t>
      </w:r>
    </w:p>
    <w:p>
      <w:pPr>
        <w:pStyle w:val="ListParagraph"/>
        <w:numPr>
          <w:ilvl w:val="0"/>
          <w:numId w:val="2"/>
        </w:numPr>
        <w:spacing w:after="80"/>
      </w:pPr>
      <w:r>
        <w:t xml:space="preserve">A Integridade Pública em Ação — Domínios do Julgamento (Public Integrity in Action—Domains of Judgment)</w:t>
      </w:r>
    </w:p>
    <w:p>
      <w:pPr>
        <w:pStyle w:val="ListParagraph"/>
        <w:numPr>
          <w:ilvl w:val="0"/>
          <w:numId w:val="2"/>
        </w:numPr>
        <w:spacing w:after="80"/>
      </w:pPr>
      <w:r>
        <w:t xml:space="preserve">Compromissos e Capacidades Pessoais (Personal Commitments and Capacities)</w:t>
      </w:r>
    </w:p>
    <w:p>
      <w:pPr>
        <w:pStyle w:val="ListParagraph"/>
        <w:numPr>
          <w:ilvl w:val="0"/>
          <w:numId w:val="2"/>
        </w:numPr>
        <w:spacing w:after="80"/>
      </w:pPr>
      <w:r>
        <w:t xml:space="preserve">Obrigações do Cargo (Obligations of Office)</w:t>
      </w:r>
    </w:p>
    <w:p>
      <w:pPr>
        <w:pStyle w:val="ListParagraph"/>
        <w:numPr>
          <w:ilvl w:val="0"/>
          <w:numId w:val="2"/>
        </w:numPr>
        <w:spacing w:after="80"/>
      </w:pPr>
      <w:r>
        <w:t xml:space="preserve">Prudência e Efetividade (Prudence and Effectiveness)</w:t>
      </w:r>
    </w:p>
    <w:p>
      <w:pPr>
        <w:pStyle w:val="Heading3"/>
        <w:spacing w:after="100" w:before="200"/>
      </w:pPr>
      <w:r>
        <w:t xml:space="preserve">A Natureza da Integridade</w:t>
      </w:r>
    </w:p>
    <w:p>
      <w:pPr>
        <w:spacing w:after="160"/>
        <w:jc w:val="both"/>
      </w:pPr>
      <w:r>
        <w:t xml:space="preserve">Individualmente, a integridade se expressa por meio de um “eu ideal” que serve de modelo interno para guiar e avaliar o próprio comportamento. A integridade depende da capacidade reflexiva disciplinada de criar distância cognitiva e emocional da situação, refletir sobre ela à luz do eu ideal e então agir apesar de resistências internas ou externas — um processo semelhante a tecer os fios da própria vida em um todo coerente.</w:t>
      </w:r>
    </w:p>
    <w:p>
      <w:pPr>
        <w:pStyle w:val="Heading3"/>
        <w:spacing w:after="100" w:before="200"/>
      </w:pPr>
      <w:r>
        <w:t xml:space="preserve">A Integridade Pública em Ação — Domínios do Julgamento</w:t>
      </w:r>
    </w:p>
    <w:p>
      <w:pPr>
        <w:spacing w:after="160"/>
        <w:jc w:val="both"/>
      </w:pPr>
      <w:r>
        <w:t xml:space="preserve">Líderes gerenciais precisam equilibrar três domínios de julgamento ao decidir e agir, representados no Diagrama 3.1 como um triângulo: no topo, “Valores Pessoais, Caráter e Compromissos”; nos vértices da base, “Obrigações Institucionais” e “Prudência e Efetividade”. Cada domínio é uma lente distinta sobre a mesma decisão, e o líder se move entre eles como forma de verificação e esclarecimento.</w:t>
      </w:r>
    </w:p>
    <w:p>
      <w:pPr>
        <w:pStyle w:val="Heading3"/>
        <w:spacing w:after="100" w:before="200"/>
      </w:pPr>
      <w:r>
        <w:t xml:space="preserve">Compromissos e Capacidades Pessoais</w:t>
      </w:r>
    </w:p>
    <w:p>
      <w:pPr>
        <w:spacing w:after="160"/>
        <w:jc w:val="both"/>
      </w:pPr>
      <w:r>
        <w:t xml:space="preserve">Esse domínio cobre os valores, habilidades e atributos físicos e de caráter que o indivíduo traz ao cargo — o que confere a cada gestor um estilo único. Envolve autoconsciência sobre como fatores como etnia, gênero, classe ou geografia moldam a percepção, e depende da capacidade de autodomínio (self-mastery) para alinhar disciplina psicológica e responsabilidade.</w:t>
      </w:r>
    </w:p>
    <w:p>
      <w:pPr>
        <w:pStyle w:val="Heading3"/>
        <w:spacing w:after="100" w:before="200"/>
      </w:pPr>
      <w:r>
        <w:t xml:space="preserve">Obrigações do Cargo</w:t>
      </w:r>
    </w:p>
    <w:p>
      <w:pPr>
        <w:spacing w:after="160"/>
        <w:jc w:val="both"/>
      </w:pPr>
      <w:r>
        <w:t xml:space="preserve">Esse domínio deriva da fidelidade consciente dos gestores às obrigações institucionais de seus cargos: ao assumir uma posição, o indivíduo faz uma promessa, implícita ou explícita, de cumprir as responsabilidades dela decorrentes. Envolve transparência e responsabilização (accountability) como obrigações tão importantes quanto competência e confiabilidade.</w:t>
      </w:r>
    </w:p>
    <w:p>
      <w:pPr>
        <w:pStyle w:val="Heading3"/>
        <w:spacing w:after="100" w:before="200"/>
      </w:pPr>
      <w:r>
        <w:t xml:space="preserve">Prudência e Efetividade</w:t>
      </w:r>
    </w:p>
    <w:p>
      <w:pPr>
        <w:spacing w:after="160"/>
        <w:jc w:val="both"/>
      </w:pPr>
      <w:r>
        <w:t xml:space="preserve">Esse domínio exige que líderes atendam ao contexto e às dimensões de poder de suas ações antes de agir — compreendendo a realidade complexa e mutável de pessoas, recursos e atores políticos — e também que sejam efetivos, mobilizando poder e apoio para sustentar a implementação em ambientes difíceis e mutáveis.</w:t>
      </w:r>
    </w:p>
    <w:p>
      <w:pPr>
        <w:pStyle w:val="Heading2"/>
        <w:spacing w:after="150" w:before="300"/>
      </w:pPr>
      <w:r>
        <w:t xml:space="preserve">Atributos da Ação Baseada em Integridade (Attributes of Integrity-Based Action)</w:t>
      </w:r>
    </w:p>
    <w:p>
      <w:pPr>
        <w:pStyle w:val="ListParagraph"/>
        <w:numPr>
          <w:ilvl w:val="0"/>
          <w:numId w:val="2"/>
        </w:numPr>
        <w:spacing w:after="80"/>
      </w:pPr>
      <w:r>
        <w:t xml:space="preserve">Aceitar Responsabilidade (Accept Responsibility)</w:t>
      </w:r>
    </w:p>
    <w:p>
      <w:pPr>
        <w:pStyle w:val="ListParagraph"/>
        <w:numPr>
          <w:ilvl w:val="0"/>
          <w:numId w:val="2"/>
        </w:numPr>
        <w:spacing w:after="80"/>
      </w:pPr>
      <w:r>
        <w:t xml:space="preserve">Agir com Autocontrole (Act With Self-Control)</w:t>
      </w:r>
    </w:p>
    <w:p>
      <w:pPr>
        <w:pStyle w:val="ListParagraph"/>
        <w:numPr>
          <w:ilvl w:val="0"/>
          <w:numId w:val="2"/>
        </w:numPr>
        <w:spacing w:after="80"/>
      </w:pPr>
      <w:r>
        <w:t xml:space="preserve">Refletir sobre as Ações (Reflect on Actions)</w:t>
      </w:r>
    </w:p>
    <w:p>
      <w:pPr>
        <w:pStyle w:val="ListParagraph"/>
        <w:numPr>
          <w:ilvl w:val="0"/>
          <w:numId w:val="2"/>
        </w:numPr>
        <w:spacing w:after="80"/>
      </w:pPr>
      <w:r>
        <w:t xml:space="preserve">Buscar Ajuda e Apoio (Seek Help and Support)</w:t>
      </w:r>
    </w:p>
    <w:p>
      <w:pPr>
        <w:spacing w:after="160"/>
        <w:jc w:val="both"/>
      </w:pPr>
      <w:r>
        <w:t xml:space="preserve">A integridade depende de hábitos éticos praticados repetidamente — aceitar responsabilidade (autodomínio como posse de si mesmo, recusando o “jogo da culpa”); agir com autocontrole (dominar emoções e temperamento, especialmente sob provocação, para não ser manipulado nem gerar favoritismo percebido); refletir sobre as ações (desconfiar de reações instintivas e “de tripa”, testando regularmente os quadros de referência internalizados em diálogo com outros); e buscar ajuda e apoio (ninguém sustenta integridade sozinho — redes de amigos, colegas e mentores fora da cadeia de comando fornecem distância emocional e ética necessária para evitar isolamento e distorção).</w:t>
      </w:r>
    </w:p>
    <w:p>
      <w:pPr>
        <w:pStyle w:val="Heading2"/>
        <w:spacing w:after="150" w:before="300"/>
      </w:pPr>
      <w:r>
        <w:t xml:space="preserve">Ameaças à Integridade (Threats to Integrity)</w:t>
      </w:r>
    </w:p>
    <w:p>
      <w:pPr>
        <w:pStyle w:val="ListParagraph"/>
        <w:numPr>
          <w:ilvl w:val="0"/>
          <w:numId w:val="2"/>
        </w:numPr>
        <w:spacing w:after="80"/>
      </w:pPr>
      <w:r>
        <w:t xml:space="preserve">Isolamento e Distorção (Isolation and Distortion)</w:t>
      </w:r>
    </w:p>
    <w:p>
      <w:pPr>
        <w:pStyle w:val="ListParagraph"/>
        <w:numPr>
          <w:ilvl w:val="0"/>
          <w:numId w:val="2"/>
        </w:numPr>
        <w:spacing w:after="80"/>
      </w:pPr>
      <w:r>
        <w:t xml:space="preserve">Negação de Responsabilidade (Denial of Responsibility)</w:t>
      </w:r>
    </w:p>
    <w:p>
      <w:pPr>
        <w:pStyle w:val="ListParagraph"/>
        <w:numPr>
          <w:ilvl w:val="0"/>
          <w:numId w:val="2"/>
        </w:numPr>
        <w:spacing w:after="80"/>
      </w:pPr>
      <w:r>
        <w:t xml:space="preserve">Rigidez (Rigidity)</w:t>
      </w:r>
    </w:p>
    <w:p>
      <w:pPr>
        <w:pStyle w:val="ListParagraph"/>
        <w:numPr>
          <w:ilvl w:val="0"/>
          <w:numId w:val="2"/>
        </w:numPr>
        <w:spacing w:after="80"/>
      </w:pPr>
      <w:r>
        <w:t xml:space="preserve">Cultura de Pares (Peer Culture)</w:t>
      </w:r>
    </w:p>
    <w:p>
      <w:pPr>
        <w:pStyle w:val="ListParagraph"/>
        <w:numPr>
          <w:ilvl w:val="0"/>
          <w:numId w:val="2"/>
        </w:numPr>
        <w:spacing w:after="80"/>
      </w:pPr>
      <w:r>
        <w:t xml:space="preserve">Atores Informais Dominantes (Dominant Informal Actors)</w:t>
      </w:r>
    </w:p>
    <w:p>
      <w:pPr>
        <w:pStyle w:val="ListParagraph"/>
        <w:numPr>
          <w:ilvl w:val="0"/>
          <w:numId w:val="2"/>
        </w:numPr>
        <w:spacing w:after="80"/>
      </w:pPr>
      <w:r>
        <w:t xml:space="preserve">Desafios da Diversidade (Diversity Challenges)</w:t>
      </w:r>
    </w:p>
    <w:p>
      <w:pPr>
        <w:pStyle w:val="ListParagraph"/>
        <w:numPr>
          <w:ilvl w:val="0"/>
          <w:numId w:val="2"/>
        </w:numPr>
        <w:spacing w:after="80"/>
      </w:pPr>
      <w:r>
        <w:t xml:space="preserve">Silêncio (Silence)</w:t>
      </w:r>
    </w:p>
    <w:p>
      <w:pPr>
        <w:spacing w:after="160"/>
        <w:jc w:val="both"/>
      </w:pPr>
      <w:r>
        <w:t xml:space="preserve">Dobel lista antes dessas sete ameaças um conjunto de pressões cotidianas que corroem a integridade: atrito diário associado a identidades profissionais e pessoais diversas; pressão para cumprir metas impossíveis; sensação de não ser reconhecido ou de ser mal remunerado; subculturas protetoras dentro de uma cultura maior; busca por escapar de supervisão ou maximizar autonomia; pessoas de fora tentando capturar ou influenciar a organização; indivíduos tentando cooptar ou desgastar o pessoal; concorrentes buscando recursos; e indiferença ou hipocrisia de gestores seniores.</w:t>
      </w:r>
    </w:p>
    <w:p>
      <w:pPr>
        <w:pStyle w:val="Heading3"/>
        <w:spacing w:after="100" w:before="200"/>
      </w:pPr>
      <w:r>
        <w:t xml:space="preserve">Isolamento e Distorção</w:t>
      </w:r>
    </w:p>
    <w:p>
      <w:pPr>
        <w:spacing w:after="160"/>
        <w:jc w:val="both"/>
      </w:pPr>
      <w:r>
        <w:t xml:space="preserve">Toda pessoa em posição de autoridade sofre desgaste da integridade por um “campo de distorção” de poder ao seu redor: ninguém quer transmitir más notícias, e a informação chega filtrada e suavizada. Isso cria um “casulo de boas notícias” que isola o líder de sinais fracos de deslizamento no desempenho, agravado pela expectativa de decisão rápida à medida que se sobe na hierarquia.</w:t>
      </w:r>
    </w:p>
    <w:p>
      <w:pPr>
        <w:pStyle w:val="Heading3"/>
        <w:spacing w:after="100" w:before="200"/>
      </w:pPr>
      <w:r>
        <w:t xml:space="preserve">Negação de Responsabilidade</w:t>
      </w:r>
    </w:p>
    <w:p>
      <w:pPr>
        <w:spacing w:after="160"/>
        <w:jc w:val="both"/>
      </w:pPr>
      <w:r>
        <w:t xml:space="preserve">Tomar decisões gera ansiedade; por isso, indivíduos frequentemente evitam a responsabilidade culpando outros, “apenas seguindo ordens” ou invocando “a letra da lei” ou informação incompleta. O mundo de governança compartilhada e múltiplas linhas de responsabilização torna ainda mais fácil diluir a responsabilidade individual.</w:t>
      </w:r>
    </w:p>
    <w:p>
      <w:pPr>
        <w:pStyle w:val="Heading3"/>
        <w:spacing w:after="100" w:before="200"/>
      </w:pPr>
      <w:r>
        <w:t xml:space="preserve">Rigidez</w:t>
      </w:r>
    </w:p>
    <w:p>
      <w:pPr>
        <w:spacing w:after="160"/>
        <w:jc w:val="both"/>
      </w:pPr>
      <w:r>
        <w:t xml:space="preserve">Uma variação da negação de responsabilidade é seguir rigidamente ordens ou “agir conforme o manual” — uma tática de “proteção” que reduz pessoas a máquinas sem discrição, pressupondo (falsamente) que as regras são sempre claras e as consequências previsíveis.</w:t>
      </w:r>
    </w:p>
    <w:p>
      <w:pPr>
        <w:pStyle w:val="Heading3"/>
        <w:spacing w:after="100" w:before="200"/>
      </w:pPr>
      <w:r>
        <w:t xml:space="preserve">Cultura de Pares</w:t>
      </w:r>
    </w:p>
    <w:p>
      <w:pPr>
        <w:spacing w:after="160"/>
        <w:jc w:val="both"/>
      </w:pPr>
      <w:r>
        <w:t xml:space="preserve">As normas reais de ação são carregadas pelos valores que grupos usam para guiar seu comportamento fora da supervisão direta. Culturas de pares podem se desenvolver de forma dissociada dos valores oficiais da organização, especialmente sob pressão de recursos escassos e metas irreais, tornando-se terreno fértil para comportamento ilegal ou antiético que se torna incorporado (embedded) na cultura do grupo.</w:t>
      </w:r>
    </w:p>
    <w:p>
      <w:pPr>
        <w:pStyle w:val="Heading3"/>
        <w:spacing w:after="100" w:before="200"/>
      </w:pPr>
      <w:r>
        <w:t xml:space="preserve">Atores Informais Dominantes</w:t>
      </w:r>
    </w:p>
    <w:p>
      <w:pPr>
        <w:spacing w:after="160"/>
        <w:jc w:val="both"/>
      </w:pPr>
      <w:r>
        <w:t xml:space="preserve">Culturas informais, sobretudo em unidades pequenas, são vulneráveis à influência excessiva de indivíduos — o “veterano” ou “especialista” indispensável, ou o valentão (bully) que usa coerção e medo. Tais atores podem controlar recursos, informação ou redes, tornando-se quase invulneráveis à responsabilização direta, e um código de silêncio informal frequentemente protege seu poder.</w:t>
      </w:r>
    </w:p>
    <w:p>
      <w:pPr>
        <w:pStyle w:val="Heading3"/>
        <w:spacing w:after="100" w:before="200"/>
      </w:pPr>
      <w:r>
        <w:t xml:space="preserve">Desafios da Diversidade</w:t>
      </w:r>
    </w:p>
    <w:p>
      <w:pPr>
        <w:spacing w:after="160"/>
        <w:jc w:val="both"/>
      </w:pPr>
      <w:r>
        <w:t xml:space="preserve">A liderança eficaz de organizações modernas exige integrar um amplo leque de pessoas e perspectivas diversas em equipes coesas. Desigualdades estruturais entre a população servida e o quadro de funcionários — ao longo de linhas raciais, étnicas, religiosas ou de gênero — podem gerar tratamento sistemático desigual, tensão latente e, em casos extremos, conflito ou violência.</w:t>
      </w:r>
    </w:p>
    <w:p>
      <w:pPr>
        <w:pStyle w:val="Heading3"/>
        <w:spacing w:after="100" w:before="200"/>
      </w:pPr>
      <w:r>
        <w:t xml:space="preserve">Silêncio</w:t>
      </w:r>
    </w:p>
    <w:p>
      <w:pPr>
        <w:spacing w:after="160"/>
        <w:jc w:val="both"/>
      </w:pPr>
      <w:r>
        <w:t xml:space="preserve">Pessoas que sabem que estão protegidas pelo sigilo ou pelo silêncio frequentemente cometem ações imorais que nunca cometeriam se soubessem que seriam publicamente responsabilizadas. O silêncio abafa a responsabilização e o aprendizado organizacional, tornando-se aliado de culturas de pares patológicas, de atores dominantes ou de discriminação profunda.</w:t>
      </w:r>
    </w:p>
    <w:p>
      <w:pPr>
        <w:pStyle w:val="Heading1"/>
        <w:pageBreakBefore/>
        <w:spacing w:after="200" w:before="400"/>
      </w:pPr>
      <w:r>
        <w:t xml:space="preserve">Capítulo 4 — Construindo uma Organização Ética (Building an Ethical Organization)</w:t>
      </w:r>
    </w:p>
    <w:p>
      <w:pPr>
        <w:spacing w:after="160"/>
        <w:jc w:val="both"/>
      </w:pPr>
      <w:r>
        <w:t xml:space="preserve">O ambiente político e social de organizações públicas e sem fins lucrativos gera pressões constantes que corroem a integridade de gestores e supervisores. A chave para conter essas forças no nível da decisão cotidiana está em criar uma cultura de desempenho ético. Dobel apresenta um segundo “triângulo estratégico” — o Diagrama 4.1, “Alinhamento Missão–Pessoa–Tarefa” (Mission/Person/Task Alignment) — no qual as ações diárias, no centro do triângulo, constroem cultura, criam significado e realizam a missão, equilibrando os três vértices: Missão, Pessoa e Tarefa.</w:t>
      </w:r>
    </w:p>
    <w:p>
      <w:pPr>
        <w:pStyle w:val="Heading2"/>
        <w:spacing w:after="150" w:before="300"/>
      </w:pPr>
      <w:r>
        <w:t xml:space="preserve">Pontos Focais da Gestão Ética (Focal Points of Ethical Management)</w:t>
      </w:r>
    </w:p>
    <w:p>
      <w:pPr>
        <w:pStyle w:val="ListParagraph"/>
        <w:numPr>
          <w:ilvl w:val="0"/>
          <w:numId w:val="2"/>
        </w:numPr>
        <w:spacing w:after="80"/>
      </w:pPr>
      <w:r>
        <w:t xml:space="preserve">Cultivar o Propósito Organizacional (Cultivate Organizational Purpose)</w:t>
      </w:r>
    </w:p>
    <w:p>
      <w:pPr>
        <w:pStyle w:val="ListParagraph"/>
        <w:numPr>
          <w:ilvl w:val="0"/>
          <w:numId w:val="2"/>
        </w:numPr>
        <w:spacing w:after="80"/>
      </w:pPr>
      <w:r>
        <w:t xml:space="preserve">Conhecer o Propósito das Regras e Leis (Know the Purpose of the Rules and Laws)</w:t>
      </w:r>
    </w:p>
    <w:p>
      <w:pPr>
        <w:pStyle w:val="ListParagraph"/>
        <w:numPr>
          <w:ilvl w:val="0"/>
          <w:numId w:val="2"/>
        </w:numPr>
        <w:spacing w:after="80"/>
      </w:pPr>
      <w:r>
        <w:t xml:space="preserve">Construir Confiança, Respeito e Comunicação (Build Trust, Respect and Communication)</w:t>
      </w:r>
    </w:p>
    <w:p>
      <w:pPr>
        <w:pStyle w:val="ListParagraph"/>
        <w:numPr>
          <w:ilvl w:val="0"/>
          <w:numId w:val="2"/>
        </w:numPr>
        <w:spacing w:after="80"/>
      </w:pPr>
      <w:r>
        <w:t xml:space="preserve">Abraçar a Discrição (Embrace Discretion)</w:t>
      </w:r>
    </w:p>
    <w:p>
      <w:pPr>
        <w:pStyle w:val="ListParagraph"/>
        <w:numPr>
          <w:ilvl w:val="0"/>
          <w:numId w:val="2"/>
        </w:numPr>
        <w:spacing w:after="80"/>
      </w:pPr>
      <w:r>
        <w:t xml:space="preserve">Proteger o Núcleo (Protect the Core)</w:t>
      </w:r>
    </w:p>
    <w:p>
      <w:pPr>
        <w:pStyle w:val="ListParagraph"/>
        <w:numPr>
          <w:ilvl w:val="0"/>
          <w:numId w:val="2"/>
        </w:numPr>
        <w:spacing w:after="80"/>
      </w:pPr>
      <w:r>
        <w:t xml:space="preserve">Engajar Todo o Contexto (Engage the Whole Context)</w:t>
      </w:r>
    </w:p>
    <w:p>
      <w:pPr>
        <w:pStyle w:val="ListParagraph"/>
        <w:numPr>
          <w:ilvl w:val="0"/>
          <w:numId w:val="2"/>
        </w:numPr>
        <w:spacing w:after="80"/>
      </w:pPr>
      <w:r>
        <w:t xml:space="preserve">Modelar e Educar (Model and Educate)</w:t>
      </w:r>
    </w:p>
    <w:p>
      <w:pPr>
        <w:pStyle w:val="ListParagraph"/>
        <w:numPr>
          <w:ilvl w:val="0"/>
          <w:numId w:val="2"/>
        </w:numPr>
        <w:spacing w:after="80"/>
      </w:pPr>
      <w:r>
        <w:t xml:space="preserve">Exercer Coragem e Perseverança (Exercise Courage and Endurance)</w:t>
      </w:r>
    </w:p>
    <w:p>
      <w:pPr>
        <w:pStyle w:val="ListParagraph"/>
        <w:numPr>
          <w:ilvl w:val="0"/>
          <w:numId w:val="2"/>
        </w:numPr>
        <w:spacing w:after="80"/>
      </w:pPr>
      <w:r>
        <w:t xml:space="preserve">Buscar Apoio e Ajuda (Seek Support and Help)</w:t>
      </w:r>
    </w:p>
    <w:p>
      <w:pPr>
        <w:pStyle w:val="Heading3"/>
        <w:spacing w:after="100" w:before="200"/>
      </w:pPr>
      <w:r>
        <w:t xml:space="preserve">Cultivar o Propósito Organizacional</w:t>
      </w:r>
    </w:p>
    <w:p>
      <w:pPr>
        <w:spacing w:after="160"/>
        <w:jc w:val="both"/>
      </w:pPr>
      <w:r>
        <w:t xml:space="preserve">Visão, missão, metas e resultados incorporam a tarefa de cultivar um senso de propósito duradouro. A desconexão moderna entre sentido e trabalho tem custo alto de desempenho e deixa as pessoas mais vulneráveis à competência mínima, à indiferença ou ao abuso descuidado do cargo; cultivar propósito preenche as lacunas emocionais e cognitivas que as regras, sozinhas, não conseguem preencher.</w:t>
      </w:r>
    </w:p>
    <w:p>
      <w:pPr>
        <w:pStyle w:val="Heading3"/>
        <w:spacing w:after="100" w:before="200"/>
      </w:pPr>
      <w:r>
        <w:t xml:space="preserve">Conhecer o Propósito das Regras e Leis</w:t>
      </w:r>
    </w:p>
    <w:p>
      <w:pPr>
        <w:spacing w:after="160"/>
        <w:jc w:val="both"/>
      </w:pPr>
      <w:r>
        <w:t xml:space="preserve">Toda integridade organizacional depende de gestores que conheçam não apenas a letra, mas também o propósito por trás de regulamentos e procedimentos — muitas vezes fundamentados em conhecimento profissional e científico. Ao mesmo tempo, esse conhecimento precisa ser complementado pela consciência de que regras e expertise podem não captar toda a complexidade cultural e social do terreno.</w:t>
      </w:r>
    </w:p>
    <w:p>
      <w:pPr>
        <w:pStyle w:val="Heading3"/>
        <w:spacing w:after="100" w:before="200"/>
      </w:pPr>
      <w:r>
        <w:t xml:space="preserve">Construir Confiança, Respeito e Comunicação</w:t>
      </w:r>
    </w:p>
    <w:p>
      <w:pPr>
        <w:spacing w:after="160"/>
        <w:jc w:val="both"/>
      </w:pPr>
      <w:r>
        <w:t xml:space="preserve">Dobel trata estes três elementos em conjunto como uma unidade estratégica: confiança depende da confiabilidade mútua de expectativas e é criada lentamente, mas pode se perder rapidamente; respeito e escuta exigem que o líder esteja plenamente presente ao outro, o que possibilita avaliações honestas e francas e amplia o aprendizado organizacional; e comunicação flui de respeito e confiança, sendo essencial para infundir a missão nas ações e criar responsabilização — incluindo a construção de canais paralelos de denúncia (whistleblowing) e proteção ao dissenso. O autor discute ainda, dentro deste ponto focal, fairness (justiça/imparcialidade de tratamento) e impartiality (imparcialidade nos padrões aplicados) como componentes que sustentam confiança e legitimidade.</w:t>
      </w:r>
    </w:p>
    <w:p>
      <w:pPr>
        <w:pStyle w:val="Heading3"/>
        <w:spacing w:after="100" w:before="200"/>
      </w:pPr>
      <w:r>
        <w:t xml:space="preserve">Abraçar a Discrição</w:t>
      </w:r>
    </w:p>
    <w:p>
      <w:pPr>
        <w:spacing w:after="160"/>
        <w:jc w:val="both"/>
      </w:pPr>
      <w:r>
        <w:t xml:space="preserve">Integridade e responsabilidade convergem quando líderes assumem sua discrição em vez de se esconderem atrás da rigidez, entendendo que o julgamento humano opera por meio de “quadros” (frames) cognitivos treinados pela experiência, e que a discrição é onipresente — até mesmo na quantidade de tempo dedicada a diferentes assuntos ou pessoas.</w:t>
      </w:r>
    </w:p>
    <w:p>
      <w:pPr>
        <w:pStyle w:val="Heading3"/>
        <w:spacing w:after="100" w:before="200"/>
      </w:pPr>
      <w:r>
        <w:t xml:space="preserve">Proteger o Núcleo</w:t>
      </w:r>
    </w:p>
    <w:p>
      <w:pPr>
        <w:spacing w:after="160"/>
        <w:jc w:val="both"/>
      </w:pPr>
      <w:r>
        <w:t xml:space="preserve">Organizações públicas surgem para desempenhar funções centrais (core functions) essenciais à missão; proteger esse núcleo significa atenção constante à competência do pessoal, à integridade da informação e evidência que sustentam decisões, e à reputação e neutralidade da agência, evitando que seja percebida como “capturada” por um interesse específico.</w:t>
      </w:r>
    </w:p>
    <w:p>
      <w:pPr>
        <w:pStyle w:val="Heading3"/>
        <w:spacing w:after="100" w:before="200"/>
      </w:pPr>
      <w:r>
        <w:t xml:space="preserve">Engajar Todo o Contexto</w:t>
      </w:r>
    </w:p>
    <w:p>
      <w:pPr>
        <w:spacing w:after="160"/>
        <w:jc w:val="both"/>
      </w:pPr>
      <w:r>
        <w:t xml:space="preserve">Como raramente as situações são simples, gestores devem desenvolver forte consciência situacional, abrindo-se a múltiplos quadros de interpretação (open to multiple frames) antes de agir — o que parece ser um insulto racial pode ser deboche entre colegas; o que parece negligência pode envolver dois objetivos em conflito. Conhecer as pessoas e o contexto é crítico para resolver questões organizacionais com competência, justiça e autodisciplina.</w:t>
      </w:r>
    </w:p>
    <w:p>
      <w:pPr>
        <w:pStyle w:val="Heading3"/>
        <w:spacing w:after="100" w:before="200"/>
      </w:pPr>
      <w:r>
        <w:t xml:space="preserve">Modelar e Educar</w:t>
      </w:r>
    </w:p>
    <w:p>
      <w:pPr>
        <w:spacing w:after="160"/>
        <w:jc w:val="both"/>
      </w:pPr>
      <w:r>
        <w:t xml:space="preserve">Toda ação de um líder gerencial expõe seu poder e autoridade; as pessoas ao redor sempre observam suas palavras e atos. Gestores carregam a cultura da organização e, por meio de suas ações cumulativas — elogios, apoio ou punição — educam continuamente o pessoal sobre as expectativas organizacionais.</w:t>
      </w:r>
    </w:p>
    <w:p>
      <w:pPr>
        <w:pStyle w:val="Heading3"/>
        <w:spacing w:after="100" w:before="200"/>
      </w:pPr>
      <w:r>
        <w:t xml:space="preserve">Exercer Coragem e Perseverança</w:t>
      </w:r>
    </w:p>
    <w:p>
      <w:pPr>
        <w:spacing w:after="160"/>
        <w:jc w:val="both"/>
      </w:pPr>
      <w:r>
        <w:t xml:space="preserve">A pressão diária da vida organizacional — isolamento, normas de pares, rigidez, sigilo, tensões de diversidade — pode esgotar os recursos morais mesmo de pessoas muito capazes. Sustentar o compromisso ético exige coragem contínua para tomar decisões difíceis, dia após dia, resistindo à tentação de rigidez, evasão de responsabilidade ou submissão a superiores equivocados; ações inconsistentes ou explosões emocionais podem destruir, em um único momento, uma confiança conquistada ao longo de anos.</w:t>
      </w:r>
    </w:p>
    <w:p>
      <w:pPr>
        <w:pStyle w:val="Heading3"/>
        <w:spacing w:after="100" w:before="200"/>
      </w:pPr>
      <w:r>
        <w:t xml:space="preserve">Buscar Apoio e Ajuda</w:t>
      </w:r>
    </w:p>
    <w:p>
      <w:pPr>
        <w:spacing w:after="160"/>
        <w:jc w:val="both"/>
      </w:pPr>
      <w:r>
        <w:t xml:space="preserve">Todas as soluções organizacionais resultam em resoluções imperfeitas; líderes precisam de amigos, aliados e pares para sustentar sua integridade e compromisso ao longo do tempo, evitando tanto o isolamento profissional quanto sobrecarregar a própria família como única fonte de apoio.</w:t>
      </w:r>
    </w:p>
    <w:p>
      <w:pPr>
        <w:pStyle w:val="Heading1"/>
        <w:pageBreakBefore/>
        <w:spacing w:after="200" w:before="400"/>
      </w:pPr>
      <w:r>
        <w:t xml:space="preserve">Capítulo 5 — Valores de Liderança (Leadership Values)</w:t>
      </w:r>
    </w:p>
    <w:p>
      <w:pPr>
        <w:spacing w:after="160"/>
        <w:jc w:val="both"/>
      </w:pPr>
      <w:r>
        <w:t xml:space="preserve">Gestores são “os professores de ética” de suas organizações: seja intencionalmente ou não, moldam profundamente a vida ética da instituição, e as pessoas ao seu redor serão melhores ou piores por causa de sua presença — o que os torna stewards (guardiões) dos valores e da missão ética da organização. Este capítulo consolida, em uma lista de referência interna, os valores e traços de caráter já discutidos nos Capítulos 2 e 3, servindo como checklist de autorreflexão e de avaliação da composição ética de uma equipe.</w:t>
      </w:r>
    </w:p>
    <w:p>
      <w:pPr>
        <w:pStyle w:val="Heading2"/>
        <w:spacing w:after="150" w:before="300"/>
      </w:pPr>
      <w:r>
        <w:t xml:space="preserve">Valores Centrais de Liderança (Key Leading Values)</w:t>
      </w:r>
    </w:p>
    <w:p>
      <w:pPr>
        <w:pStyle w:val="ListParagraph"/>
        <w:numPr>
          <w:ilvl w:val="0"/>
          <w:numId w:val="2"/>
        </w:numPr>
        <w:spacing w:after="80"/>
      </w:pPr>
      <w:r>
        <w:t xml:space="preserve">Integridade (Integrity)</w:t>
      </w:r>
    </w:p>
    <w:p>
      <w:pPr>
        <w:pStyle w:val="ListParagraph"/>
        <w:numPr>
          <w:ilvl w:val="0"/>
          <w:numId w:val="2"/>
        </w:numPr>
        <w:spacing w:after="80"/>
      </w:pPr>
      <w:r>
        <w:t xml:space="preserve">Responsabilidade (Responsibility)</w:t>
      </w:r>
    </w:p>
    <w:p>
      <w:pPr>
        <w:pStyle w:val="ListParagraph"/>
        <w:numPr>
          <w:ilvl w:val="0"/>
          <w:numId w:val="2"/>
        </w:numPr>
        <w:spacing w:after="80"/>
      </w:pPr>
      <w:r>
        <w:t xml:space="preserve">Fidelidade e Coragem (Fidelity and Courage)</w:t>
      </w:r>
    </w:p>
    <w:p>
      <w:pPr>
        <w:pStyle w:val="ListParagraph"/>
        <w:numPr>
          <w:ilvl w:val="0"/>
          <w:numId w:val="2"/>
        </w:numPr>
        <w:spacing w:after="80"/>
      </w:pPr>
      <w:r>
        <w:t xml:space="preserve">Competência (Competence)</w:t>
      </w:r>
    </w:p>
    <w:p>
      <w:pPr>
        <w:pStyle w:val="ListParagraph"/>
        <w:numPr>
          <w:ilvl w:val="0"/>
          <w:numId w:val="2"/>
        </w:numPr>
        <w:spacing w:after="80"/>
      </w:pPr>
      <w:r>
        <w:t xml:space="preserve">Respeito (Respect)</w:t>
      </w:r>
    </w:p>
    <w:p>
      <w:pPr>
        <w:pStyle w:val="ListParagraph"/>
        <w:numPr>
          <w:ilvl w:val="0"/>
          <w:numId w:val="2"/>
        </w:numPr>
        <w:spacing w:after="80"/>
      </w:pPr>
      <w:r>
        <w:t xml:space="preserve">Veracidade e Honestidade (Truthfulness and Honesty)</w:t>
      </w:r>
    </w:p>
    <w:p>
      <w:pPr>
        <w:pStyle w:val="ListParagraph"/>
        <w:numPr>
          <w:ilvl w:val="0"/>
          <w:numId w:val="2"/>
        </w:numPr>
        <w:spacing w:after="80"/>
      </w:pPr>
      <w:r>
        <w:t xml:space="preserve">Responsabilização e Transparência (Accountability and Transparency)</w:t>
      </w:r>
    </w:p>
    <w:p>
      <w:pPr>
        <w:pStyle w:val="ListParagraph"/>
        <w:numPr>
          <w:ilvl w:val="0"/>
          <w:numId w:val="2"/>
        </w:numPr>
        <w:spacing w:after="80"/>
      </w:pPr>
      <w:r>
        <w:t xml:space="preserve">Inclusividade (Inclusiveness)</w:t>
      </w:r>
    </w:p>
    <w:p>
      <w:pPr>
        <w:pStyle w:val="ListParagraph"/>
        <w:numPr>
          <w:ilvl w:val="0"/>
          <w:numId w:val="2"/>
        </w:numPr>
        <w:spacing w:after="80"/>
      </w:pPr>
      <w:r>
        <w:t xml:space="preserve">Stewardship / Zelo Institucional (Stewardship)</w:t>
      </w:r>
    </w:p>
    <w:p>
      <w:pPr>
        <w:pStyle w:val="Heading3"/>
        <w:spacing w:after="100" w:before="200"/>
      </w:pPr>
      <w:r>
        <w:t xml:space="preserve">Integridade</w:t>
      </w:r>
    </w:p>
    <w:p>
      <w:pPr>
        <w:spacing w:after="160"/>
        <w:jc w:val="both"/>
      </w:pPr>
      <w:r>
        <w:t xml:space="preserve">É o valor-guia (lodestone) de toda a abordagem do livro: a capacidade de formar uma concepção de si mesmo e guiar ações com base nela, apoiada em quadros de julgamento adotados, treinados e internalizados.</w:t>
      </w:r>
    </w:p>
    <w:p>
      <w:pPr>
        <w:pStyle w:val="Heading3"/>
        <w:spacing w:after="100" w:before="200"/>
      </w:pPr>
      <w:r>
        <w:t xml:space="preserve">Responsabilidade</w:t>
      </w:r>
    </w:p>
    <w:p>
      <w:pPr>
        <w:spacing w:after="160"/>
        <w:jc w:val="both"/>
      </w:pPr>
      <w:r>
        <w:t xml:space="preserve">Bons líderes prometem cumprir as obrigações de seu cargo; a responsabilidade é a virtude gêmea da integridade, apoiando-se na autodisciplina de honrar promessas e assumir, sem se esconder, tanto o mérito quanto o ônus moral de erros e negligências.</w:t>
      </w:r>
    </w:p>
    <w:p>
      <w:pPr>
        <w:pStyle w:val="Heading3"/>
        <w:spacing w:after="100" w:before="200"/>
      </w:pPr>
      <w:r>
        <w:t xml:space="preserve">Fidelidade e Coragem</w:t>
      </w:r>
    </w:p>
    <w:p>
      <w:pPr>
        <w:spacing w:after="160"/>
        <w:jc w:val="both"/>
      </w:pPr>
      <w:r>
        <w:t xml:space="preserve">Fidelidade exige coragem: a força moral de cumprir fielmente promessas de sustentar a lei, os princípios e os valores necessários para realizar o trabalho de forma ética e legal, mesmo diante de obstáculos e tentações.</w:t>
      </w:r>
    </w:p>
    <w:p>
      <w:pPr>
        <w:pStyle w:val="Heading3"/>
        <w:spacing w:after="100" w:before="200"/>
      </w:pPr>
      <w:r>
        <w:t xml:space="preserve">Competência</w:t>
      </w:r>
    </w:p>
    <w:p>
      <w:pPr>
        <w:spacing w:after="160"/>
        <w:jc w:val="both"/>
      </w:pPr>
      <w:r>
        <w:t xml:space="preserve">Toda a realização da missão pública depende de conhecimento e habilidade para cumprir tarefas; cidadãos, colegas e parceiros estão entrelaçados em uma teia de dependência mútua da competência de cada um.</w:t>
      </w:r>
    </w:p>
    <w:p>
      <w:pPr>
        <w:pStyle w:val="Heading3"/>
        <w:spacing w:after="100" w:before="200"/>
      </w:pPr>
      <w:r>
        <w:t xml:space="preserve">Respeito</w:t>
      </w:r>
    </w:p>
    <w:p>
      <w:pPr>
        <w:spacing w:after="160"/>
        <w:jc w:val="both"/>
      </w:pPr>
      <w:r>
        <w:t xml:space="preserve">Fundamenta-se no reconhecimento da dignidade humana igual; exige civilidade e honestidade apropriada, reforçando compromissos com competência e responsabilidade.</w:t>
      </w:r>
    </w:p>
    <w:p>
      <w:pPr>
        <w:pStyle w:val="Heading3"/>
        <w:spacing w:after="100" w:before="200"/>
      </w:pPr>
      <w:r>
        <w:t xml:space="preserve">Veracidade e Honestidade</w:t>
      </w:r>
    </w:p>
    <w:p>
      <w:pPr>
        <w:spacing w:after="160"/>
        <w:jc w:val="both"/>
      </w:pPr>
      <w:r>
        <w:t xml:space="preserve">Requer autoavaliação honesta e evita o autoengano; sustenta a confiança necessária para que relatos precisos cheguem aos líderes e para que erros se tornem oportunidades de aprendizado, e não de punição.</w:t>
      </w:r>
    </w:p>
    <w:p>
      <w:pPr>
        <w:pStyle w:val="Heading3"/>
        <w:spacing w:after="100" w:before="200"/>
      </w:pPr>
      <w:r>
        <w:t xml:space="preserve">Responsabilização e Transparência</w:t>
      </w:r>
    </w:p>
    <w:p>
      <w:pPr>
        <w:spacing w:after="160"/>
        <w:jc w:val="both"/>
      </w:pPr>
      <w:r>
        <w:t xml:space="preserve">Amplia a obrigação fundamental de agências públicas de prestar contas a cidadãos (e organizações sem fins lucrativos a doadores e comunidades), sustentando sistemas de controle financeiro e canais seguros de denúncia.</w:t>
      </w:r>
    </w:p>
    <w:p>
      <w:pPr>
        <w:pStyle w:val="Heading3"/>
        <w:spacing w:after="100" w:before="200"/>
      </w:pPr>
      <w:r>
        <w:t xml:space="preserve">Inclusividade</w:t>
      </w:r>
    </w:p>
    <w:p>
      <w:pPr>
        <w:spacing w:after="160"/>
        <w:jc w:val="both"/>
      </w:pPr>
      <w:r>
        <w:t xml:space="preserve">Exige atenção ética a todos os stakeholders internos e externos, buscando ativamente grupos não organizados ou pouco poderosos para incluí-los nas deliberações, e protegendo contra a tendência humana de se sentir confortável apenas com pessoas semelhantes.</w:t>
      </w:r>
    </w:p>
    <w:p>
      <w:pPr>
        <w:pStyle w:val="Heading3"/>
        <w:spacing w:after="100" w:before="200"/>
      </w:pPr>
      <w:r>
        <w:t xml:space="preserve">Stewardship (Zelo Institucional)</w:t>
      </w:r>
    </w:p>
    <w:p>
      <w:pPr>
        <w:spacing w:after="160"/>
        <w:jc w:val="both"/>
      </w:pPr>
      <w:r>
        <w:t xml:space="preserve">Organizações e recursos não são dados a líderes para fins privados; cada líder gerencial herda uma organização, trabalha nela por um tempo e depois segue em frente, devendo deixar a capacidade organizacional intacta ou fortalecida para gerações futuras de líderes e para o propósito de longo prazo da missão.</w:t>
      </w:r>
    </w:p>
    <w:p>
      <w:pPr>
        <w:pStyle w:val="Heading1"/>
        <w:pageBreakBefore/>
        <w:spacing w:after="200" w:before="400"/>
      </w:pPr>
      <w:r>
        <w:t xml:space="preserve">Capítulo 6 — Comportamento Antiético e Deslizamento Ético (Unethical Behavior and Ethical Slippage)</w:t>
      </w:r>
    </w:p>
    <w:p>
      <w:pPr>
        <w:spacing w:after="160"/>
        <w:jc w:val="both"/>
      </w:pPr>
      <w:r>
        <w:t xml:space="preserve">O capítulo retoma o tema das “ameaças à integridade” do Capítulo 3, mas agora com foco explícito no comportamento antiético propriamente dito e nos padrões organizacionais que tornam esse comportamento mais ou menos provável. Dobel insiste que ética e legalidade, embora intimamente ligadas, não são a mesma coisa: a liderança ética exige compreender as razões por trás da lei e ser steward delas, preenchendo com julgamento os silêncios e lacunas das normas.</w:t>
      </w:r>
    </w:p>
    <w:p>
      <w:pPr>
        <w:pStyle w:val="Heading2"/>
        <w:spacing w:after="150" w:before="300"/>
      </w:pPr>
      <w:r>
        <w:t xml:space="preserve">Amplitude do Comportamento Antiético (Range of Unethical Behavior)</w:t>
      </w:r>
    </w:p>
    <w:p>
      <w:pPr>
        <w:pStyle w:val="ListParagraph"/>
        <w:numPr>
          <w:ilvl w:val="0"/>
          <w:numId w:val="2"/>
        </w:numPr>
        <w:spacing w:after="80"/>
      </w:pPr>
      <w:r>
        <w:t xml:space="preserve">Violações de Confiança (Violations of Trust)</w:t>
      </w:r>
    </w:p>
    <w:p>
      <w:pPr>
        <w:pStyle w:val="ListParagraph"/>
        <w:numPr>
          <w:ilvl w:val="0"/>
          <w:numId w:val="2"/>
        </w:numPr>
        <w:spacing w:after="80"/>
      </w:pPr>
      <w:r>
        <w:t xml:space="preserve">Autobeneficiamento / Self-Dealing</w:t>
      </w:r>
    </w:p>
    <w:p>
      <w:pPr>
        <w:pStyle w:val="ListParagraph"/>
        <w:numPr>
          <w:ilvl w:val="0"/>
          <w:numId w:val="2"/>
        </w:numPr>
        <w:spacing w:after="80"/>
      </w:pPr>
      <w:r>
        <w:t xml:space="preserve">Conflito de Interesse (Conflict of Interest)</w:t>
      </w:r>
    </w:p>
    <w:p>
      <w:pPr>
        <w:pStyle w:val="Heading3"/>
        <w:spacing w:after="100" w:before="200"/>
      </w:pPr>
      <w:r>
        <w:t xml:space="preserve">Violações de Confiança</w:t>
      </w:r>
    </w:p>
    <w:p>
      <w:pPr>
        <w:spacing w:after="160"/>
        <w:jc w:val="both"/>
      </w:pPr>
      <w:r>
        <w:t xml:space="preserve">Como guardiões de uma confiança pública (public trust), líderes violam essa confiança por meio de: Incompetência (a indiferença à qualidade do desempenho gera uma cascata de consequências para o bem-estar de cidadãos que dependem de serviços e da segurança de alimentos, água, ar ou edifícios); Abuso de Poder (usar poder e força — física ou psicológica — além do mandato conferido, para servir interesses, preconceitos ou afinidades ideológicas pessoais); Mentira (Lying) (corromper a boa informação, distorcendo ou ocultando fatos, o que corta a responsabilização pela raiz e inviabiliza o alto desempenho); Favoritismo (tratamento especial que rompe padrões consistentes e profissionais de tratamento, corroendo competência, confiança e legitimidade); Desrespeito (Disrespect) (tratar cidadãos e funcionários de forma que viola civilidade, veracidade e competência, muitas vezes disfarçado de “poupar sentimentos”); além de Discriminação e Silêncio/Fazer Vista Grossa (Looking the Other Way), que também constam nesta categoria, conforme discutido em outras seções do capítulo.</w:t>
      </w:r>
    </w:p>
    <w:p>
      <w:pPr>
        <w:pStyle w:val="Heading3"/>
        <w:spacing w:after="100" w:before="200"/>
      </w:pPr>
      <w:r>
        <w:t xml:space="preserve">Autobeneficiamento (Self-Dealing)</w:t>
      </w:r>
    </w:p>
    <w:p>
      <w:pPr>
        <w:spacing w:after="160"/>
        <w:jc w:val="both"/>
      </w:pPr>
      <w:r>
        <w:t xml:space="preserve">Esta categoria abrange comportamentos em que indivíduos convertem recursos ou poder públicos em benefício privado, incluindo Suborno (Bribery), Furto/Roubo (Theft), Ineficiência deliberada ou tolerada (Inefficiency), Conluio (Collusion) e Propina (Kickbacks). Em todos os casos, a fronteira entre interesse público e ganho pessoal é apagada em benefício do agente.</w:t>
      </w:r>
    </w:p>
    <w:p>
      <w:pPr>
        <w:pStyle w:val="Heading3"/>
        <w:spacing w:after="100" w:before="200"/>
      </w:pPr>
      <w:r>
        <w:t xml:space="preserve">Conflito de Interesse</w:t>
      </w:r>
    </w:p>
    <w:p>
      <w:pPr>
        <w:spacing w:after="160"/>
        <w:jc w:val="both"/>
      </w:pPr>
      <w:r>
        <w:t xml:space="preserve">Ocorre quando pessoas com interesses pessoais concorrentes tomam decisões que deveriam ser guiadas exclusivamente pelo interesse público, comprometendo a imparcialidade do julgamento mesmo quando nenhuma norma é violada de forma explícita.</w:t>
      </w:r>
    </w:p>
    <w:p>
      <w:pPr>
        <w:pStyle w:val="Heading2"/>
        <w:spacing w:after="150" w:before="300"/>
      </w:pPr>
      <w:r>
        <w:t xml:space="preserve">Padrões de Vulnerabilidade e Deslizamento Ético (Patterns of Ethical Vulnerability and Slippage)</w:t>
      </w:r>
    </w:p>
    <w:p>
      <w:pPr>
        <w:spacing w:after="160"/>
        <w:jc w:val="both"/>
      </w:pPr>
      <w:r>
        <w:t xml:space="preserve">Dobel propõe um modelo de “pontos de vulnerabilidade” (vulnerability points) que gestores devem monitorar continuamente, organizados em torno do Ponto de Desempenho da Tarefa (Point of Task Performance) e resumidos na Tabela 6.1, “Pontos de Alavancagem Gerencial para o Deslizamento Ético” (Management Leverage Points for Ethical Slippage).</w:t>
      </w:r>
    </w:p>
    <w:p>
      <w:pPr>
        <w:pStyle w:val="Heading3"/>
        <w:spacing w:after="100" w:before="200"/>
      </w:pPr>
      <w:r>
        <w:t xml:space="preserve">Elementos Internos (Internal Elements)</w:t>
      </w:r>
    </w:p>
    <w:p>
      <w:pPr>
        <w:spacing w:after="160"/>
        <w:jc w:val="both"/>
      </w:pPr>
      <w:r>
        <w:t xml:space="preserve">Incluem o nível de Treinamento/Expertise do pessoal (o despreparo aumenta a vulnerabilidade a erros e atalhos antiéticos); o Nível de Discrição (quanto maior a discrição concedida a um cargo, maior o risco, se não acompanhada de supervisão e cultura adequadas); o uso de novas Tecnologias (mudanças tecnológicas introduzem riscos não testados e podem exigir novos padrões de responsabilização); e o Nível de Recursos disponíveis (recursos insuficientes geram atalhos, sobrecarga e degradação silenciosa do desempenho).</w:t>
      </w:r>
    </w:p>
    <w:p>
      <w:pPr>
        <w:pStyle w:val="Heading3"/>
        <w:spacing w:after="100" w:before="200"/>
      </w:pPr>
      <w:r>
        <w:t xml:space="preserve">Elementos Externos (External Elements)</w:t>
      </w:r>
    </w:p>
    <w:p>
      <w:pPr>
        <w:spacing w:after="160"/>
        <w:jc w:val="both"/>
      </w:pPr>
      <w:r>
        <w:t xml:space="preserve">Incluem Normas de Pares (Peer Norms) que podem reforçar ou corroer os padrões oficiais; Desigualdade (Inequality) e diferenças de poder entre a organização e a população servida; a gestão de fronteiras (Boundary Management) com atores externos; pressões de Concorrentes e Colaboradores (Competitors and Collaborators); dinâmicas de Poder (Power) desiguais; questões de Financiamento (Funding-related); e as Expectativas externas que, quando desalinhadas com os recursos reais, aumentam a pressão para deslizamento ético.</w:t>
      </w:r>
    </w:p>
    <w:p>
      <w:pPr>
        <w:spacing w:after="160"/>
        <w:jc w:val="both"/>
      </w:pPr>
      <w:r>
        <w:t xml:space="preserve">O capítulo conclui com uma lista de práticas recomendadas para conter o deslizamento: celebrar e recompensar sucessos e melhorias diante de desafios éticos e de desempenho; oferecer treinamento suficiente para que as pessoas tenham confiança para decidir; ao introduzir novas tecnologias, garantir recursos e tempo de transição adequados e monitorar quedas de desempenho; trabalhar para conquistar atores informais influentes para os valores da organização; e agir rapidamente para evitar contágio e ciclos descendentes assim que um deslizamento ético é identificado, buscando ajuda externa quando necessário.</w:t>
      </w:r>
    </w:p>
    <w:p>
      <w:pPr>
        <w:pStyle w:val="Heading2"/>
        <w:spacing w:after="150" w:before="300"/>
      </w:pPr>
      <w:r>
        <w:t xml:space="preserve">Perguntas de Discussão em Nível de Doutorado (PhD) — Capítulo 6</w:t>
      </w:r>
    </w:p>
    <w:p>
      <w:pPr>
        <w:spacing w:after="160"/>
        <w:jc w:val="both"/>
      </w:pPr>
      <w:r>
        <w:t xml:space="preserve">As perguntas a seguir foram formuladas para estimular debate crítico e análise teórica avançada sobre os conceitos centrais do Capítulo 6.</w:t>
      </w:r>
    </w:p>
    <w:p>
      <w:pPr>
        <w:spacing w:after="200"/>
        <w:jc w:val="both"/>
      </w:pPr>
      <w:r>
        <w:rPr>
          <w:b/>
          <w:bCs/>
        </w:rPr>
        <w:t xml:space="preserve">1. </w:t>
      </w:r>
      <w:r>
        <w:t xml:space="preserve">Dobel distingue analiticamente “violações de confiança”, “autobeneficiamento” (self-dealing) e “conflito de interesse” como três categorias relativamente distintas de comportamento antiético, ainda que reconheça sobreposições entre elas. Em que medida essa tipologia tripartite resiste a um teste empírico rigoroso, e que critérios teóricos poderiam ser propostos para distinguir, de forma não circular, um deslizamento ético estrutural (produzido por vulnerabilidades organizacionais, como as listadas na Tabela 6.1) de uma escolha moralmente culpável e deliberada do agente individual? Como essa distinção afeta os pressupostos normativos sobre responsabilização (accountability) que sustentam todo o modelo do livro?</w:t>
      </w:r>
    </w:p>
    <w:p>
      <w:pPr>
        <w:spacing w:after="200"/>
        <w:jc w:val="both"/>
      </w:pPr>
      <w:r>
        <w:rPr>
          <w:b/>
          <w:bCs/>
        </w:rPr>
        <w:t xml:space="preserve">2. </w:t>
      </w:r>
      <w:r>
        <w:t xml:space="preserve">O modelo de “pontos de alavancagem gerencial” (management leverage points) proposto por Dobel pressupõe que gestores possuem capacidade cognitiva e temporal suficiente para monitorar simultaneamente múltiplos elementos internos (treinamento, discrição, tecnologia, recursos) e externos (normas de pares, desigualdade, poder, financiamento, expectativas) de vulnerabilidade ética. À luz da literatura sobre racionalidade limitada (bounded rationality) e sobrecarga cognitiva em contextos de alta pressão, esse modelo é praticável como ferramenta prescritiva de gestão, ou funciona melhor como dispositivo heurístico pós-hoc para explicar falhas já ocorridas? Que evidências empíricas seriam necessárias para testar sua validade preditiva?</w:t>
      </w:r>
    </w:p>
    <w:p>
      <w:pPr>
        <w:spacing w:after="200"/>
        <w:jc w:val="both"/>
      </w:pPr>
      <w:r>
        <w:rPr>
          <w:b/>
          <w:bCs/>
        </w:rPr>
        <w:t xml:space="preserve">3. </w:t>
      </w:r>
      <w:r>
        <w:t xml:space="preserve">Dobel argumenta que ética e legalidade estão intimamente ligadas, mas não são idênticas, e que a liderança ética exige atuar nos “silêncios” e lacunas da lei guiada por valores e propósito organizacional. Contudo, essa mesma discrição interpretativa é, no capítulo, também identificada como fonte de vulnerabilidade ao deslizamento ético (por exemplo, via “rigidez” de um lado ou uso indevido de discrição do outro, discutidos no Capítulo 3). Como a teoria da ética da administração pública pode resolver essa tensão aparente entre discrição como virtude necessária e discrição como vetor de risco? É possível construir um critério normativo que distinga, ex ante, o exercício legítimo de discrição interpretativa do primeiro passo em direção ao deslizamento ético descrito na Tabela 6.1?</w:t>
      </w:r>
    </w:p>
    <w:p>
      <w:pPr>
        <w:pStyle w:val="Heading1"/>
        <w:pageBreakBefore/>
        <w:spacing w:after="200" w:before="400"/>
      </w:pPr>
      <w:r>
        <w:t xml:space="preserve">Capítulo 7 — Liderança Orientada por Valores: Pensando em Múltiplas Dimensões (Value Driven Leading: Thinking in Multiple Dimensions)</w:t>
      </w:r>
    </w:p>
    <w:p>
      <w:pPr>
        <w:spacing w:after="160"/>
        <w:jc w:val="both"/>
      </w:pPr>
      <w:r>
        <w:t xml:space="preserve">O capítulo conclusivo integra todos os elementos anteriores — valores e caráter (Capítulos 2, 3 e 5), o modelo organizacional de integridade (Capítulo 4) e o mapa de deslizamento ético (Capítulo 6) — em um modelo cognitivo unificado de quatro dimensões que o líder deve percorrer continuamente ao decidir e agir, mantendo alinhamento entre integridade pessoal, missão institucional e sustentabilidade política e de recursos.</w:t>
      </w:r>
    </w:p>
    <w:p>
      <w:pPr>
        <w:pStyle w:val="Heading2"/>
        <w:spacing w:after="150" w:before="300"/>
      </w:pPr>
      <w:r>
        <w:t xml:space="preserve">As Quatro Dimensões da Liderança Orientada por Valores</w:t>
      </w:r>
    </w:p>
    <w:p>
      <w:pPr>
        <w:pStyle w:val="ListParagraph"/>
        <w:numPr>
          <w:ilvl w:val="0"/>
          <w:numId w:val="2"/>
        </w:numPr>
        <w:spacing w:after="80"/>
      </w:pPr>
      <w:r>
        <w:t xml:space="preserve">Compreender os próprios valores, caráter e compromisso com a missão</w:t>
      </w:r>
    </w:p>
    <w:p>
      <w:pPr>
        <w:pStyle w:val="ListParagraph"/>
        <w:numPr>
          <w:ilvl w:val="0"/>
          <w:numId w:val="2"/>
        </w:numPr>
        <w:spacing w:after="80"/>
      </w:pPr>
      <w:r>
        <w:t xml:space="preserve">Administrar o significado de incidentes ou desafios individuais (meaning-making)</w:t>
      </w:r>
    </w:p>
    <w:p>
      <w:pPr>
        <w:pStyle w:val="ListParagraph"/>
        <w:numPr>
          <w:ilvl w:val="0"/>
          <w:numId w:val="2"/>
        </w:numPr>
        <w:spacing w:after="80"/>
      </w:pPr>
      <w:r>
        <w:t xml:space="preserve">Agir para construir normas organizacionais e direção de política de longo prazo</w:t>
      </w:r>
    </w:p>
    <w:p>
      <w:pPr>
        <w:pStyle w:val="ListParagraph"/>
        <w:numPr>
          <w:ilvl w:val="0"/>
          <w:numId w:val="2"/>
        </w:numPr>
        <w:spacing w:after="80"/>
      </w:pPr>
      <w:r>
        <w:t xml:space="preserve">Assegurar o poder e os recursos necessários para resultados resilientes</w:t>
      </w:r>
    </w:p>
    <w:p>
      <w:pPr>
        <w:spacing w:after="160"/>
        <w:jc w:val="both"/>
      </w:pPr>
      <w:r>
        <w:t xml:space="preserve">Dobel enfatiza que cada incidente cotidiano é uma oportunidade de “criação de sentido” (meaning-making): o modo como um líder interpreta e responde a um desafio específico não apenas resolve aquele caso, mas também define precedentes, normas e a cultura de longo prazo da organização. Por isso, o líder orientado por valores precisa treinar-se para manter a autoconsciência mesmo sob pressão, evitando o “bloqueio de quadro” (frame lock) que a rotina e o estresse tendem a produzir.</w:t>
      </w:r>
    </w:p>
    <w:p>
      <w:pPr>
        <w:spacing w:after="160"/>
        <w:jc w:val="both"/>
      </w:pPr>
      <w:r>
        <w:t xml:space="preserve">A dimensão final — assegurar poder e recursos — reforça o realismo político do livro: nenhuma solução ética é autossustentável; toda ação organizacional precisa do apoio contínuo de poder, orçamento e legitimidade política para sobreviver à oposição e às limitações de recursos ao longo do tempo. O capítulo argumenta que a liderança orientada por valores, praticada de forma consistente, transforma-se em hábitos cognitivos internalizados — quadros mentais que o líder carrega e aciona automaticamente diante de novas situações.</w:t>
      </w:r>
    </w:p>
    <w:p>
      <w:pPr>
        <w:pStyle w:val="Heading1"/>
        <w:pageBreakBefore/>
        <w:spacing w:after="200" w:before="400"/>
      </w:pPr>
      <w:r>
        <w:t xml:space="preserve">Conclusão</w:t>
      </w:r>
    </w:p>
    <w:p>
      <w:pPr>
        <w:spacing w:after="160"/>
        <w:jc w:val="both"/>
      </w:pPr>
      <w:r>
        <w:t xml:space="preserve">A Conclusão amarra os fios do livro reafirmando que a integridade e os valores éticos não são acessórios da boa gestão pública, mas sua condição de possibilidade. O desempenho de alta qualidade e sustentado ao longo do tempo depende de gestores que integrem, de forma consciente e treinada, o compromisso ético diário à construção de cultura organizacional, à proteção contra deslizamentos e à mobilização de poder e recursos — todos temas desenvolvidos ao longo dos sete capítulos anteriores.</w:t>
      </w:r>
    </w:p>
    <w:p>
      <w:pPr>
        <w:pStyle w:val="Heading1"/>
        <w:pageBreakBefore/>
        <w:spacing w:after="200" w:before="400"/>
      </w:pPr>
      <w:r>
        <w:t xml:space="preserve">Apêndice — Habilidades e Comportamentos para a Liderança Orientada por Valores (Skill and Behaviors for Value Driven Leading)</w:t>
      </w:r>
    </w:p>
    <w:p>
      <w:pPr>
        <w:spacing w:after="160"/>
        <w:jc w:val="both"/>
      </w:pPr>
      <w:r>
        <w:t xml:space="preserve">O Apêndice traduz o modelo teórico em uma lista prática de habilidades e comportamentos concretos que o líder pode adotar no dia a dia, funcionando como checklist operacional. Entre os comportamentos destacados estão: celebrar e recompensar sucessos e melhorias diante de desafios éticos e de desempenho; oferecer treinamento suficiente para que as pessoas tenham confiança em suas decisões; ao introduzir novas tecnologias, fornecer recursos adequados para o treinamento da equipe, prever período de transição e monitorar deslizamentos de desempenho; trabalhar para conquistar atores informais influentes para os valores e expectativas da organização; e agir rapidamente para evitar contágio e ciclos descendentes quando um deslizamento ético é identificado, buscando ajuda quando necessário para tratar as vulnerabilidades o quanto antes.</w:t>
      </w:r>
    </w:p>
    <w:p>
      <w:pPr>
        <w:spacing w:after="160"/>
        <w:jc w:val="both"/>
      </w:pPr>
      <w:r>
        <w:t xml:space="preserve">O livro encerra-se com um Índice remissivo detalhado, organizando por tema (accountability, integrity, leadership values, organizational culture, power, unethical behavior and ethical slippage, value-driven leadership, entre outros) as referências cruzadas a todos os capítulos — reforçando visualmente como os mesmos conceitos centrais (integridade, discrição, confiança, poder, stewardship) atravessam e conectam toda a obra, do Capítulo 1 ao Apêndice.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2026-09-20T04:26:34.951Z</dcterms:created>
  <dcterms:modified xsi:type="dcterms:W3CDTF">2026-09-20T04:26:34.963Z</dcterms:modified>
</cp:coreProperties>
</file>

<file path=docProps/custom.xml><?xml version="1.0" encoding="utf-8"?>
<Properties xmlns="http://schemas.openxmlformats.org/officeDocument/2006/custom-properties" xmlns:vt="http://schemas.openxmlformats.org/officeDocument/2006/docPropsVTypes"/>
</file>