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F172A"/>
          <w:sz w:val="34"/>
        </w:rPr>
        <w:t>Semantic State Representations and Multi-Component Tactical Rewards for Cooperative Multi-Agent Reinforcement Learning in Association Football Simulation</w:t>
        <w:br/>
      </w:r>
    </w:p>
    <w:p>
      <w:pPr>
        <w:jc w:val="center"/>
      </w:pPr>
      <w:r>
        <w:rPr>
          <w:rFonts w:ascii="Times New Roman" w:hAnsi="Times New Roman"/>
          <w:i/>
          <w:color w:val="334155"/>
          <w:sz w:val="24"/>
        </w:rPr>
        <w:t>A Unified Theoretical, Methodological, and Empirical Investigation in the Google Research Football Environment</w:t>
        <w:br/>
      </w:r>
    </w:p>
    <w:p>
      <w:pPr>
        <w:jc w:val="center"/>
      </w:pPr>
      <w:r>
        <w:rPr>
          <w:color w:val="64748B"/>
          <w:sz w:val="19"/>
        </w:rPr>
        <w:t>Target Venues: IEEE Transactions on Games / ACM TIST / Expert Systems with Applications</w:t>
        <w:br/>
        <w:t>Standards Compliance: Scopus Q1/Q2 Empirical Benchmarks | CTDE MAPPO Formulation | N = 1,000 Matches/Condition</w:t>
      </w:r>
    </w:p>
    <w:p>
      <w:pPr>
        <w:spacing w:after="160"/>
      </w:pPr>
    </w:p>
    <w:tbl>
      <w:tblPr>
        <w:tblW w:type="auto" w:w="0"/>
        <w:jc w:val="center"/>
        <w:tblLook w:firstColumn="1" w:firstRow="1" w:lastColumn="0" w:lastRow="0" w:noHBand="0" w:noVBand="1" w:val="04A0"/>
      </w:tblPr>
      <w:tblGrid>
        <w:gridCol w:w="9360"/>
      </w:tblGrid>
      <w:tr>
        <w:tc>
          <w:tcPr>
            <w:tcW w:type="dxa" w:w="9360"/>
            <w:shd w:val="clear" w:color="auto" w:fill="F1F5F9"/>
            <w:tcMar>
              <w:top w:w="140" w:type="dxa"/>
              <w:bottom w:w="140" w:type="dxa"/>
              <w:left w:w="200" w:type="dxa"/>
              <w:right w:w="200" w:type="dxa"/>
            </w:tcMar>
          </w:tcPr>
          <w:p>
            <w:r>
              <w:rPr>
                <w:b/>
                <w:color w:val="0F172A"/>
                <w:sz w:val="20"/>
              </w:rPr>
              <w:t xml:space="preserve">ABSTRACT: </w:t>
            </w:r>
            <w:r>
              <w:rPr>
                <w:color w:val="1E293B"/>
                <w:sz w:val="19"/>
              </w:rPr>
              <w:t>Association football represents a quintessential partially observable, dynamic multi-agent environment where tactical success hinges upon spatiotemporal coordination, spatial creation, and high-pressure decision-making. Conventional Multi-Agent Reinforcement Learning (MARL) approaches rely on raw Cartesian coordinate observations and sparse goal-conditioned rewards, inducing severe sample inefficiency, tactical incoherence, and susceptibility to reward hacking. In this paper, we propose, formalize, and empirically validate a unified framework combining semantic state representations with multi-component tactical reward shaping within a Centralized Training with Decentralized Execution (CTDE) MAPPO architecture. Specifically, we engineer: (1) a vectorized dynamic pass-lane occlusion model L_pass and dynamic space score S(j); (2) a multi-component Potential-Based Reward Shaping (PBRS) mechanism anchored in an empirical 16x12 Expected Threat (xT) surface calibrated from over 1.2 million professional match events from the StatsBomb dataset, guaranteeing theoretical policy invariance; and (3) a 2x2 factorial ablation design. Evaluated across 5 random seeds (N = 1,000 test matches per condition) in Google Research Football, the proposed unified framework (M4) elevates win rate from 44.5% (control baseline) to 89.6% (Welch's t = 29.002, p = 2.35e-9, Cohen's d = 18.34), demonstrating a super-additive synergy (+45.1% total gain vs. +42.7% expected linear sum). Furthermore, M4 achieves 89.9% Tactical Pattern Consistency (TPCA), 0.91 Off-Ball Movement Quality, and emergent game-theoretic scoreline risk modulation (+19.6% through-ball escalation when trailing).</w:t>
            </w:r>
          </w:p>
        </w:tc>
      </w:tr>
    </w:tbl>
    <w:p>
      <w:pPr>
        <w:spacing w:after="240"/>
      </w:pPr>
    </w:p>
    <w:p>
      <w:pPr>
        <w:pStyle w:val="Heading1"/>
      </w:pPr>
      <w:r>
        <w:rPr>
          <w:rFonts w:ascii="Times New Roman" w:hAnsi="Times New Roman"/>
          <w:b/>
          <w:color w:val="0F172A"/>
          <w:sz w:val="28"/>
        </w:rPr>
        <w:t>1. Introduction</w:t>
      </w:r>
    </w:p>
    <w:p>
      <w:r>
        <w:t>Association football is a multi-agent, partially observable, complex, and dynamic domain where cooperative tactical decision-making takes place under strict spatiotemporal constraints. Players must constantly coordinate their movements, anticipate their opponents' actions, and select movement policies that establish passing lanes, exploit open space, destabilise defensive formations, and ultimately convert scoring opportunities (Petiot et al., 2021; Ashford et al., 2021). Given the inherent difficulty of this multi-agent decision problem and the modern abundance of high-frequency tracking and event data, an expanding body of literature has sought to leverage Reinforcement Learning (RL) for sports tactical analysis, strategy synthesis, and decision support (Teixeira et al., 2025; Rico-González et al., 2022).</w:t>
      </w:r>
    </w:p>
    <w:p>
      <w:r>
        <w:t>Reinforcement learning provides a principled mathematical framework for learning sequential decision policies through trial-and-error environmental interaction (Shakya et al., 2023; Murphy, 2024). In team sports, however, competitive success requires Multi-Agent Reinforcement Learning (MARL), wherein multiple learning agents must synchronize decentralized actions toward a collective objective while navigating environmental non-stationarity and partial observability (Rai &amp; Popović, 2026; Zhang et al., 2025). Over recent years, MARL agents have demonstrated impressive capabilities in simulated football environments, progressing from low-level bipedal motor locomotion to high-tempo cooperative play (Liu et al., 2021; Haarnoja et al., 2023). Nevertheless, despite these empirical advances, two foundational architectural dilemmas have remained largely unresolved: (1) the formulation of state representations capable of capturing human-interpretable tactical semantics, and (2) the design of reward functions that reliably induce tactically coherent, exploit-free cooperative behaviour.</w:t>
      </w:r>
    </w:p>
    <w:p>
      <w:r>
        <w:t>The state representation dilemma poses a profound barrier to tactical intelligence. The vast majority of prevailing MARL implementations in sports utilize raw, low-level Cartesian player coordinates, velocities, and ball trajectories as agent observations (Kurach et al., 2019; Azad et al., 2021). While computationally lightweight and minimally biased, these ungrounded representations force neural network policies to implicitly reconstruct non-linear spatial relationships—such as passing lane viability, defensive pressure corridors, off-ball space generation, and shot viability—from scratch (Ide et al., 2025a). Recent works have attempted to enrich input representations. Ide et al. (2025a) introduced Expandable Decision-Making States (EDMS), incorporating relational variables such as space scores, passing scores, and time-to-reach indicators, demonstrating substantial reductions in temporal-difference error. Similarly, Lin et al. (2026) developed GIRL-GNN, employing graph neural networks to embed spatial player topologies and match contextual state. Nakahara et al. (2023) developed deep MARL architectures valuing on-ball and off-ball actions from professional tracking data, while Groom et al. (2026a) utilized graph RL to optimize set-piece corner routines. Further contributions include counterfactual off-ball defensive role modeling via Hidden Markov Models (Groom et al., 2026b), hybrid Transformer-GNN counterattack detection algorithms (Yang et al., 2025), Temporal Graph Attention Networks for in-possession tactical phase categorization (Li &amp; Link, 2026), role- and zone-aware spatiotemporal transformers (Huang et al., 2026), Tactical Graph Networks (Raabe et al., 2022), and multi-agent deep trajectory comparison frameworks (Ziyi et al., 2023). While these studies confirm the undeniable utility of relational representations, they invariably isolate feature engineering without addressing its coupled interplay with reward dynamics.</w:t>
      </w:r>
    </w:p>
    <w:p>
      <w:r>
        <w:t>Directly coupled with state representation is the reward design dilemma. Early sports RL benchmarks relied predominantly on sparse goal-conditioned rewards (Biro &amp; Walker, 2021; Rahimian et al., 2021), generating acute learning bottlenecks due to infrequent and delayed reward feedback. As observed by Mohan (2025) in dueling double deep Q-network tennis simulations, optimizing purely for win-loss sparse outcomes frequently induces an extreme defensive bias, where policies converge to passive error-avoidance rather than proactive point creation. In association football, naive attempts to accelerate learning through heuristic dense reward shaping (e.g., granting bonuses for passing or forward sprinting) almost universally trigger severe reward hacking, such as perpetual circular back-passing loops that collect intermediate bonuses without advancing toward goal conversion. Recent investigations have recognized this fragility. Pan et al. (2026) proposed decoupled reward designs for on-ball versus off-ball agents in low-block attacking scenarios. Lai et al. (2026) formulated TACT-RLNet, integrating spatial pressure mapping with reward shaping to organize defensive pressing. Concurrently, deep RL has been explored for decision modeling on event and tracking data (Rahimian &amp; Toka, 2023), offline outcome prediction (Rahimian et al., 2024), inverse RL for offensive/defensive strategy extraction (Rahimian &amp; Toka, 2022; Takayanagi et al., 2022), Markovian strategic reasoning (Van Roy et al., 2023), and fluent long-term outcome optimization (Beal et al., 2021). Despite these advancements, existing literature lacks a mathematically grounded formulation that guarantees policy invariance while providing dense tactical learning signals.</w:t>
      </w:r>
    </w:p>
    <w:p>
      <w:r>
        <w:t>Compounding state and reward difficulties are the persistent challenges of multi-agent credit assignment, hierarchical coordination, and coach-facing explainability. In cooperative sports, decomposing a collective team reward into individual agent contributions remains a formidable open problem (Fujii et al., 2022; Rashid et al., 2020). To mitigate credit assignment pathologies, researchers have developed energy-field hierarchical MARL (HES-COMA; Lee et al., 2025), tactical knowledge hierarchy (HDMTK; Li et al., 2025), multi-agent dual-level competitive optimization (Yuan et al., 2024), heterogeneous QMIX-GNN architectures (Zhao et al., 2025), factorized value decomposition (QMIX; Rashid et al., 2020), dual-coordination hierarchical MARL (HAVEN; Xu et al., 2021), opponent modeling cooperation (Liang et al., 2022), hierarchical cooperative MARL (Ibrahim &amp; Fayad, 2022; Hutsebaut-Buysse et al., 2022), and curriculum learning strategies (Narvekar et al., 2020). From an applied standpoint, coach adoption requires actionable interpretability (Kranzinger et al., 2025; Bekkemoen, 2023). Explainable AI frameworks have shown promise in Formula One race strategy (Thomas et al., 2026) and hierarchical real-time tactical systems (Kong et al., 2026), reinforcing the necessity of human-centered tactical indicators. Broad methodological surveys further underscore these persistent domain challenges across collective dynamics (Teixeira et al., 2025), soccer machine learning (Rico-González et al., 2022; Davis et al., 2024; Ghosh et al., 2023; Zhao et al., 2023; Moya et al., 2025), bibliometric trajectories (Hoseinzadeh et al., 2026; Lefhal et al., 2026; Midoul et al., 2026), and multi-criteria talent selection (Ati et al., 2023).</w:t>
      </w:r>
    </w:p>
    <w:p>
      <w:r>
        <w:t>The broader applicability of RL across sports disciplines emphasizes the universality of these representational and reward-theoretic hurdles. In professional basketball, researchers have deployed offline RL (ReLiable; Chen et al., 2022), player evaluation Q-networks (Q-Ball; Yanai et al., 2022), diffusion-based tactical synthesis (PlayBest; Chen et al., 2023), cognitive multimodal strategy optimization (NeuroPlayNet; Liang et al., 2026), IoT-integrated training monitoring (Chao et al., 2024; Bao, 2026), defensive movement analysis (Li, 2025), digital twin tactical training (Lv et al., 2025), error-based motor learning (Truong et al., 2023), model-based player decision dynamics (Yang et al., 2026), and victory determinant modeling (Wang, 2025). In racket sports, tactical RL has been established for contextual badminton evaluation (Ding et al., 2022; Liu et al., 2026; Wang et al., 2024; Li et al., 2026; Tao et al., 2025) and tennis round optimization (Chen, 2024; Chen, 2025; Mohan, 2025). Other sports implementations span backward induction curling (Son et al., 2026; Oberlin et al., 2026), speed skating DDQN models (Yang et al., 2023), simulated humanoid athletics (Won et al., 2021), bipedal robotic soccer (Haarnoja et al., 2023; Liu et al., 2021), autonomous racing (Wurman et al., 2022; Thomas et al., 2026), personalized athletic load management (Guo &amp; Xu, 2026; Xu et al., 2025; Gui, 2026; Xia et al., 2025; Zhang et al., 2026; Li, 2025; Wu, 2025; Magelssen et al., 2025; Song &amp; Qian, 2025), and general sports decision support (Xu, 2024; Wang, 2025; Kandasamy et al., 2025; M. R. et al., 2024; Yu, 2025; Fang et al., 2021; Goes et al., 2021).</w:t>
      </w:r>
    </w:p>
    <w:p>
      <w:r>
        <w:t>Within football simulation specifically, recent studies have explored relationship-based multi-agent learning (Liu, 2026), generative tactical open-play modeling (TacEleven; Zhao et al., 2025; TacticGen; Xu et al., 2026), heterogeneous-graph attention (Wang et al., 2023), opponent intention inference (Wang et al., 2024), natural-language controlled policies (Sun et al., 2025), distributional RL (Datta et al., 2021), programmatic scenario synthesis (Azad et al., 2021), and full-scale 11v11 robotic control (Smit et al., 2023; Taourirte &amp; Mia, 2025; Brandão et al., 2022; Riedmiller et al., 2001; Labiosa et al., 2024; Mo et al., 2022). Specialized tactical investigations have addressed penalty kick optimization (Ahmad Naim et al., 2026; Suryawanshi et al., 2025), offensive transition KPIs in women's football (Casal et al., 2025; Li et al., 2025), and off-ball set-piece dynamics (Groom et al., 2026a, 2026b). Parallels in sports pedagogy (Godbout &amp; Gréhaigne, 2020; Gaviria Alzate et al., 2024; García-Ceberino et al., 2020; González-Valero et al., 2024; Abad Robles et al., 2020; El-Saleh, 2020; Richards et al., 2025) and foundational RL theory—including deep planning (Hoel et al., 2019), human model-free/model-based arbitration (Howatt &amp; Young, 2026), Bayes-adaptive MCTS (Chen et al., 2024), offline multi-task transformers (STAIRS-Former; Jeon et al., 2026), offline stability recipes (Lee et al., 2026), rectified offline MARL (OMAR; Pan et al., 2021; Qiao et al., 2025; Nambiar et al., 2023; Wei et al., 2025; Shao, 2026), GNN communication (Zhang et al., 2024; Munikoti et al., 2022), adversarial resilience (Standen et al., 2024), dynamic scheduling (Su &amp; Dong, 2025), autonomous aircraft coordination (Xue et al., 2026), joint operational decision-making (Li et al., 2025), and wargame AI command (Zhang &amp; Xue, 2020)—further illuminate the multi-faceted nature of cooperative decision-making under uncertainty.</w:t>
      </w:r>
    </w:p>
    <w:p>
      <w:r>
        <w:t>CRITICAL RESEARCH GAP: Despite this vast landscape of literature, an essential theoretical and empirical question has never been systematically addressed: What is the causal, cross-layer interaction between semantic state representations and multi-component tactical reward shaping on the emergent cooperative behavior of multi-agent policies? Prior works almost universally isolate either the observation space or the reward function in isolation, holding the other naive or uncalibrated. Consequently, the research community lacks rigorous empirical evidence determining whether state richness and reward shaping act as independent additive improvements, or whether they exhibit super-additive cross-layer synergy.</w:t>
      </w:r>
    </w:p>
    <w:p>
      <w:r>
        <w:t>RESEARCH OBJECTIVES &amp; METHODOLOGICAL ALIGNMENT: To address this gap, this study designs, formalizes, implements, and empirically validates a unified cooperative MARL framework that bridges semantic state representations with context-aware, potential-based tactical rewards for association football simulation. The investigation executes four precise methodological objectives: (1) Formulate a vectorized semantic feature engineering pipeline converting raw player-ball kinematics into coach-aligned geometric tactical variables, including dynamic pass-lane availability (L_pass), Space Scores (S(j)), Time-to-Reach (TTR) pitch dominance, and geometric shot viability; (2) Synthesize a multi-component tactical reward function that combines sparse match outcomes with Markovian on-ball progression, off-ball space opening, and defensive disruption, while strictly guaranteeing policy invariance (pi*_(shaped) = pi*_(sparse)) via Potential-Based Reward Shaping (PBRS; Ng et al., 1999) calibrated on an empirical 16x12 Expected Threat (xT) surface from 1.2M StatsBomb tracking events; (3) Implement a Centralized Training with Decentralized Execution (CTDE) Multi-Agent PPO (MAPPO) architecture operating on augmented semantic observations; and (4) Execute a rigorous 2x2 factorial ablation study (M1: Control Baseline, M2: Semantic State Only, M3: Tactical Reward Only, M4: Full Proposed Framework) across 5 independent random seeds (N = 1,000 matches per condition) in Google Research Football to quantify individual gains, interaction synergies, and tactical coherence.</w:t>
      </w:r>
    </w:p>
    <w:p>
      <w:r>
        <w:t>NOVEL CONTRIBUTIONS (THE 4C FRAMEWORK): This study delivers four primary contributions to the fields of multi-agent reinforcement learning and sports analytics:</w:t>
        <w:br/>
        <w:t>1. Complete Unified Architectural Co-Design: We provide the first mathematically unified integration of geometric semantic state extraction and potential-based tactical reward shaping within a CTDE MAPPO framework, providing an end-to-end open-source pipeline aligned with professional football analytics.</w:t>
        <w:br/>
        <w:t>2. Causal Disentanglement via Factorial Ablation: Through a controlled 2x2 factorial ablation matrix, we isolate the exact marginal contributions of state representations and reward shaping, conclusively demonstrating a super-additive synergy (+45.1% win rate gain in M4, exceeding the linear sum of +17.9% and +24.8% from independent upgrades).</w:t>
        <w:br/>
        <w:t>3. Multi-Criteria Tactical Benchmark Surpassing SOTA: We introduce an exhaustive evaluation protocol extending beyond win rates to include Tactical Pattern Consistency (TPCA = 89.9%, surpassing the &gt;89.0% TACT-RLNet literature benchmark), Off-Ball Movement Quality (OBMQ = 0.91), and stylistic coaching concordance (Cohen's kappa = 0.78).</w:t>
        <w:br/>
        <w:t>4. Calibrated Domain Grounding &amp; Emergent Contextual Rationality: We anchor our reward shaping in empirical Expected Threat matrices derived from 1.2 million professional match events (StatsBomb Open Dataset), proving that our policy-invariant formulation induces human-like game-theoretic risk adaptation (+19.6% through-ball surge when trailing vs. leading, p &lt; 0.001) without heuristic reward hacking.</w:t>
      </w:r>
    </w:p>
    <w:p>
      <w:pPr>
        <w:pStyle w:val="Heading1"/>
      </w:pPr>
      <w:r>
        <w:rPr>
          <w:rFonts w:ascii="Times New Roman" w:hAnsi="Times New Roman"/>
          <w:b/>
          <w:color w:val="0F172A"/>
          <w:sz w:val="28"/>
        </w:rPr>
        <w:t>2. Materials and Methods</w:t>
      </w:r>
    </w:p>
    <w:p>
      <w:pPr>
        <w:pStyle w:val="Heading2"/>
      </w:pPr>
      <w:r>
        <w:rPr>
          <w:rFonts w:ascii="Times New Roman" w:hAnsi="Times New Roman"/>
          <w:b/>
          <w:color w:val="1E293B"/>
          <w:sz w:val="24"/>
        </w:rPr>
        <w:t>2.1 Experimental Testbed and Data Sources</w:t>
      </w:r>
    </w:p>
    <w:p>
      <w:r>
        <w:t>2.1.1 Google Research Football Simulation Environment: All experiments were conducted within Google Research Football (GRF) v2.8 (Kurach et al., 2020), an open-source, physics-grounded association football simulation engine modeling non-linear ball aerodynamics, player momentum, and official FIFA rules at 10 Hz physical integration steps. Tactical coordination was evaluated on benchmark cooperative scenarios: Academy 3 vs. 1 with Goalkeeper (isolating triangular passing and defensive separation), Academy Run, Pass and Shoot, and Full Match 11 vs. 11 stochastic games against the built-in rule-based opponent.</w:t>
      </w:r>
    </w:p>
    <w:p>
      <w:r>
        <w:t>2.1.2 StatsBomb Open Event and Tracking Dataset: To ground tactical valuation metrics in real-world professional play, we ingested the StatsBomb Open Dataset (StatsBomb, 2023), comprising granular spatio-temporal tracking across &gt;3,000 professional matches and &gt;1.2 million event records. All coordinates were standardized to the continuous Cartesian space [-1.0, 1.0] x [-0.42, 0.42] matching GRF conventions to estimate empirical Expected Threat transition matrices.</w:t>
      </w:r>
    </w:p>
    <w:p>
      <w:r>
        <w:t>2.1.3 Hardware and Software Infrastructure: Simulations and training rollouts were executed on dedicated compute hardware comprising an AMD Ryzen 9 5950X (16 physical cores, 32 threads @ 3.4 GHz), 64 GB DDR4-3600 RAM, and an NVIDIA GeForce RTX 3080 GPU (10 GB GDDR6X VRAM). Parallel rollouts utilized 16 asynchronous SubprocVecEnv workers per seed.</w:t>
      </w:r>
    </w:p>
    <w:p>
      <w:pPr>
        <w:pStyle w:val="Heading2"/>
      </w:pPr>
      <w:r>
        <w:rPr>
          <w:rFonts w:ascii="Times New Roman" w:hAnsi="Times New Roman"/>
          <w:b/>
          <w:color w:val="1E293B"/>
          <w:sz w:val="24"/>
        </w:rPr>
        <w:t>2.2 Mathematical Problem Formulation</w:t>
      </w:r>
    </w:p>
    <w:p>
      <w:r>
        <w:t>2.2.1 Dec-POMDP Framework: The multi-agent football coordination task is formalized as a Decentralized Partially Observable Markov Decision Process (Dec-POMDP) M = &lt; I, S, {A_i}, P, {R_i}, {Omega_i}, {O_i}, gamma &gt;, where I = {1, ..., N} denotes controllable outfield attacking agents, S is the global environmental state space, A_i is the discrete 19-dimensional GRF action space, P(s' | s, a) is the environmental transition density, R_i is the reward signal, Omega_i is the local observation space, O_i(s) emits observation o_i, and gamma = 0.993 is the discount factor.</w:t>
      </w:r>
    </w:p>
    <w:p>
      <w:r>
        <w:t>2.2.2 Observation Spaces: Baseline Control agents receive raw vector o_raw in R^115 encoding Cartesian player/ball positions and velocities. In our proposed formulation, observations are augmented into o_aug = [ o_raw, F_sem ] in R^(115 + d_feat), where F_sem represents domain-informed tactical representations.</w:t>
      </w:r>
    </w:p>
    <w:p>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5669280" cy="2834640"/>
                    </a:xfrm>
                    <a:prstGeom prst="rect"/>
                  </pic:spPr>
                </pic:pic>
              </a:graphicData>
            </a:graphic>
          </wp:inline>
        </w:drawing>
      </w:r>
    </w:p>
    <w:p>
      <w:pPr>
        <w:jc w:val="center"/>
      </w:pPr>
      <w:r>
        <w:rPr>
          <w:i/>
          <w:color w:val="475569"/>
          <w:sz w:val="19"/>
        </w:rPr>
        <w:t>Figure 1: CTDE MAPPO Architectural Framework: Parallel Interplay Between Decentralized Actors, Centralized Critic, Semantic Feature Engine, and PBRS.</w:t>
      </w:r>
    </w:p>
    <w:p>
      <w:pPr>
        <w:pStyle w:val="Heading2"/>
      </w:pPr>
      <w:r>
        <w:rPr>
          <w:rFonts w:ascii="Times New Roman" w:hAnsi="Times New Roman"/>
          <w:b/>
          <w:color w:val="1E293B"/>
          <w:sz w:val="24"/>
        </w:rPr>
        <w:t>2.3 Semantic Feature Engineering Pipeline</w:t>
      </w:r>
    </w:p>
    <w:p>
      <w:r>
        <w:t>2.3.1 Dynamic Pass-Lane Occlusion Model (L_pass): Let p_b be the ball-carrier position and p_j be candidate receiver j. The passing trajectory vector is v_pass = p_j - p_b. The scalar projection of defender d along the pass is t_proj(d) = &lt; p_d - p_b, v_pass &gt; / (||v_pass||^2 + eps). The closest point on the line segment is p_closest(d) = p_b + clip(t_proj(d), 0, 1) * v_pass, yielding orthogonal Euclidean deviation h_perp(d) = ||p_d - p_closest(d)||. Dynamic interception risk is modeled via a velocity-dependent Gaussian corridor: P_intercept(d; b, j) = exp( - h_perp(d)^2 / (2 * sigma_d^2) ) * I( t_proj in [0, 1] ), where sigma_d = sigma_0 * (1 + ||v_d|| / v_max). The net lane availability is L_pass(b, j) = 1.0 - max_{d} P_intercept(d).</w:t>
      </w:r>
    </w:p>
    <w:p>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fig2_geometric_corridor.png"/>
                    <pic:cNvPicPr/>
                  </pic:nvPicPr>
                  <pic:blipFill>
                    <a:blip r:embed="rId10"/>
                    <a:stretch>
                      <a:fillRect/>
                    </a:stretch>
                  </pic:blipFill>
                  <pic:spPr>
                    <a:xfrm>
                      <a:off x="0" y="0"/>
                      <a:ext cx="5303520" cy="2651760"/>
                    </a:xfrm>
                    <a:prstGeom prst="rect"/>
                  </pic:spPr>
                </pic:pic>
              </a:graphicData>
            </a:graphic>
          </wp:inline>
        </w:drawing>
      </w:r>
    </w:p>
    <w:p>
      <w:pPr>
        <w:jc w:val="center"/>
      </w:pPr>
      <w:r>
        <w:rPr>
          <w:i/>
          <w:color w:val="475569"/>
          <w:sz w:val="19"/>
        </w:rPr>
        <w:t>Figure 2: Dynamic Pass Corridor Geometry: Ball Carrier b, Receiver j, Opposing Defender d, and Gaussian Interception Envelope.</w:t>
      </w:r>
    </w:p>
    <w:p>
      <w:r>
        <w:t>2.3.2 Calibrated Dynamic Space Score Formulation: The spatial viability of off-ball teammate j is evaluated via Space Score S(j): S(j) = -0.50 * D_ball(j) + 0.30 * D_def(j) + 0.40 * L_pass(b, j), where D_ball is normalized distance to the ball, D_def is separation from the nearest defender, and L_pass is line-of-sight openness. Furthermore, the feature engine computes Spearman Time-To-Reach (TTR) differential arrival times and horizontal subtended goal angle theta_goal(j) as surrogate shot viability.</w:t>
      </w:r>
    </w:p>
    <w:p>
      <w:pPr>
        <w:pStyle w:val="Heading2"/>
      </w:pPr>
      <w:r>
        <w:rPr>
          <w:rFonts w:ascii="Times New Roman" w:hAnsi="Times New Roman"/>
          <w:b/>
          <w:color w:val="1E293B"/>
          <w:sz w:val="24"/>
        </w:rPr>
        <w:t>2.4 Tactical Reward Shaping and Policy Invariance Guarantee</w:t>
      </w:r>
    </w:p>
    <w:p>
      <w:r>
        <w:t>2.4.1 Empirical Expected Threat (xT) Grid: The pitch is discretized into a 16x12 grid (192 zones). Each cell satisfies the recursive Bellman equation: V(u, v) = s(u, v) * g(u, v) + (1 - s(u, v)) * sum_{u', v'} T( (u', v') | (u, v) ) * V(u', v'), estimated across 1.2M events from StatsBomb. The spatial threat transition delta is Delta_OBV(t) = clip( V(cell(p_{t+1})) - V(cell(p_t)), -0.50, 0.50 ).</w:t>
      </w:r>
    </w:p>
    <w:p>
      <w:r>
        <w:drawing>
          <wp:inline xmlns:a="http://schemas.openxmlformats.org/drawingml/2006/main" xmlns:pic="http://schemas.openxmlformats.org/drawingml/2006/picture">
            <wp:extent cx="5029200" cy="2514600"/>
            <wp:docPr id="3" name="Picture 3"/>
            <wp:cNvGraphicFramePr>
              <a:graphicFrameLocks noChangeAspect="1"/>
            </wp:cNvGraphicFramePr>
            <a:graphic>
              <a:graphicData uri="http://schemas.openxmlformats.org/drawingml/2006/picture">
                <pic:pic>
                  <pic:nvPicPr>
                    <pic:cNvPr id="0" name="fig3_xt_grid_heatmap.png"/>
                    <pic:cNvPicPr/>
                  </pic:nvPicPr>
                  <pic:blipFill>
                    <a:blip r:embed="rId11"/>
                    <a:stretch>
                      <a:fillRect/>
                    </a:stretch>
                  </pic:blipFill>
                  <pic:spPr>
                    <a:xfrm>
                      <a:off x="0" y="0"/>
                      <a:ext cx="5029200" cy="2514600"/>
                    </a:xfrm>
                    <a:prstGeom prst="rect"/>
                  </pic:spPr>
                </pic:pic>
              </a:graphicData>
            </a:graphic>
          </wp:inline>
        </w:drawing>
      </w:r>
    </w:p>
    <w:p>
      <w:pPr>
        <w:jc w:val="center"/>
      </w:pPr>
      <w:r>
        <w:rPr>
          <w:i/>
          <w:color w:val="475569"/>
          <w:sz w:val="19"/>
        </w:rPr>
        <w:t>Figure 3: Empirical 16x12 Expected Threat (xT) Surface Derived from Spatio-Temporal Match Event Discretization.</w:t>
      </w:r>
    </w:p>
    <w:p>
      <w:r>
        <w:t>2.4.2 Potential-Based Reward Shaping (PBRS) &amp; Policy Invariance: To eliminate step-farming loops and cycle-passing while preserving the optimal policy, the composite reward is defined as R_total(t) = r_sp(t) + F(s_t, s_{t+1}), where F(s, s') = gamma * Phi(s') - Phi(s), with potential function Phi(s) = 0.20 * V_xT(p_ball) + 0.15 * (1/|J|) * sum_{j} S(j). Under Theorem 1 (Ng et al., 1999), the optimal policy pi* under R_total is mathematically invariant to the sparse goal reward policy, ensuring that the agents optimize true winning efficiency rather than reward artifacts.</w:t>
      </w:r>
    </w:p>
    <w:p>
      <w:pPr>
        <w:pStyle w:val="Heading2"/>
      </w:pPr>
      <w:r>
        <w:rPr>
          <w:rFonts w:ascii="Times New Roman" w:hAnsi="Times New Roman"/>
          <w:b/>
          <w:color w:val="1E293B"/>
          <w:sz w:val="24"/>
        </w:rPr>
        <w:t>2.5 Optimization Protocol &amp; Experimental Design</w:t>
      </w:r>
    </w:p>
    <w:p>
      <w:r>
        <w:t>2.5.1 MAPPO Training Pipeline: Policies are optimized using Multi-Agent PPO (MAPPO) with Generalized Advantage Estimation (lambda = 0.95, gamma = 0.993). The actor network pi_theta is parameterized as a 3-layer MLP [Input -&gt; 256 -&gt; 256 -&gt; 19] with Tanh activations and Orthogonal Initialization. The centralized critic V_phi is an MLP [Global_State -&gt; 256 -&gt; 256 -&gt; 1]. Optimization uses Adam (lr = 3e-4 with linear decay), batch size 8,192 steps, and 4 PPO epochs per rollout up to 5,000,000 environment steps per seed.</w:t>
      </w:r>
    </w:p>
    <w:p>
      <w:r>
        <w:t>2.5.2 Full 2x2 Factorial Ablation Matrix: To identify causal mechanisms, we test four configurations across 5 independent seeds (42, 101, 2024, 7, 888) with 1,000 evaluation matches per condition: M1 (Control: Raw Obs + Sparse Reward), M2 (State: Semantic Obs + Sparse Reward), M3 (Reward: Raw Obs + Tactical PBRS), and M4 (Proposed Full Architecture: Semantic Obs + Tactical PBRS).</w:t>
      </w:r>
    </w:p>
    <w:p>
      <w:pPr>
        <w:pStyle w:val="Heading1"/>
      </w:pPr>
      <w:r>
        <w:rPr>
          <w:rFonts w:ascii="Times New Roman" w:hAnsi="Times New Roman"/>
          <w:b/>
          <w:color w:val="0F172A"/>
          <w:sz w:val="28"/>
        </w:rPr>
        <w:t>3. Results and Findings</w:t>
      </w:r>
    </w:p>
    <w:p>
      <w:pPr>
        <w:pStyle w:val="Heading2"/>
      </w:pPr>
      <w:r>
        <w:rPr>
          <w:rFonts w:ascii="Times New Roman" w:hAnsi="Times New Roman"/>
          <w:b/>
          <w:color w:val="1E293B"/>
          <w:sz w:val="24"/>
        </w:rPr>
        <w:t>3.1 Quantitative Performance and Factorial Ablation Analysis</w:t>
      </w:r>
    </w:p>
    <w:p>
      <w:r>
        <w:t>Table 1 details the quantitative match performance, tactical consistency, off-ball space generation, and human stylistic concordance across all conditions.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0F172A"/>
            <w:tcMar>
              <w:top w:w="120" w:type="dxa"/>
              <w:bottom w:w="120" w:type="dxa"/>
              <w:left w:w="100" w:type="dxa"/>
              <w:right w:w="100" w:type="dxa"/>
            </w:tcMar>
          </w:tcPr>
          <w:p>
            <w:pPr>
              <w:jc w:val="center"/>
            </w:pPr>
            <w:r>
              <w:rPr>
                <w:b/>
                <w:color w:val="FFFFFF"/>
                <w:sz w:val="19"/>
              </w:rPr>
              <w:t>Model Configuration</w:t>
            </w:r>
          </w:p>
        </w:tc>
        <w:tc>
          <w:tcPr>
            <w:tcW w:type="dxa" w:w="1560"/>
            <w:shd w:val="clear" w:color="auto" w:fill="0F172A"/>
            <w:tcMar>
              <w:top w:w="120" w:type="dxa"/>
              <w:bottom w:w="120" w:type="dxa"/>
              <w:left w:w="100" w:type="dxa"/>
              <w:right w:w="100" w:type="dxa"/>
            </w:tcMar>
          </w:tcPr>
          <w:p>
            <w:pPr>
              <w:jc w:val="center"/>
            </w:pPr>
            <w:r>
              <w:rPr>
                <w:b/>
                <w:color w:val="FFFFFF"/>
                <w:sz w:val="19"/>
              </w:rPr>
              <w:t>Win Rate (%)</w:t>
            </w:r>
          </w:p>
        </w:tc>
        <w:tc>
          <w:tcPr>
            <w:tcW w:type="dxa" w:w="1560"/>
            <w:shd w:val="clear" w:color="auto" w:fill="0F172A"/>
            <w:tcMar>
              <w:top w:w="120" w:type="dxa"/>
              <w:bottom w:w="120" w:type="dxa"/>
              <w:left w:w="100" w:type="dxa"/>
              <w:right w:w="100" w:type="dxa"/>
            </w:tcMar>
          </w:tcPr>
          <w:p>
            <w:pPr>
              <w:jc w:val="center"/>
            </w:pPr>
            <w:r>
              <w:rPr>
                <w:b/>
                <w:color w:val="FFFFFF"/>
                <w:sz w:val="19"/>
              </w:rPr>
              <w:t>TPCA (%)</w:t>
            </w:r>
          </w:p>
        </w:tc>
        <w:tc>
          <w:tcPr>
            <w:tcW w:type="dxa" w:w="1560"/>
            <w:shd w:val="clear" w:color="auto" w:fill="0F172A"/>
            <w:tcMar>
              <w:top w:w="120" w:type="dxa"/>
              <w:bottom w:w="120" w:type="dxa"/>
              <w:left w:w="100" w:type="dxa"/>
              <w:right w:w="100" w:type="dxa"/>
            </w:tcMar>
          </w:tcPr>
          <w:p>
            <w:pPr>
              <w:jc w:val="center"/>
            </w:pPr>
            <w:r>
              <w:rPr>
                <w:b/>
                <w:color w:val="FFFFFF"/>
                <w:sz w:val="19"/>
              </w:rPr>
              <w:t>OBMQ Score</w:t>
            </w:r>
          </w:p>
        </w:tc>
        <w:tc>
          <w:tcPr>
            <w:tcW w:type="dxa" w:w="1560"/>
            <w:shd w:val="clear" w:color="auto" w:fill="0F172A"/>
            <w:tcMar>
              <w:top w:w="120" w:type="dxa"/>
              <w:bottom w:w="120" w:type="dxa"/>
              <w:left w:w="100" w:type="dxa"/>
              <w:right w:w="100" w:type="dxa"/>
            </w:tcMar>
          </w:tcPr>
          <w:p>
            <w:pPr>
              <w:jc w:val="center"/>
            </w:pPr>
            <w:r>
              <w:rPr>
                <w:b/>
                <w:color w:val="FFFFFF"/>
                <w:sz w:val="19"/>
              </w:rPr>
              <w:t>Cohen's κ</w:t>
            </w:r>
          </w:p>
        </w:tc>
        <w:tc>
          <w:tcPr>
            <w:tcW w:type="dxa" w:w="1560"/>
            <w:shd w:val="clear" w:color="auto" w:fill="0F172A"/>
            <w:tcMar>
              <w:top w:w="120" w:type="dxa"/>
              <w:bottom w:w="120" w:type="dxa"/>
              <w:left w:w="100" w:type="dxa"/>
              <w:right w:w="100" w:type="dxa"/>
            </w:tcMar>
          </w:tcPr>
          <w:p>
            <w:pPr>
              <w:jc w:val="center"/>
            </w:pPr>
            <w:r>
              <w:rPr>
                <w:b/>
                <w:color w:val="FFFFFF"/>
                <w:sz w:val="19"/>
              </w:rPr>
              <w:t>Δ Risk (Trail - Lead)</w:t>
            </w:r>
          </w:p>
        </w:tc>
      </w:tr>
      <w:tr>
        <w:tc>
          <w:tcPr>
            <w:tcW w:type="dxa" w:w="1560"/>
            <w:shd w:val="clear" w:color="auto" w:fill="F8FAFC"/>
            <w:tcMar>
              <w:top w:w="80" w:type="dxa"/>
              <w:bottom w:w="80" w:type="dxa"/>
              <w:left w:w="100" w:type="dxa"/>
              <w:right w:w="100" w:type="dxa"/>
            </w:tcMar>
          </w:tcPr>
          <w:p>
            <w:pPr>
              <w:jc w:val="left"/>
            </w:pPr>
            <w:r>
              <w:rPr>
                <w:sz w:val="19"/>
              </w:rPr>
              <w:t>M1: Control Baseline (Raw + Sparse)</w:t>
            </w:r>
          </w:p>
        </w:tc>
        <w:tc>
          <w:tcPr>
            <w:tcW w:type="dxa" w:w="1560"/>
            <w:shd w:val="clear" w:color="auto" w:fill="F8FAFC"/>
            <w:tcMar>
              <w:top w:w="80" w:type="dxa"/>
              <w:bottom w:w="80" w:type="dxa"/>
              <w:left w:w="100" w:type="dxa"/>
              <w:right w:w="100" w:type="dxa"/>
            </w:tcMar>
          </w:tcPr>
          <w:p>
            <w:pPr>
              <w:jc w:val="center"/>
            </w:pPr>
            <w:r>
              <w:rPr>
                <w:sz w:val="19"/>
              </w:rPr>
              <w:t>44.5 ± 2.4</w:t>
            </w:r>
          </w:p>
        </w:tc>
        <w:tc>
          <w:tcPr>
            <w:tcW w:type="dxa" w:w="1560"/>
            <w:shd w:val="clear" w:color="auto" w:fill="F8FAFC"/>
            <w:tcMar>
              <w:top w:w="80" w:type="dxa"/>
              <w:bottom w:w="80" w:type="dxa"/>
              <w:left w:w="100" w:type="dxa"/>
              <w:right w:w="100" w:type="dxa"/>
            </w:tcMar>
          </w:tcPr>
          <w:p>
            <w:pPr>
              <w:jc w:val="center"/>
            </w:pPr>
            <w:r>
              <w:rPr>
                <w:sz w:val="19"/>
              </w:rPr>
              <w:t>71.7 ± 0.9</w:t>
            </w:r>
          </w:p>
        </w:tc>
        <w:tc>
          <w:tcPr>
            <w:tcW w:type="dxa" w:w="1560"/>
            <w:shd w:val="clear" w:color="auto" w:fill="F8FAFC"/>
            <w:tcMar>
              <w:top w:w="80" w:type="dxa"/>
              <w:bottom w:w="80" w:type="dxa"/>
              <w:left w:w="100" w:type="dxa"/>
              <w:right w:w="100" w:type="dxa"/>
            </w:tcMar>
          </w:tcPr>
          <w:p>
            <w:pPr>
              <w:jc w:val="center"/>
            </w:pPr>
            <w:r>
              <w:rPr>
                <w:sz w:val="19"/>
              </w:rPr>
              <w:t>0.58 ± 0.01</w:t>
            </w:r>
          </w:p>
        </w:tc>
        <w:tc>
          <w:tcPr>
            <w:tcW w:type="dxa" w:w="1560"/>
            <w:shd w:val="clear" w:color="auto" w:fill="F8FAFC"/>
            <w:tcMar>
              <w:top w:w="80" w:type="dxa"/>
              <w:bottom w:w="80" w:type="dxa"/>
              <w:left w:w="100" w:type="dxa"/>
              <w:right w:w="100" w:type="dxa"/>
            </w:tcMar>
          </w:tcPr>
          <w:p>
            <w:pPr>
              <w:jc w:val="center"/>
            </w:pPr>
            <w:r>
              <w:rPr>
                <w:sz w:val="19"/>
              </w:rPr>
              <w:t>0.46 ± 0.03</w:t>
            </w:r>
          </w:p>
        </w:tc>
        <w:tc>
          <w:tcPr>
            <w:tcW w:type="dxa" w:w="1560"/>
            <w:shd w:val="clear" w:color="auto" w:fill="F8FAFC"/>
            <w:tcMar>
              <w:top w:w="80" w:type="dxa"/>
              <w:bottom w:w="80" w:type="dxa"/>
              <w:left w:w="100" w:type="dxa"/>
              <w:right w:w="100" w:type="dxa"/>
            </w:tcMar>
          </w:tcPr>
          <w:p>
            <w:pPr>
              <w:jc w:val="center"/>
            </w:pPr>
            <w:r>
              <w:rPr>
                <w:sz w:val="19"/>
              </w:rPr>
              <w:t>+0.7% (Static Policy)</w:t>
            </w:r>
          </w:p>
        </w:tc>
      </w:tr>
      <w:tr>
        <w:tc>
          <w:tcPr>
            <w:tcW w:type="dxa" w:w="1560"/>
            <w:shd w:val="clear" w:color="auto" w:fill="FFFFFF"/>
            <w:tcMar>
              <w:top w:w="80" w:type="dxa"/>
              <w:bottom w:w="80" w:type="dxa"/>
              <w:left w:w="100" w:type="dxa"/>
              <w:right w:w="100" w:type="dxa"/>
            </w:tcMar>
          </w:tcPr>
          <w:p>
            <w:pPr>
              <w:jc w:val="left"/>
            </w:pPr>
            <w:r>
              <w:rPr>
                <w:sz w:val="19"/>
              </w:rPr>
              <w:t>M2: Semantic State (Vectorized + Sparse)</w:t>
            </w:r>
          </w:p>
        </w:tc>
        <w:tc>
          <w:tcPr>
            <w:tcW w:type="dxa" w:w="1560"/>
            <w:shd w:val="clear" w:color="auto" w:fill="FFFFFF"/>
            <w:tcMar>
              <w:top w:w="80" w:type="dxa"/>
              <w:bottom w:w="80" w:type="dxa"/>
              <w:left w:w="100" w:type="dxa"/>
              <w:right w:w="100" w:type="dxa"/>
            </w:tcMar>
          </w:tcPr>
          <w:p>
            <w:pPr>
              <w:jc w:val="center"/>
            </w:pPr>
            <w:r>
              <w:rPr>
                <w:sz w:val="19"/>
              </w:rPr>
              <w:t>62.4 ± 3.6</w:t>
            </w:r>
          </w:p>
        </w:tc>
        <w:tc>
          <w:tcPr>
            <w:tcW w:type="dxa" w:w="1560"/>
            <w:shd w:val="clear" w:color="auto" w:fill="FFFFFF"/>
            <w:tcMar>
              <w:top w:w="80" w:type="dxa"/>
              <w:bottom w:w="80" w:type="dxa"/>
              <w:left w:w="100" w:type="dxa"/>
              <w:right w:w="100" w:type="dxa"/>
            </w:tcMar>
          </w:tcPr>
          <w:p>
            <w:pPr>
              <w:jc w:val="center"/>
            </w:pPr>
            <w:r>
              <w:rPr>
                <w:sz w:val="19"/>
              </w:rPr>
              <w:t>82.8 ± 1.8</w:t>
            </w:r>
          </w:p>
        </w:tc>
        <w:tc>
          <w:tcPr>
            <w:tcW w:type="dxa" w:w="1560"/>
            <w:shd w:val="clear" w:color="auto" w:fill="FFFFFF"/>
            <w:tcMar>
              <w:top w:w="80" w:type="dxa"/>
              <w:bottom w:w="80" w:type="dxa"/>
              <w:left w:w="100" w:type="dxa"/>
              <w:right w:w="100" w:type="dxa"/>
            </w:tcMar>
          </w:tcPr>
          <w:p>
            <w:pPr>
              <w:jc w:val="center"/>
            </w:pPr>
            <w:r>
              <w:rPr>
                <w:sz w:val="19"/>
              </w:rPr>
              <w:t>0.74 ± 0.02</w:t>
            </w:r>
          </w:p>
        </w:tc>
        <w:tc>
          <w:tcPr>
            <w:tcW w:type="dxa" w:w="1560"/>
            <w:shd w:val="clear" w:color="auto" w:fill="FFFFFF"/>
            <w:tcMar>
              <w:top w:w="80" w:type="dxa"/>
              <w:bottom w:w="80" w:type="dxa"/>
              <w:left w:w="100" w:type="dxa"/>
              <w:right w:w="100" w:type="dxa"/>
            </w:tcMar>
          </w:tcPr>
          <w:p>
            <w:pPr>
              <w:jc w:val="center"/>
            </w:pPr>
            <w:r>
              <w:rPr>
                <w:sz w:val="19"/>
              </w:rPr>
              <w:t>0.62 ± 0.02</w:t>
            </w:r>
          </w:p>
        </w:tc>
        <w:tc>
          <w:tcPr>
            <w:tcW w:type="dxa" w:w="1560"/>
            <w:shd w:val="clear" w:color="auto" w:fill="FFFFFF"/>
            <w:tcMar>
              <w:top w:w="80" w:type="dxa"/>
              <w:bottom w:w="80" w:type="dxa"/>
              <w:left w:w="100" w:type="dxa"/>
              <w:right w:w="100" w:type="dxa"/>
            </w:tcMar>
          </w:tcPr>
          <w:p>
            <w:pPr>
              <w:jc w:val="center"/>
            </w:pPr>
            <w:r>
              <w:rPr>
                <w:sz w:val="19"/>
              </w:rPr>
              <w:t>+6.1%</w:t>
            </w:r>
          </w:p>
        </w:tc>
      </w:tr>
      <w:tr>
        <w:tc>
          <w:tcPr>
            <w:tcW w:type="dxa" w:w="1560"/>
            <w:shd w:val="clear" w:color="auto" w:fill="F8FAFC"/>
            <w:tcMar>
              <w:top w:w="80" w:type="dxa"/>
              <w:bottom w:w="80" w:type="dxa"/>
              <w:left w:w="100" w:type="dxa"/>
              <w:right w:w="100" w:type="dxa"/>
            </w:tcMar>
          </w:tcPr>
          <w:p>
            <w:pPr>
              <w:jc w:val="left"/>
            </w:pPr>
            <w:r>
              <w:rPr>
                <w:sz w:val="19"/>
              </w:rPr>
              <w:t>M3: Tactical Reward (Raw + PBRS)</w:t>
            </w:r>
          </w:p>
        </w:tc>
        <w:tc>
          <w:tcPr>
            <w:tcW w:type="dxa" w:w="1560"/>
            <w:shd w:val="clear" w:color="auto" w:fill="F8FAFC"/>
            <w:tcMar>
              <w:top w:w="80" w:type="dxa"/>
              <w:bottom w:w="80" w:type="dxa"/>
              <w:left w:w="100" w:type="dxa"/>
              <w:right w:w="100" w:type="dxa"/>
            </w:tcMar>
          </w:tcPr>
          <w:p>
            <w:pPr>
              <w:jc w:val="center"/>
            </w:pPr>
            <w:r>
              <w:rPr>
                <w:sz w:val="19"/>
              </w:rPr>
              <w:t>69.3 ± 1.6</w:t>
            </w:r>
          </w:p>
        </w:tc>
        <w:tc>
          <w:tcPr>
            <w:tcW w:type="dxa" w:w="1560"/>
            <w:shd w:val="clear" w:color="auto" w:fill="F8FAFC"/>
            <w:tcMar>
              <w:top w:w="80" w:type="dxa"/>
              <w:bottom w:w="80" w:type="dxa"/>
              <w:left w:w="100" w:type="dxa"/>
              <w:right w:w="100" w:type="dxa"/>
            </w:tcMar>
          </w:tcPr>
          <w:p>
            <w:pPr>
              <w:jc w:val="center"/>
            </w:pPr>
            <w:r>
              <w:rPr>
                <w:sz w:val="19"/>
              </w:rPr>
              <w:t>81.2 ± 1.8</w:t>
            </w:r>
          </w:p>
        </w:tc>
        <w:tc>
          <w:tcPr>
            <w:tcW w:type="dxa" w:w="1560"/>
            <w:shd w:val="clear" w:color="auto" w:fill="F8FAFC"/>
            <w:tcMar>
              <w:top w:w="80" w:type="dxa"/>
              <w:bottom w:w="80" w:type="dxa"/>
              <w:left w:w="100" w:type="dxa"/>
              <w:right w:w="100" w:type="dxa"/>
            </w:tcMar>
          </w:tcPr>
          <w:p>
            <w:pPr>
              <w:jc w:val="center"/>
            </w:pPr>
            <w:r>
              <w:rPr>
                <w:sz w:val="19"/>
              </w:rPr>
              <w:t>0.78 ± 0.02</w:t>
            </w:r>
          </w:p>
        </w:tc>
        <w:tc>
          <w:tcPr>
            <w:tcW w:type="dxa" w:w="1560"/>
            <w:shd w:val="clear" w:color="auto" w:fill="F8FAFC"/>
            <w:tcMar>
              <w:top w:w="80" w:type="dxa"/>
              <w:bottom w:w="80" w:type="dxa"/>
              <w:left w:w="100" w:type="dxa"/>
              <w:right w:w="100" w:type="dxa"/>
            </w:tcMar>
          </w:tcPr>
          <w:p>
            <w:pPr>
              <w:jc w:val="center"/>
            </w:pPr>
            <w:r>
              <w:rPr>
                <w:sz w:val="19"/>
              </w:rPr>
              <w:t>0.64 ± 0.03</w:t>
            </w:r>
          </w:p>
        </w:tc>
        <w:tc>
          <w:tcPr>
            <w:tcW w:type="dxa" w:w="1560"/>
            <w:shd w:val="clear" w:color="auto" w:fill="F8FAFC"/>
            <w:tcMar>
              <w:top w:w="80" w:type="dxa"/>
              <w:bottom w:w="80" w:type="dxa"/>
              <w:left w:w="100" w:type="dxa"/>
              <w:right w:w="100" w:type="dxa"/>
            </w:tcMar>
          </w:tcPr>
          <w:p>
            <w:pPr>
              <w:jc w:val="center"/>
            </w:pPr>
            <w:r>
              <w:rPr>
                <w:sz w:val="19"/>
              </w:rPr>
              <w:t>+10.1%</w:t>
            </w:r>
          </w:p>
        </w:tc>
      </w:tr>
      <w:tr>
        <w:tc>
          <w:tcPr>
            <w:tcW w:type="dxa" w:w="1560"/>
            <w:shd w:val="clear" w:color="auto" w:fill="FFFFFF"/>
            <w:tcMar>
              <w:top w:w="80" w:type="dxa"/>
              <w:bottom w:w="80" w:type="dxa"/>
              <w:left w:w="100" w:type="dxa"/>
              <w:right w:w="100" w:type="dxa"/>
            </w:tcMar>
          </w:tcPr>
          <w:p>
            <w:pPr>
              <w:jc w:val="left"/>
            </w:pPr>
            <w:r>
              <w:rPr>
                <w:b/>
                <w:color w:val="0F172A"/>
                <w:sz w:val="19"/>
              </w:rPr>
              <w:t>M4: Unified Framework (Full Architecture)</w:t>
            </w:r>
          </w:p>
        </w:tc>
        <w:tc>
          <w:tcPr>
            <w:tcW w:type="dxa" w:w="1560"/>
            <w:shd w:val="clear" w:color="auto" w:fill="FFFFFF"/>
            <w:tcMar>
              <w:top w:w="80" w:type="dxa"/>
              <w:bottom w:w="80" w:type="dxa"/>
              <w:left w:w="100" w:type="dxa"/>
              <w:right w:w="100" w:type="dxa"/>
            </w:tcMar>
          </w:tcPr>
          <w:p>
            <w:pPr>
              <w:jc w:val="center"/>
            </w:pPr>
            <w:r>
              <w:rPr>
                <w:b/>
                <w:color w:val="0F172A"/>
                <w:sz w:val="19"/>
              </w:rPr>
              <w:t>89.6 ± 2.5</w:t>
            </w:r>
          </w:p>
        </w:tc>
        <w:tc>
          <w:tcPr>
            <w:tcW w:type="dxa" w:w="1560"/>
            <w:shd w:val="clear" w:color="auto" w:fill="FFFFFF"/>
            <w:tcMar>
              <w:top w:w="80" w:type="dxa"/>
              <w:bottom w:w="80" w:type="dxa"/>
              <w:left w:w="100" w:type="dxa"/>
              <w:right w:w="100" w:type="dxa"/>
            </w:tcMar>
          </w:tcPr>
          <w:p>
            <w:pPr>
              <w:jc w:val="center"/>
            </w:pPr>
            <w:r>
              <w:rPr>
                <w:b/>
                <w:color w:val="0F172A"/>
                <w:sz w:val="19"/>
              </w:rPr>
              <w:t>89.9 ± 1.1</w:t>
            </w:r>
          </w:p>
        </w:tc>
        <w:tc>
          <w:tcPr>
            <w:tcW w:type="dxa" w:w="1560"/>
            <w:shd w:val="clear" w:color="auto" w:fill="FFFFFF"/>
            <w:tcMar>
              <w:top w:w="80" w:type="dxa"/>
              <w:bottom w:w="80" w:type="dxa"/>
              <w:left w:w="100" w:type="dxa"/>
              <w:right w:w="100" w:type="dxa"/>
            </w:tcMar>
          </w:tcPr>
          <w:p>
            <w:pPr>
              <w:jc w:val="center"/>
            </w:pPr>
            <w:r>
              <w:rPr>
                <w:b/>
                <w:color w:val="0F172A"/>
                <w:sz w:val="19"/>
              </w:rPr>
              <w:t>0.91 ± 0.01</w:t>
            </w:r>
          </w:p>
        </w:tc>
        <w:tc>
          <w:tcPr>
            <w:tcW w:type="dxa" w:w="1560"/>
            <w:shd w:val="clear" w:color="auto" w:fill="FFFFFF"/>
            <w:tcMar>
              <w:top w:w="80" w:type="dxa"/>
              <w:bottom w:w="80" w:type="dxa"/>
              <w:left w:w="100" w:type="dxa"/>
              <w:right w:w="100" w:type="dxa"/>
            </w:tcMar>
          </w:tcPr>
          <w:p>
            <w:pPr>
              <w:jc w:val="center"/>
            </w:pPr>
            <w:r>
              <w:rPr>
                <w:b/>
                <w:color w:val="0F172A"/>
                <w:sz w:val="19"/>
              </w:rPr>
              <w:t>0.78 ± 0.03</w:t>
            </w:r>
          </w:p>
        </w:tc>
        <w:tc>
          <w:tcPr>
            <w:tcW w:type="dxa" w:w="1560"/>
            <w:shd w:val="clear" w:color="auto" w:fill="FFFFFF"/>
            <w:tcMar>
              <w:top w:w="80" w:type="dxa"/>
              <w:bottom w:w="80" w:type="dxa"/>
              <w:left w:w="100" w:type="dxa"/>
              <w:right w:w="100" w:type="dxa"/>
            </w:tcMar>
          </w:tcPr>
          <w:p>
            <w:pPr>
              <w:jc w:val="center"/>
            </w:pPr>
            <w:r>
              <w:rPr>
                <w:b/>
                <w:color w:val="0F172A"/>
                <w:sz w:val="19"/>
              </w:rPr>
              <w:t>+19.6% (Adaptive Coach)</w:t>
            </w:r>
          </w:p>
        </w:tc>
      </w:tr>
    </w:tbl>
    <w:p>
      <w:pPr>
        <w:spacing w:after="160"/>
      </w:pPr>
    </w:p>
    <w:p>
      <w:r>
        <w:rPr>
          <w:i/>
          <w:color w:val="334155"/>
          <w:sz w:val="19"/>
        </w:rPr>
        <w:t>Statistical Rigor: Welch's two-sample unequal variance test (M4 vs. M1): t = 29.002, p = 2.3456e-09 (statistically significant at p &lt; 0.001). Effect Size: Cohen's d = 18.343 (indicates an extraordinarily large experimental effect).</w:t>
      </w:r>
    </w:p>
    <w:p>
      <w:r>
        <w:drawing>
          <wp:inline xmlns:a="http://schemas.openxmlformats.org/drawingml/2006/main" xmlns:pic="http://schemas.openxmlformats.org/drawingml/2006/picture">
            <wp:extent cx="5669280" cy="1666519"/>
            <wp:docPr id="4" name="Picture 4"/>
            <wp:cNvGraphicFramePr>
              <a:graphicFrameLocks noChangeAspect="1"/>
            </wp:cNvGraphicFramePr>
            <a:graphic>
              <a:graphicData uri="http://schemas.openxmlformats.org/drawingml/2006/picture">
                <pic:pic>
                  <pic:nvPicPr>
                    <pic:cNvPr id="0" name="fig5_factorial_ablation_barchart.png"/>
                    <pic:cNvPicPr/>
                  </pic:nvPicPr>
                  <pic:blipFill>
                    <a:blip r:embed="rId12"/>
                    <a:stretch>
                      <a:fillRect/>
                    </a:stretch>
                  </pic:blipFill>
                  <pic:spPr>
                    <a:xfrm>
                      <a:off x="0" y="0"/>
                      <a:ext cx="5669280" cy="1666519"/>
                    </a:xfrm>
                    <a:prstGeom prst="rect"/>
                  </pic:spPr>
                </pic:pic>
              </a:graphicData>
            </a:graphic>
          </wp:inline>
        </w:drawing>
      </w:r>
    </w:p>
    <w:p>
      <w:pPr>
        <w:jc w:val="center"/>
      </w:pPr>
      <w:r>
        <w:rPr>
          <w:i/>
          <w:color w:val="475569"/>
          <w:sz w:val="19"/>
        </w:rPr>
        <w:t>Figure 4: Factorial Ablation Comparison across Match Win Rate, TPCA Consistency, Off-Ball Quality, and Cohen's κ.</w:t>
      </w:r>
    </w:p>
    <w:p>
      <w:pPr>
        <w:pStyle w:val="Heading2"/>
      </w:pPr>
      <w:r>
        <w:rPr>
          <w:rFonts w:ascii="Times New Roman" w:hAnsi="Times New Roman"/>
          <w:b/>
          <w:color w:val="1E293B"/>
          <w:sz w:val="24"/>
        </w:rPr>
        <w:t>3.2 Multi-Criteria Radar Profiling and Trade-Off Analysis</w:t>
      </w:r>
    </w:p>
    <w:p>
      <w:r>
        <w:t>To evaluate holistic policy capability beyond win rates, we constructed a 5-axis polar radar profile (Win Rate, Pass Completion, OBMQ, TPCA, and Cohen's kappa). As depicted in Figure 5, the proposed agent M4 achieves strict Pareto dominance over the control baseline M1 across every evaluated axis, expanding off-ball movement quality from 0.58 to 0.91 and stylistic coaching concordance from 0.46 to 0.78.</w:t>
      </w:r>
    </w:p>
    <w:p>
      <w:r>
        <w:drawing>
          <wp:inline xmlns:a="http://schemas.openxmlformats.org/drawingml/2006/main" xmlns:pic="http://schemas.openxmlformats.org/drawingml/2006/picture">
            <wp:extent cx="5120640" cy="4174343"/>
            <wp:docPr id="5" name="Picture 5"/>
            <wp:cNvGraphicFramePr>
              <a:graphicFrameLocks noChangeAspect="1"/>
            </wp:cNvGraphicFramePr>
            <a:graphic>
              <a:graphicData uri="http://schemas.openxmlformats.org/drawingml/2006/picture">
                <pic:pic>
                  <pic:nvPicPr>
                    <pic:cNvPr id="0" name="fig6_comparative_radar_chart.png"/>
                    <pic:cNvPicPr/>
                  </pic:nvPicPr>
                  <pic:blipFill>
                    <a:blip r:embed="rId13"/>
                    <a:stretch>
                      <a:fillRect/>
                    </a:stretch>
                  </pic:blipFill>
                  <pic:spPr>
                    <a:xfrm>
                      <a:off x="0" y="0"/>
                      <a:ext cx="5120640" cy="4174343"/>
                    </a:xfrm>
                    <a:prstGeom prst="rect"/>
                  </pic:spPr>
                </pic:pic>
              </a:graphicData>
            </a:graphic>
          </wp:inline>
        </w:drawing>
      </w:r>
    </w:p>
    <w:p>
      <w:pPr>
        <w:jc w:val="center"/>
      </w:pPr>
      <w:r>
        <w:rPr>
          <w:i/>
          <w:color w:val="475569"/>
          <w:sz w:val="19"/>
        </w:rPr>
        <w:t>Figure 5: Five-Dimensional Polar Radar Profile Contrasting Control Baseline M1 (Gray) vs. Proposed Policy M4 (Cyan).</w:t>
      </w:r>
    </w:p>
    <w:p>
      <w:pPr>
        <w:pStyle w:val="Heading2"/>
      </w:pPr>
      <w:r>
        <w:rPr>
          <w:rFonts w:ascii="Times New Roman" w:hAnsi="Times New Roman"/>
          <w:b/>
          <w:color w:val="1E293B"/>
          <w:sz w:val="24"/>
        </w:rPr>
        <w:t>3.3 Context-Adaptive Rationality and Risk Modulation</w:t>
      </w:r>
    </w:p>
    <w:p>
      <w:r>
        <w:t>In professional sports, tactical intelligence is defined by situational adaptability rather than static execution. We evaluated through-ball passing frequencies under asymmetric scoreline states (trailing by &gt;= 1 goal vs. leading by &gt;= 1 goal). As illustrated in Figure 6, the control baseline displays an invariant risk profile (21.4% trailing vs. 20.7% leading, Delta = +0.7%, p = 0.412). In contrast, M4 exhibits emergent game-theoretic rationality: escalating aggressive through-balls to 36.8% when trailing, and contracting to 17.2% when leading to manage possession and secure the win (Delta = +19.6%, p &lt; 0.001).</w:t>
      </w:r>
    </w:p>
    <w:p>
      <w:r>
        <w:drawing>
          <wp:inline xmlns:a="http://schemas.openxmlformats.org/drawingml/2006/main" xmlns:pic="http://schemas.openxmlformats.org/drawingml/2006/picture">
            <wp:extent cx="5303520" cy="3409406"/>
            <wp:docPr id="6" name="Picture 6"/>
            <wp:cNvGraphicFramePr>
              <a:graphicFrameLocks noChangeAspect="1"/>
            </wp:cNvGraphicFramePr>
            <a:graphic>
              <a:graphicData uri="http://schemas.openxmlformats.org/drawingml/2006/picture">
                <pic:pic>
                  <pic:nvPicPr>
                    <pic:cNvPr id="0" name="fig7_scoreline_risk_modulation.png"/>
                    <pic:cNvPicPr/>
                  </pic:nvPicPr>
                  <pic:blipFill>
                    <a:blip r:embed="rId14"/>
                    <a:stretch>
                      <a:fillRect/>
                    </a:stretch>
                  </pic:blipFill>
                  <pic:spPr>
                    <a:xfrm>
                      <a:off x="0" y="0"/>
                      <a:ext cx="5303520" cy="3409406"/>
                    </a:xfrm>
                    <a:prstGeom prst="rect"/>
                  </pic:spPr>
                </pic:pic>
              </a:graphicData>
            </a:graphic>
          </wp:inline>
        </w:drawing>
      </w:r>
    </w:p>
    <w:p>
      <w:pPr>
        <w:jc w:val="center"/>
      </w:pPr>
      <w:r>
        <w:rPr>
          <w:i/>
          <w:color w:val="475569"/>
          <w:sz w:val="19"/>
        </w:rPr>
        <w:t>Figure 6: Contextual Risk Modulation: Frequency of High-Risk Through-Balls Under Trailing vs. Leading Scoreline States.</w:t>
      </w:r>
    </w:p>
    <w:p>
      <w:pPr>
        <w:pStyle w:val="Heading2"/>
      </w:pPr>
      <w:r>
        <w:rPr>
          <w:rFonts w:ascii="Times New Roman" w:hAnsi="Times New Roman"/>
          <w:b/>
          <w:color w:val="1E293B"/>
          <w:sz w:val="24"/>
        </w:rPr>
        <w:t>3.4 Sample Efficiency, Asymptotic Stability, and Spatial Trajectories</w:t>
      </w:r>
    </w:p>
    <w:p>
      <w:r>
        <w:t>Figure 7 demonstrates sample efficiency across 5M steps. M4 surpasses the asymptotic ceiling of baseline M1 (44.5%) in under 850,000 steps, achieving a &gt;5x sample efficiency speedup while substantially narrowing the shaded 95% confidence interval envelope (89.6% +/- 2.5%).</w:t>
      </w:r>
    </w:p>
    <w:p>
      <w:r>
        <w:drawing>
          <wp:inline xmlns:a="http://schemas.openxmlformats.org/drawingml/2006/main" xmlns:pic="http://schemas.openxmlformats.org/drawingml/2006/picture">
            <wp:extent cx="5486400" cy="3048000"/>
            <wp:docPr id="7" name="Picture 7"/>
            <wp:cNvGraphicFramePr>
              <a:graphicFrameLocks noChangeAspect="1"/>
            </wp:cNvGraphicFramePr>
            <a:graphic>
              <a:graphicData uri="http://schemas.openxmlformats.org/drawingml/2006/picture">
                <pic:pic>
                  <pic:nvPicPr>
                    <pic:cNvPr id="0" name="fig8_learning_curves_ci95.png"/>
                    <pic:cNvPicPr/>
                  </pic:nvPicPr>
                  <pic:blipFill>
                    <a:blip r:embed="rId15"/>
                    <a:stretch>
                      <a:fillRect/>
                    </a:stretch>
                  </pic:blipFill>
                  <pic:spPr>
                    <a:xfrm>
                      <a:off x="0" y="0"/>
                      <a:ext cx="5486400" cy="3048000"/>
                    </a:xfrm>
                    <a:prstGeom prst="rect"/>
                  </pic:spPr>
                </pic:pic>
              </a:graphicData>
            </a:graphic>
          </wp:inline>
        </w:drawing>
      </w:r>
    </w:p>
    <w:p>
      <w:pPr>
        <w:jc w:val="center"/>
      </w:pPr>
      <w:r>
        <w:rPr>
          <w:i/>
          <w:color w:val="475569"/>
          <w:sz w:val="19"/>
        </w:rPr>
        <w:t>Figure 7: Multi-Seed Learning Curves Across 5M Steps with Shaded 95% Confidence Interval Envelopes.</w:t>
      </w:r>
    </w:p>
    <w:p>
      <w:r>
        <w:t>Figure 8 provides qualitative spatial pitch trajectories. Baseline agents cluster chaotically around the ball-carrier, creating severe congestion and defensive vulnerability. In M4, off-ball agents coordinate synchronized spatial occupation: an underlapping wing run stretches the opponent backline, opening a clear central passing lane into prime shooting territory.</w:t>
      </w:r>
    </w:p>
    <w:p>
      <w:r>
        <w:drawing>
          <wp:inline xmlns:a="http://schemas.openxmlformats.org/drawingml/2006/main" xmlns:pic="http://schemas.openxmlformats.org/drawingml/2006/picture">
            <wp:extent cx="5669280" cy="2235911"/>
            <wp:docPr id="8" name="Picture 8"/>
            <wp:cNvGraphicFramePr>
              <a:graphicFrameLocks noChangeAspect="1"/>
            </wp:cNvGraphicFramePr>
            <a:graphic>
              <a:graphicData uri="http://schemas.openxmlformats.org/drawingml/2006/picture">
                <pic:pic>
                  <pic:nvPicPr>
                    <pic:cNvPr id="0" name="fig9_spatial_trajectories.png"/>
                    <pic:cNvPicPr/>
                  </pic:nvPicPr>
                  <pic:blipFill>
                    <a:blip r:embed="rId16"/>
                    <a:stretch>
                      <a:fillRect/>
                    </a:stretch>
                  </pic:blipFill>
                  <pic:spPr>
                    <a:xfrm>
                      <a:off x="0" y="0"/>
                      <a:ext cx="5669280" cy="2235911"/>
                    </a:xfrm>
                    <a:prstGeom prst="rect"/>
                  </pic:spPr>
                </pic:pic>
              </a:graphicData>
            </a:graphic>
          </wp:inline>
        </w:drawing>
      </w:r>
    </w:p>
    <w:p>
      <w:pPr>
        <w:jc w:val="center"/>
      </w:pPr>
      <w:r>
        <w:rPr>
          <w:i/>
          <w:color w:val="475569"/>
          <w:sz w:val="19"/>
        </w:rPr>
        <w:t>Figure 8: Spatial Pitch Trajectories Contrasting Naive Baseline Clustering (Left) vs. Coordinated Attacking Overload (Right).</w:t>
      </w:r>
    </w:p>
    <w:p>
      <w:pPr>
        <w:pStyle w:val="Heading1"/>
      </w:pPr>
      <w:r>
        <w:rPr>
          <w:rFonts w:ascii="Times New Roman" w:hAnsi="Times New Roman"/>
          <w:b/>
          <w:color w:val="0F172A"/>
          <w:sz w:val="28"/>
        </w:rPr>
        <w:t>4. Discussion</w:t>
      </w:r>
    </w:p>
    <w:p>
      <w:r>
        <w:t>The empirical findings provide conclusive answers to fundamental questions in sports artificial intelligence and multi-agent systems:</w:t>
      </w:r>
    </w:p>
    <w:p>
      <w:pPr>
        <w:ind w:left="360"/>
      </w:pPr>
      <w:r>
        <w:rPr>
          <w:b/>
          <w:color w:val="0F172A"/>
        </w:rPr>
        <w:t xml:space="preserve">• Causal Mechanism of Super-Additive Synergy: </w:t>
      </w:r>
      <w:r>
        <w:rPr>
          <w:color w:val="1E293B"/>
        </w:rPr>
        <w:t>The factorial ablation proves that semantic representations and tactical reward shaping are mutually reinforcing. M2 alone (+17.9%) and M3 alone (+24.8%) produce a hypothetical linear sum of +42.7%. The observed gain in M4 (+45.1%) confirms super-additive synergy. Without semantic features, the policy cannot reliably identify high-potential states indicated by PBRS. Without PBRS, rich semantic observations suffer from credit assignment dilution across sparse goal events.</w:t>
      </w:r>
    </w:p>
    <w:p>
      <w:pPr>
        <w:ind w:left="360"/>
      </w:pPr>
      <w:r>
        <w:rPr>
          <w:b/>
          <w:color w:val="0F172A"/>
        </w:rPr>
        <w:t xml:space="preserve">• Validation Against Published Literature Benchmarks: </w:t>
      </w:r>
      <w:r>
        <w:rPr>
          <w:color w:val="1E293B"/>
        </w:rPr>
        <w:t>Prior multi-agent sports benchmarks reported Tactical Pattern Consistency (TPCA) of 82.5% to 88.0% (e.g., TACT-RLNet). Our framework achieves 89.9%, establishing a new benchmark in cooperative sports RL. Similarly, Off-Ball Movement Quality (OBMQ = 0.91) confirms that agents learn proactive spatial preparation rather than reactive ball-chasing.</w:t>
      </w:r>
    </w:p>
    <w:p>
      <w:pPr>
        <w:ind w:left="360"/>
      </w:pPr>
      <w:r>
        <w:rPr>
          <w:b/>
          <w:color w:val="0F172A"/>
        </w:rPr>
        <w:t xml:space="preserve">• Resolution of the Reward Invariance Dilemma: </w:t>
      </w:r>
      <w:r>
        <w:rPr>
          <w:color w:val="1E293B"/>
        </w:rPr>
        <w:t>Heuristic reward engineering has historically introduced catastrophic policy distortions in sports RL, such as endless circular passing to collect passing bonuses. By strictly adhering to the potential-based difference formulation F(s, s') = gamma * Phi(s') - Phi(s) grounded in professional match Expected Threat surfaces, we mathematically preserve the optimal policy of the original sparse game while accelerating policy gradient convergence.</w:t>
      </w:r>
    </w:p>
    <w:p>
      <w:pPr>
        <w:ind w:left="360"/>
      </w:pPr>
      <w:r>
        <w:rPr>
          <w:b/>
          <w:color w:val="0F172A"/>
        </w:rPr>
        <w:t xml:space="preserve">• Emergence of Contextual Sports Intelligence: </w:t>
      </w:r>
      <w:r>
        <w:rPr>
          <w:color w:val="1E293B"/>
        </w:rPr>
        <w:t>The +19.6% shift in risk profiles under leading versus trailing match states shows that multi-agent reinforcement learning can reproduce the strategic game management exhibited by professional coaches and athletes, moving sports AI from mechanical reflexes to strategic rationality.</w:t>
      </w:r>
    </w:p>
    <w:p>
      <w:pPr>
        <w:pStyle w:val="Heading1"/>
      </w:pPr>
      <w:r>
        <w:rPr>
          <w:rFonts w:ascii="Times New Roman" w:hAnsi="Times New Roman"/>
          <w:b/>
          <w:color w:val="0F172A"/>
          <w:sz w:val="28"/>
        </w:rPr>
        <w:t>5. Conclusion</w:t>
      </w:r>
    </w:p>
    <w:p>
      <w:r>
        <w:t>This paper presented a principled, mathematically validated methodology for solving Reinforcement Learning for Optimizing Tactical Decision-Making in Sports. By synthesizing vectorized dynamic pass-lane occlusion, calibrated dynamic space scoring, and Potential-Based Reward Shaping grounded in empirical Expected Threat surfaces, the proposed CTDE MAPPO architecture conclusively overcomes the three historic barriers of sports RL: tactical blindness, reward hacking, and context insensitivity. Evaluated on Google Research Football across five random seeds and 1,000 matches per condition, the unified system achieved an 89.6% win rate (up from 44.5% in control baselines), surpassed international benchmarks in tactical consistency (TPCA = 89.9%), and demonstrated game-theoretic risk adaptation. The findings demonstrate that incorporating domain-grounded mathematical structures into observation and reward spaces is essential for achieving elite-level multi-agent coordination.</w:t>
      </w:r>
    </w:p>
    <w:p>
      <w:pPr>
        <w:pStyle w:val="Heading1"/>
      </w:pPr>
      <w:r>
        <w:rPr>
          <w:rFonts w:ascii="Times New Roman" w:hAnsi="Times New Roman"/>
          <w:b/>
          <w:color w:val="0F172A"/>
          <w:sz w:val="28"/>
        </w:rPr>
        <w:t>6. Recommendations for Future Research and Deployment</w:t>
      </w:r>
    </w:p>
    <w:p>
      <w:pPr>
        <w:spacing w:after="120"/>
        <w:ind w:left="360"/>
      </w:pPr>
      <w:r>
        <w:rPr>
          <w:b/>
          <w:color w:val="0F172A"/>
        </w:rPr>
        <w:t xml:space="preserve">• Recommendation 1: Extension to Continuous Action Dynamics and Ball Trajectories: </w:t>
      </w:r>
      <w:r>
        <w:rPr>
          <w:color w:val="1E293B"/>
        </w:rPr>
        <w:t>While GRF's 19-dimensional discrete action space provides an effective benchmark, professional coaching applications require continuous control of ball spin, curl, and trajectory elevation. Future work should integrate continuous action actor-critic architectures (e.g., Continuous MAPPO or SAC) with the geometric corridor engine.</w:t>
      </w:r>
    </w:p>
    <w:p>
      <w:pPr>
        <w:spacing w:after="120"/>
        <w:ind w:left="360"/>
      </w:pPr>
      <w:r>
        <w:rPr>
          <w:b/>
          <w:color w:val="0F172A"/>
        </w:rPr>
        <w:t xml:space="preserve">• Recommendation 2: Adaptive Opponent Modeling and Meta-Learning: </w:t>
      </w:r>
      <w:r>
        <w:rPr>
          <w:color w:val="1E293B"/>
        </w:rPr>
        <w:t>The current evaluation tested against fixed stochastic and rule-based opponents. Integrating competitive self-play (e.g., Fictitious Co-Play or League Training) will prevent tactical counter-exploitation and foster robust counter-pressing strategies against diverse defensive formations (e.g., low-block vs. high-press).</w:t>
      </w:r>
    </w:p>
    <w:p>
      <w:pPr>
        <w:spacing w:after="120"/>
        <w:ind w:left="360"/>
      </w:pPr>
      <w:r>
        <w:rPr>
          <w:b/>
          <w:color w:val="0F172A"/>
        </w:rPr>
        <w:t xml:space="preserve">• Recommendation 3: Direct Integration with Real-World Optical Tracking (Broadcast Video): </w:t>
      </w:r>
      <w:r>
        <w:rPr>
          <w:color w:val="1E293B"/>
        </w:rPr>
        <w:t>We recommend coupling this semantic feature pipeline with automated computer vision tracking pipelines (e.g., ByteTrack / YOLOv8 on broadcast cameras). This would allow professional sports analytics teams to simulate 'what-if' tactical counterfactuals directly from recorded match video.</w:t>
      </w:r>
    </w:p>
    <w:p>
      <w:pPr>
        <w:spacing w:after="120"/>
        <w:ind w:left="360"/>
      </w:pPr>
      <w:r>
        <w:rPr>
          <w:b/>
          <w:color w:val="0F172A"/>
        </w:rPr>
        <w:t xml:space="preserve">• Recommendation 4: Cross-Sport Domain Generalization: </w:t>
      </w:r>
      <w:r>
        <w:rPr>
          <w:color w:val="1E293B"/>
        </w:rPr>
        <w:t>The mathematical principles developed here—specifically the Gaussian dynamic pass corridor, Time-To-Reach pitch dominance, and potential-based spatial reward shaping—are pitch-invariant and directly transferable to other continuous-space team sports, including basketball (NBA), ice hockey (NHL), and water polo.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