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4"/>
        </w:rPr>
        <w:t>Semantic State Representations and Multi-Component Tactical Rewards for Cooperative Multi-Agent Reinforcement Learning in Sports Analytics</w:t>
      </w:r>
    </w:p>
    <w:p>
      <w:pPr>
        <w:spacing w:after="320"/>
        <w:jc w:val="center"/>
      </w:pPr>
      <w:r>
        <w:rPr>
          <w:rFonts w:ascii="Times New Roman" w:hAnsi="Times New Roman"/>
          <w:b/>
          <w:sz w:val="22"/>
        </w:rPr>
        <w:t>Research Team in AI &amp; Computational Sports Science</w:t>
        <w:br/>
      </w:r>
      <w:r>
        <w:rPr>
          <w:rFonts w:ascii="Times New Roman" w:hAnsi="Times New Roman"/>
          <w:i/>
          <w:color w:val="475569"/>
          <w:sz w:val="19"/>
        </w:rPr>
        <w:t>Department of Computer Science and Sports Analytics Research Laboratory</w:t>
        <w:br/>
        <w:t>Email: research.contact@sports-ai-lab.org</w:t>
      </w:r>
    </w:p>
    <w:p>
      <w:pPr>
        <w:pStyle w:val="Heading1"/>
      </w:pPr>
      <w:r>
        <w:rPr>
          <w:rFonts w:ascii="Times New Roman" w:hAnsi="Times New Roman"/>
          <w:b/>
          <w:color w:val="0F172A"/>
          <w:sz w:val="26"/>
        </w:rPr>
        <w:t>Research Highlights</w:t>
      </w:r>
    </w:p>
    <w:p>
      <w:pPr>
        <w:spacing w:after="60"/>
        <w:ind w:left="360"/>
      </w:pPr>
      <w:r>
        <w:rPr>
          <w:b/>
          <w:color w:val="0284C7"/>
        </w:rPr>
        <w:t xml:space="preserve">• </w:t>
      </w:r>
      <w:r>
        <w:rPr>
          <w:sz w:val="20"/>
        </w:rPr>
        <w:t>A novel vectorized semantic feature pipeline translates raw kinematic tracking data into dynamic passing lane openness, spatial space scores, and pitch control dominance.</w:t>
      </w:r>
    </w:p>
    <w:p>
      <w:pPr>
        <w:spacing w:after="60"/>
        <w:ind w:left="360"/>
      </w:pPr>
      <w:r>
        <w:rPr>
          <w:b/>
          <w:color w:val="0284C7"/>
        </w:rPr>
        <w:t xml:space="preserve">• </w:t>
      </w:r>
      <w:r>
        <w:rPr>
          <w:sz w:val="20"/>
        </w:rPr>
        <w:t>Formulates a composite tactical reward grounded in empirical Expected Threat (xT) with mathematical Potential-Based Reward Shaping (PBRS), strictly preserving optimal policy invariance.</w:t>
      </w:r>
    </w:p>
    <w:p>
      <w:pPr>
        <w:spacing w:after="60"/>
        <w:ind w:left="360"/>
      </w:pPr>
      <w:r>
        <w:rPr>
          <w:b/>
          <w:color w:val="0284C7"/>
        </w:rPr>
        <w:t xml:space="preserve">• </w:t>
      </w:r>
      <w:r>
        <w:rPr>
          <w:sz w:val="20"/>
        </w:rPr>
        <w:t>Multi-Agent PPO (MAPPO) with Centralized Training and Decentralized Execution (CTDE) elevates match win rate from 43.5 ± 4.1% in control baselines to 83.2 ± 2.9% across 5 random seeds.</w:t>
      </w:r>
    </w:p>
    <w:p>
      <w:pPr>
        <w:spacing w:after="60"/>
        <w:ind w:left="360"/>
      </w:pPr>
      <w:r>
        <w:rPr>
          <w:b/>
          <w:color w:val="0284C7"/>
        </w:rPr>
        <w:t xml:space="preserve">• </w:t>
      </w:r>
      <w:r>
        <w:rPr>
          <w:sz w:val="20"/>
        </w:rPr>
        <w:t>Emergent context-adaptive sports rationality: agents double penetrative through-ball passing frequency (+19.52% shift, p = 8.14e-8) when trailing compared to protecting a lead.</w:t>
      </w:r>
    </w:p>
    <w:p>
      <w:pPr>
        <w:spacing w:after="60"/>
        <w:ind w:left="360"/>
      </w:pPr>
      <w:r>
        <w:rPr>
          <w:b/>
          <w:color w:val="0284C7"/>
        </w:rPr>
        <w:t xml:space="preserve">• </w:t>
      </w:r>
      <w:r>
        <w:rPr>
          <w:sz w:val="20"/>
        </w:rPr>
        <w:t>Tactical Pattern Consistency (TPCA = 89.9%) and Off-Ball Movement Quality (OBMQ = 0.91) surpass state-of-the-art literature benchmarks while eliminating reward hacking.</w:t>
      </w:r>
    </w:p>
    <w:p>
      <w:pPr>
        <w:spacing w:after="160"/>
      </w:pPr>
    </w:p>
    <w:p>
      <w:pPr>
        <w:pStyle w:val="Heading1"/>
      </w:pPr>
      <w:r>
        <w:rPr>
          <w:rFonts w:ascii="Times New Roman" w:hAnsi="Times New Roman"/>
          <w:b/>
          <w:color w:val="0F172A"/>
          <w:sz w:val="26"/>
        </w:rPr>
        <w:t>Abstract</w:t>
      </w:r>
    </w:p>
    <w:p>
      <w:r>
        <w:t>Cooperative tactical decision-making in association football is a challenging domain characterized by continuous spatiotemporal dynamics, partial observability, and multi-agent coordination under adversarial pressure. Conventional Multi-Agent Reinforcement Learning (MARL) models predominantly optimize sparse outcome rewards over raw Cartesian kinematics, frequently suffering from severe sample inefficiency, tactical incoherence, and catastrophic reward hacking. In this paper, we propose a principled, domain-grounded framework that synergistically integrates vectorized semantic state representations with context-aware multi-component tactical rewards within a Centralized Training with Decentralized Execution (CTDE) Multi-Agent Proximal Policy Optimization (MAPPO) architecture. Our feature pipeline computes dynamic pass-lane openness via velocity-scaled Gaussian interception corridors, evaluates spatial availability using a multi-factor Dynamic Space Score, and tracks continuous pitch control dominance. To incentivize purposeful collective play without corrupting the underlying Markov decision process, we formulate a composite reward anchored in empirical Expected Threat (xT) surfaces derived from 1.2 million professional events, mathematically guaranteeing policy invariance via Potential-Based Reward Shaping (PBRS). Rigorous 2x2 factorial ablation across 5 random seeds (N = 1,000 matches per condition) in Google Research Football demonstrates that the proposed architecture elevates match win rate from 43.5 ± 4.1% to 83.2 ± 2.9% (Welch's t = 17.799, p = 3.27e-7, Cohen's d = 11.26), achieves 89.9 ± 1.1% Tactical Pattern Consistency (TPCA), and reaches an Off-Ball Movement Quality (OBMQ) score of 0.91 ± 0.01. Crucially, the agents exhibit emergent game-theoretic rationality, escalating penetrative through-balls by +19.52% (p = 8.14e-8) when trailing by a goal compared to defending a lead. These results establish that embedding domain-grounded mathematical structures into state and reward formulations resolves the credit assignment dilemma and enables robust tactical intelligence in team sports.</w:t>
      </w:r>
    </w:p>
    <w:p>
      <w:pPr>
        <w:spacing w:after="240"/>
      </w:pPr>
      <w:r>
        <w:rPr>
          <w:b/>
        </w:rPr>
        <w:t xml:space="preserve">Keywords: </w:t>
      </w:r>
      <w:r>
        <w:t>Multi-Agent Reinforcement Learning (MARL); Google Research Football; Potential-Based Reward Shaping (PBRS); Expected Threat (xT); Semantic State Representation; Tactical Decision-Making; Sports Analytics.</w:t>
      </w:r>
    </w:p>
    <w:p>
      <w:pPr>
        <w:pStyle w:val="Heading1"/>
      </w:pPr>
      <w:r>
        <w:rPr>
          <w:rFonts w:ascii="Times New Roman" w:hAnsi="Times New Roman"/>
          <w:b/>
          <w:color w:val="0F172A"/>
          <w:sz w:val="26"/>
        </w:rPr>
        <w:t>Nomenclature</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pPr>
              <w:jc w:val="center"/>
            </w:pPr>
            <w:r>
              <w:rPr>
                <w:b/>
                <w:color w:val="FFFFFF"/>
                <w:sz w:val="18"/>
              </w:rPr>
              <w:t>Symbol</w:t>
            </w:r>
          </w:p>
        </w:tc>
        <w:tc>
          <w:tcPr>
            <w:tcW w:type="dxa" w:w="3120"/>
            <w:shd w:val="clear" w:color="auto" w:fill="0F172A"/>
          </w:tcPr>
          <w:p>
            <w:pPr>
              <w:jc w:val="center"/>
            </w:pPr>
            <w:r>
              <w:rPr>
                <w:b/>
                <w:color w:val="FFFFFF"/>
                <w:sz w:val="18"/>
              </w:rPr>
              <w:t>Dimension / Unit</w:t>
            </w:r>
          </w:p>
        </w:tc>
        <w:tc>
          <w:tcPr>
            <w:tcW w:type="dxa" w:w="3120"/>
            <w:shd w:val="clear" w:color="auto" w:fill="0F172A"/>
          </w:tcPr>
          <w:p>
            <w:pPr>
              <w:jc w:val="center"/>
            </w:pPr>
            <w:r>
              <w:rPr>
                <w:b/>
                <w:color w:val="FFFFFF"/>
                <w:sz w:val="18"/>
              </w:rPr>
              <w:t>Mathematical &amp; Tactical Description</w:t>
            </w:r>
          </w:p>
        </w:tc>
      </w:tr>
      <w:tr>
        <w:tc>
          <w:tcPr>
            <w:tcW w:type="dxa" w:w="3120"/>
            <w:shd w:val="clear" w:color="auto" w:fill="F8FAFC"/>
          </w:tcPr>
          <w:p>
            <w:pPr>
              <w:jc w:val="center"/>
            </w:pPr>
            <w:r>
              <w:rPr>
                <w:b/>
                <w:i/>
                <w:sz w:val="18"/>
              </w:rPr>
              <w:t>s ∈ S</w:t>
            </w:r>
          </w:p>
        </w:tc>
        <w:tc>
          <w:tcPr>
            <w:tcW w:type="dxa" w:w="3120"/>
            <w:shd w:val="clear" w:color="auto" w:fill="F8FAFC"/>
          </w:tcPr>
          <w:p>
            <w:pPr>
              <w:jc w:val="center"/>
            </w:pPr>
            <w:r>
              <w:rPr>
                <w:sz w:val="18"/>
              </w:rPr>
              <w:t>R^115</w:t>
            </w:r>
          </w:p>
        </w:tc>
        <w:tc>
          <w:tcPr>
            <w:tcW w:type="dxa" w:w="3120"/>
            <w:shd w:val="clear" w:color="auto" w:fill="F8FAFC"/>
          </w:tcPr>
          <w:p>
            <w:pPr>
              <w:jc w:val="left"/>
            </w:pPr>
            <w:r>
              <w:rPr>
                <w:sz w:val="18"/>
              </w:rPr>
              <w:t>True global environmental state vector (coordinates, velocities, match context)</w:t>
            </w:r>
          </w:p>
        </w:tc>
      </w:tr>
      <w:tr>
        <w:tc>
          <w:tcPr>
            <w:tcW w:type="dxa" w:w="3120"/>
            <w:shd w:val="clear" w:color="auto" w:fill="FFFFFF"/>
          </w:tcPr>
          <w:p>
            <w:pPr>
              <w:jc w:val="center"/>
            </w:pPr>
            <w:r>
              <w:rPr>
                <w:b/>
                <w:i/>
                <w:sz w:val="18"/>
              </w:rPr>
              <w:t>o_i^aug ∈ Ω_i</w:t>
            </w:r>
          </w:p>
        </w:tc>
        <w:tc>
          <w:tcPr>
            <w:tcW w:type="dxa" w:w="3120"/>
            <w:shd w:val="clear" w:color="auto" w:fill="FFFFFF"/>
          </w:tcPr>
          <w:p>
            <w:pPr>
              <w:jc w:val="center"/>
            </w:pPr>
            <w:r>
              <w:rPr>
                <w:sz w:val="18"/>
              </w:rPr>
              <w:t>R^139</w:t>
            </w:r>
          </w:p>
        </w:tc>
        <w:tc>
          <w:tcPr>
            <w:tcW w:type="dxa" w:w="3120"/>
            <w:shd w:val="clear" w:color="auto" w:fill="FFFFFF"/>
          </w:tcPr>
          <w:p>
            <w:pPr>
              <w:jc w:val="left"/>
            </w:pPr>
            <w:r>
              <w:rPr>
                <w:sz w:val="18"/>
              </w:rPr>
              <w:t>Local augmented observation vector received by decentralized actor i [o_raw, F_sem]</w:t>
            </w:r>
          </w:p>
        </w:tc>
      </w:tr>
      <w:tr>
        <w:tc>
          <w:tcPr>
            <w:tcW w:type="dxa" w:w="3120"/>
            <w:shd w:val="clear" w:color="auto" w:fill="F8FAFC"/>
          </w:tcPr>
          <w:p>
            <w:pPr>
              <w:jc w:val="center"/>
            </w:pPr>
            <w:r>
              <w:rPr>
                <w:b/>
                <w:i/>
                <w:sz w:val="18"/>
              </w:rPr>
              <w:t>a_i ∈ A_i</w:t>
            </w:r>
          </w:p>
        </w:tc>
        <w:tc>
          <w:tcPr>
            <w:tcW w:type="dxa" w:w="3120"/>
            <w:shd w:val="clear" w:color="auto" w:fill="F8FAFC"/>
          </w:tcPr>
          <w:p>
            <w:pPr>
              <w:jc w:val="center"/>
            </w:pPr>
            <w:r>
              <w:rPr>
                <w:sz w:val="18"/>
              </w:rPr>
              <w:t>Discrete (19)</w:t>
            </w:r>
          </w:p>
        </w:tc>
        <w:tc>
          <w:tcPr>
            <w:tcW w:type="dxa" w:w="3120"/>
            <w:shd w:val="clear" w:color="auto" w:fill="F8FAFC"/>
          </w:tcPr>
          <w:p>
            <w:pPr>
              <w:jc w:val="left"/>
            </w:pPr>
            <w:r>
              <w:rPr>
                <w:sz w:val="18"/>
              </w:rPr>
              <w:t>Action commanded by agent i native to Google Research Football action space</w:t>
            </w:r>
          </w:p>
        </w:tc>
      </w:tr>
      <w:tr>
        <w:tc>
          <w:tcPr>
            <w:tcW w:type="dxa" w:w="3120"/>
            <w:shd w:val="clear" w:color="auto" w:fill="FFFFFF"/>
          </w:tcPr>
          <w:p>
            <w:pPr>
              <w:jc w:val="center"/>
            </w:pPr>
            <w:r>
              <w:rPr>
                <w:b/>
                <w:i/>
                <w:sz w:val="18"/>
              </w:rPr>
              <w:t>L_pass(b, j)</w:t>
            </w:r>
          </w:p>
        </w:tc>
        <w:tc>
          <w:tcPr>
            <w:tcW w:type="dxa" w:w="3120"/>
            <w:shd w:val="clear" w:color="auto" w:fill="FFFFFF"/>
          </w:tcPr>
          <w:p>
            <w:pPr>
              <w:jc w:val="center"/>
            </w:pPr>
            <w:r>
              <w:rPr>
                <w:sz w:val="18"/>
              </w:rPr>
              <w:t>Unitless ∈ [0, 1]</w:t>
            </w:r>
          </w:p>
        </w:tc>
        <w:tc>
          <w:tcPr>
            <w:tcW w:type="dxa" w:w="3120"/>
            <w:shd w:val="clear" w:color="auto" w:fill="FFFFFF"/>
          </w:tcPr>
          <w:p>
            <w:pPr>
              <w:jc w:val="left"/>
            </w:pPr>
            <w:r>
              <w:rPr>
                <w:sz w:val="18"/>
              </w:rPr>
              <w:t>Dynamic passing lane openness between ball carrier b and prospective receiver j</w:t>
            </w:r>
          </w:p>
        </w:tc>
      </w:tr>
      <w:tr>
        <w:tc>
          <w:tcPr>
            <w:tcW w:type="dxa" w:w="3120"/>
            <w:shd w:val="clear" w:color="auto" w:fill="F8FAFC"/>
          </w:tcPr>
          <w:p>
            <w:pPr>
              <w:jc w:val="center"/>
            </w:pPr>
            <w:r>
              <w:rPr>
                <w:b/>
                <w:i/>
                <w:sz w:val="18"/>
              </w:rPr>
              <w:t>S(j)</w:t>
            </w:r>
          </w:p>
        </w:tc>
        <w:tc>
          <w:tcPr>
            <w:tcW w:type="dxa" w:w="3120"/>
            <w:shd w:val="clear" w:color="auto" w:fill="F8FAFC"/>
          </w:tcPr>
          <w:p>
            <w:pPr>
              <w:jc w:val="center"/>
            </w:pPr>
            <w:r>
              <w:rPr>
                <w:sz w:val="18"/>
              </w:rPr>
              <w:t>Unitless ∈ [-0.5, 0.7]</w:t>
            </w:r>
          </w:p>
        </w:tc>
        <w:tc>
          <w:tcPr>
            <w:tcW w:type="dxa" w:w="3120"/>
            <w:shd w:val="clear" w:color="auto" w:fill="F8FAFC"/>
          </w:tcPr>
          <w:p>
            <w:pPr>
              <w:jc w:val="left"/>
            </w:pPr>
            <w:r>
              <w:rPr>
                <w:sz w:val="18"/>
              </w:rPr>
              <w:t>Dynamic Space Score synthesizing proximity, marking separation, and line-of-sight</w:t>
            </w:r>
          </w:p>
        </w:tc>
      </w:tr>
      <w:tr>
        <w:tc>
          <w:tcPr>
            <w:tcW w:type="dxa" w:w="3120"/>
            <w:shd w:val="clear" w:color="auto" w:fill="FFFFFF"/>
          </w:tcPr>
          <w:p>
            <w:pPr>
              <w:jc w:val="center"/>
            </w:pPr>
            <w:r>
              <w:rPr>
                <w:b/>
                <w:i/>
                <w:sz w:val="18"/>
              </w:rPr>
              <w:t>Φ(s)</w:t>
            </w:r>
          </w:p>
        </w:tc>
        <w:tc>
          <w:tcPr>
            <w:tcW w:type="dxa" w:w="3120"/>
            <w:shd w:val="clear" w:color="auto" w:fill="FFFFFF"/>
          </w:tcPr>
          <w:p>
            <w:pPr>
              <w:jc w:val="center"/>
            </w:pPr>
            <w:r>
              <w:rPr>
                <w:sz w:val="18"/>
              </w:rPr>
              <w:t>Potential Units (R)</w:t>
            </w:r>
          </w:p>
        </w:tc>
        <w:tc>
          <w:tcPr>
            <w:tcW w:type="dxa" w:w="3120"/>
            <w:shd w:val="clear" w:color="auto" w:fill="FFFFFF"/>
          </w:tcPr>
          <w:p>
            <w:pPr>
              <w:jc w:val="left"/>
            </w:pPr>
            <w:r>
              <w:rPr>
                <w:sz w:val="18"/>
              </w:rPr>
              <w:t>State-dependent potential function anchored in empirical Expected Threat (xT)</w:t>
            </w:r>
          </w:p>
        </w:tc>
      </w:tr>
      <w:tr>
        <w:tc>
          <w:tcPr>
            <w:tcW w:type="dxa" w:w="3120"/>
            <w:shd w:val="clear" w:color="auto" w:fill="F8FAFC"/>
          </w:tcPr>
          <w:p>
            <w:pPr>
              <w:jc w:val="center"/>
            </w:pPr>
            <w:r>
              <w:rPr>
                <w:b/>
                <w:i/>
                <w:sz w:val="18"/>
              </w:rPr>
              <w:t>V(u, v)</w:t>
            </w:r>
          </w:p>
        </w:tc>
        <w:tc>
          <w:tcPr>
            <w:tcW w:type="dxa" w:w="3120"/>
            <w:shd w:val="clear" w:color="auto" w:fill="F8FAFC"/>
          </w:tcPr>
          <w:p>
            <w:pPr>
              <w:jc w:val="center"/>
            </w:pPr>
            <w:r>
              <w:rPr>
                <w:sz w:val="18"/>
              </w:rPr>
              <w:t>Probability ∈ [0, 1]</w:t>
            </w:r>
          </w:p>
        </w:tc>
        <w:tc>
          <w:tcPr>
            <w:tcW w:type="dxa" w:w="3120"/>
            <w:shd w:val="clear" w:color="auto" w:fill="F8FAFC"/>
          </w:tcPr>
          <w:p>
            <w:pPr>
              <w:jc w:val="left"/>
            </w:pPr>
            <w:r>
              <w:rPr>
                <w:sz w:val="18"/>
              </w:rPr>
              <w:t>Expected Threat (xT) of pitch grid cell (u, v) under Markovian Bellman recursion</w:t>
            </w:r>
          </w:p>
        </w:tc>
      </w:tr>
      <w:tr>
        <w:tc>
          <w:tcPr>
            <w:tcW w:type="dxa" w:w="3120"/>
            <w:shd w:val="clear" w:color="auto" w:fill="FFFFFF"/>
          </w:tcPr>
          <w:p>
            <w:pPr>
              <w:jc w:val="center"/>
            </w:pPr>
            <w:r>
              <w:rPr>
                <w:b/>
                <w:i/>
                <w:sz w:val="18"/>
              </w:rPr>
              <w:t>TTR(k, x)</w:t>
            </w:r>
          </w:p>
        </w:tc>
        <w:tc>
          <w:tcPr>
            <w:tcW w:type="dxa" w:w="3120"/>
            <w:shd w:val="clear" w:color="auto" w:fill="FFFFFF"/>
          </w:tcPr>
          <w:p>
            <w:pPr>
              <w:jc w:val="center"/>
            </w:pPr>
            <w:r>
              <w:rPr>
                <w:sz w:val="18"/>
              </w:rPr>
              <w:t>Seconds (s)</w:t>
            </w:r>
          </w:p>
        </w:tc>
        <w:tc>
          <w:tcPr>
            <w:tcW w:type="dxa" w:w="3120"/>
            <w:shd w:val="clear" w:color="auto" w:fill="FFFFFF"/>
          </w:tcPr>
          <w:p>
            <w:pPr>
              <w:jc w:val="left"/>
            </w:pPr>
            <w:r>
              <w:rPr>
                <w:sz w:val="18"/>
              </w:rPr>
              <w:t>Spearman Time-To-Reach arrival latency of player k reaching target coordinate x</w:t>
            </w:r>
          </w:p>
        </w:tc>
      </w:tr>
      <w:tr>
        <w:tc>
          <w:tcPr>
            <w:tcW w:type="dxa" w:w="3120"/>
            <w:shd w:val="clear" w:color="auto" w:fill="F8FAFC"/>
          </w:tcPr>
          <w:p>
            <w:pPr>
              <w:jc w:val="center"/>
            </w:pPr>
            <w:r>
              <w:rPr>
                <w:b/>
                <w:i/>
                <w:sz w:val="18"/>
              </w:rPr>
              <w:t>θ_goal(j)</w:t>
            </w:r>
          </w:p>
        </w:tc>
        <w:tc>
          <w:tcPr>
            <w:tcW w:type="dxa" w:w="3120"/>
            <w:shd w:val="clear" w:color="auto" w:fill="F8FAFC"/>
          </w:tcPr>
          <w:p>
            <w:pPr>
              <w:jc w:val="center"/>
            </w:pPr>
            <w:r>
              <w:rPr>
                <w:sz w:val="18"/>
              </w:rPr>
              <w:t>Radians (rad)</w:t>
            </w:r>
          </w:p>
        </w:tc>
        <w:tc>
          <w:tcPr>
            <w:tcW w:type="dxa" w:w="3120"/>
            <w:shd w:val="clear" w:color="auto" w:fill="F8FAFC"/>
          </w:tcPr>
          <w:p>
            <w:pPr>
              <w:jc w:val="left"/>
            </w:pPr>
            <w:r>
              <w:rPr>
                <w:sz w:val="18"/>
              </w:rPr>
              <w:t>Subtended horizontal goalmouth angle unoccluded by goalposts from position p_j</w:t>
            </w:r>
          </w:p>
        </w:tc>
      </w:tr>
      <w:tr>
        <w:tc>
          <w:tcPr>
            <w:tcW w:type="dxa" w:w="3120"/>
            <w:shd w:val="clear" w:color="auto" w:fill="FFFFFF"/>
          </w:tcPr>
          <w:p>
            <w:pPr>
              <w:jc w:val="center"/>
            </w:pPr>
            <w:r>
              <w:rPr>
                <w:b/>
                <w:i/>
                <w:sz w:val="18"/>
              </w:rPr>
              <w:t>γ, λ</w:t>
            </w:r>
          </w:p>
        </w:tc>
        <w:tc>
          <w:tcPr>
            <w:tcW w:type="dxa" w:w="3120"/>
            <w:shd w:val="clear" w:color="auto" w:fill="FFFFFF"/>
          </w:tcPr>
          <w:p>
            <w:pPr>
              <w:jc w:val="center"/>
            </w:pPr>
            <w:r>
              <w:rPr>
                <w:sz w:val="18"/>
              </w:rPr>
              <w:t>Scalars ∈ (0, 1)</w:t>
            </w:r>
          </w:p>
        </w:tc>
        <w:tc>
          <w:tcPr>
            <w:tcW w:type="dxa" w:w="3120"/>
            <w:shd w:val="clear" w:color="auto" w:fill="FFFFFF"/>
          </w:tcPr>
          <w:p>
            <w:pPr>
              <w:jc w:val="left"/>
            </w:pPr>
            <w:r>
              <w:rPr>
                <w:sz w:val="18"/>
              </w:rPr>
              <w:t>Temporal discount factor (γ = 0.993) and Generalized Advantage trace decay (λ = 0.95)</w:t>
            </w:r>
          </w:p>
        </w:tc>
      </w:tr>
    </w:tbl>
    <w:p>
      <w:pPr>
        <w:spacing w:after="160"/>
      </w:pPr>
    </w:p>
    <w:p>
      <w:pPr>
        <w:pStyle w:val="Heading1"/>
      </w:pPr>
      <w:r>
        <w:rPr>
          <w:rFonts w:ascii="Times New Roman" w:hAnsi="Times New Roman"/>
          <w:b/>
          <w:color w:val="0F172A"/>
          <w:sz w:val="26"/>
        </w:rPr>
        <w:t>1. Introduction</w:t>
      </w:r>
    </w:p>
    <w:p>
      <w:r>
        <w:t>Association football is a multi-agent, partially observable, complex and dynamic domain where cooperative tactical decision making takes place under strict spatiotemporal constraints. Players must constantly coordinate their movements, anticipate their opponents' actions and choose movements that establish space, destabilise the defence and score goals (Petiot et al., 2021; Ashford et al., 2021). Given the difficulty of this decision problem, and the current abundance of high-frequency player tracking data and event data, a growing number of studies have tried to leverage reinforcement learning (RL) for sports tactical analysis and decision support (Teixeira et al., 2025; Rico-González et al., 2022).</w:t>
      </w:r>
    </w:p>
    <w:p>
      <w:r>
        <w:t>Reinforcement learning provides a systematic approach to learning sequential decision policies from interacting with an environment (Shakya et al., 2023; Murphy, 2024). However, in team sports, the game is often played by multiple agents, requiring multi-agent reinforcement learning (MARL), in which multiple learning agents need to coordinate their actions and activities to accomplish a common goal (Rai &amp; Popović, 2026; Zhang et al., 2025). In the past few years, agents have learned increasingly complex cooperative skills in synthetic football settings, from just motor control to high-level tactical coordination (Liu et al., 2021; Haarnoja et al., 2023). Even with these improvements, however, two basic design issues have not received a satisfactory treatment: (1) the representation of game states to capture their tactical semantics, and (2) the design of the reward functions to generate behaviour which is 'tactically coherent'.</w:t>
      </w:r>
    </w:p>
    <w:p>
      <w:r>
        <w:t>The state representation problem is quite challenging. A great majority of current RL methods in sports use Cartesian player and ball coordinates and velocities as observations (Kurach et al., 2019; Azad et al., 2021). These representations are convenient for computation, but not abstract enough to be used by coaches and team analysts to describe and analyze play. Low-dimensional data is not sufficient to explicitly capture concepts like passing lane availability, space creation, defensive pressure, and shot viability, meaning that these concepts must be learned implicitly from high-dimensional data (Ide et al., 2025a, 2025b). There have been some recent efforts to overcome this restriction. Expandable Decision-Making States (EDMS) (Ide et al., 2025a) proposed a semantically enriched state representation that adds relational variables (space scores, pass scores, time-to-reach metrics) to raw positions, and showed that mapping learned values to human-interpretable tactical concepts significantly improves temporal-difference error. Likewise, Lin et al. (2026) proposed GIRL-GNN, which is a graph-integrated RL model where every decision moment is encoded in a graph of players, ball movement, spatial context and match state. Nakahara et al. (2023) designed a multi-agent deep RL system to value on-ball and off-ball actions based on tracking data. Groom et al. (2026) used graph reinforcement learning to improve corner kick routines by creating a dense reward that is correlated with the probability of a shot being made on the first attempt, and developed a machine learning framework for off-ball defensive role assessment. In the study by Yang et al. (2025), a novel AI algorithm is introduced to detect counterattacks and assess decision-making effectiveness, employing Transformer and Graph Neural Network architectures. In the case of in-possession match phases detection, Li and Link (2026) proposed a Temporal Graph Attention Network using tactical intentions. Huang et al. (2026) introduced deep learning models to analyse tactical football dynamics. In 2022, Raabe et al. proposed Tactical Graph Networks for analysing multi-agent spatiotemporal sports data. Ziyi et al. (2023) created a multi-agent deep learning solution for comparative analysis of team sport trajectories. All of these advances demonstrate the value of semantically enriched and relational state representations.</w:t>
      </w:r>
    </w:p>
    <w:p>
      <w:r>
        <w:t>A closely related problem is the reward design problem. The early studies using RL in sports used sparse rewards, with only a few positive outcomes per session (Biro &amp; Walker, 2021; Rahimian et al., 2021), which typically offered only infrequent and delayed learning signals. Mohan (2025) studied curriculum-based Dueling Double Deep Q-Networks for tennis strategy and observed that the win-rate-only optimization resulted in a strong defensive bias where the learned policy was focused on avoiding errors rather than aiming to create points aggressively. This is an important finding because the reward function is the primary determinant of emergent tactical behavior and the design of it is often considered an implementation detail. Recent efforts have tried to solve this by shaping with dense contextual rewards. In the context of attacking low block defenses, Pan et al. (2026) argued that a separate reward design for on-ball and off-ball agents would be beneficial for offline MARL. Lai et al. (2026) presented a modular framework that includes a Spatial Threat Mapping and Reward Shaping Engine (TACT-RLNet) to model pressure zones and guide behaviour organization like marking and pressing. Rahimian and Toka (2023) provided an optimal decision making framework for offensive and defense players through deep RL on event data and tracking data, and further developed soccer outcome prediction with offline RL (Rahimian et al., 2024). Using event data, Rahimian and Toka (2022) employed inverse RL to learn offensive and defensive strategies, while Takayanagi et al. (2022) used stochastic inverse RL for decision making under uncertainty in American football. Van Roy et al. (2023) suggested a model of learning and reasoning about strategies in soccer based on a Markov framework, and Beal et al. (2021) optimized long-term fluent objectives. While these works confirm the power of dense reward design, a unified framework integrating semantic state representation with provably policy-invariant multi-component tactical rewards has remained absent.</w:t>
      </w:r>
    </w:p>
    <w:p>
      <w:r>
        <w:t>In addition to state representation and reward design, there are also other challenges to the application of RL to sports tactical decision making. The problem of credit assignment is still challenging in multi-agent settings: the individually optimum action might not be the team's optimum action (Fujii et al., 2022; Rashid et al., 2020). To solve this, Lee et al. (2025) proposed HES-COMA, a hierarchical MARL method based on energy-field. Li et al. (2025) proposed a model called hierarchical decision-making with tactical knowledge (HDMTK) for multi-agent adversarial games. Yuan et al. (2024) have suggested a multi-agent dual-level RL model for strategy and tactics optimization in competitive games. Zhao et al. (2025) designed a graph neural network based heterogeneous MARL model, called QMIX-GNN. Rashid et al. (2020) presented a value-based approach to decentralized policies trained in a centralized way: QMIX. To tackle this, Xu et al. (2021) introduced the hierarchical cooperative MARL framework with dual coordination mechanism, named HAVEN. Liang et al. (2022) proposed a hierarchical RL approach of opponent modeling for distributed multi-agent cooperation, and Ibrahim and Fayad (2022) introduced cooperative MARL approaches in a hierarchical manner. Hutsebaut-Buysse et al. (2022) covered a survey of hierarchical RL, and Narvekar et al. (2020) proposed a framework on curriculum learning in RL domains. These works emphasize the credit assignment and coordination issues in team sports.</w:t>
      </w:r>
    </w:p>
    <w:p>
      <w:r>
        <w:t>Explainability and Coach Adoption are another important dimension. The authors of Kranzinger et al. (2025) performed a scoping review on explainable AI in sports science, which revealed that explainability techniques are not widely unified, with SHapley Additive Explanations prevailing and sparse domain expert validation. Bekkemoen (2023) did a systematic literature review and taxonomy of explainable RL. Thomas et al. (2026) applied post-hoc explainable AI techniques to Formula One race strategy, with emergent tactics and an increase in user trust. To combine algorithmic insights with the expertise of coaches, Kong et al. (2026) embedded an explainable AI module within a hierarchical deep RL solution for real-time tactical decision-making in team sports. These studies highlight the need for transparency and interpretability in order to be put into practice.</w:t>
      </w:r>
    </w:p>
    <w:p>
      <w:r>
        <w:t>Several systematic reviews have attempted to chart a broader picture of AI in sports analytics. Teixeira et al. (2025) studied collective dynamics and tactical behavior in football with the aid of AI. In the review paper, Rico-González et al. (2022) examined the applications of machine learning in soccer. Davis et al. (2024) discussed methodological and evaluation challenges in sports analytics. Ghosh et al. (2023) conducted a survey on the applications of AI and emerging technologies in sports analytics. A comprehensive survey of the deep learning applications in sports perception, comprehension and decision was presented by Zhao et al. (2023). Moya et al. (2025) did a literature review about machine learning in professional football. Hoseinzadeh et al. (2026) performed a bibliometric analysis of AI, machine learning and deep learning in football, while Lefhal et al. (2026) conducted a bibliometric analysis of AI in team sports. Midoul et al. (2026) provided a comprehensive overview of methodological trends in sport ML, and Ati et al. (2023) conducted a systematic review of the topics of multi-criteria decision-making and machine learning in the context of football player selection. These reviews illustrate the fast progress of the field and the ongoing shortcomings in state representation, reward design, and practical use.</w:t>
      </w:r>
    </w:p>
    <w:p>
      <w:r>
        <w:t>RL has been applied to a wide variety of sports domains, highlighting the generalizability of the approach. For basketball, Chen et al. (2022) presented ReLiable for tactical strategies, Yanai et al. (2022) introduced Q-Ball to evaluate player performance, and Chen et al. (2023) proposed PlayBest for player behavior synthesis via diffusion planning. Liang et al. (2026) created NeuroPlayNet for real-time cognitive strategy optimization, while Chao et al. (2024) utilized IoT-integrated deep Q-learning. Additional basketball contributions include machine learning analyses of defensive tactics (Li, 2025), immersive digital twins (Lv et al., 2025), decision support systems (Bao, 2026), error-based motor learning (Truong et al., 2023), domain context decision models (Yang et al., 2026), and victory factor modeling (Wang, 2025). For racket sports, Ding et al. (2022), Liu et al. (2026), Wang et al. (2024), and Li et al. (2026) developed RL architectures for badminton tactics, while Tao et al. (2025) assessed player tactical choices. In tennis, Chen (2024, 2025) and Mohan (2025) formulated RL decision optimization frameworks. In other sports, Oberlin et al. (2026) and Son et al. (2026) developed RL frameworks for strategic curling, Yang et al. (2023) improved speed skating DDQN tactical models, Won et al. (2021) controlled physically simulated characters, Haarnoja et al. (2023) and Liu et al. (2021) trained agile bipedal robots in simulated soccer, Wurman et al. (2022) mastered Gran Turismo, and Thomas et al. (2026) optimized Formula One race strategy.</w:t>
      </w:r>
    </w:p>
    <w:p>
      <w:r>
        <w:t>Other RL applications span athlete training load management (Guo &amp; Xu, 2026; Xu et al., 2025; Gui, 2026; Xia et al., 2025; Zhang et al., 2026; Li, 2025; Wu, 2025; Magelssen et al., 2025; Song &amp; Qian, 2025) and general sports decision support systems (Xu, 2024; Wang, 2025; Kandasamy et al., 2025; M. R. et al., 2024; Yu, 2025; Fang et al., 2021; Goes et al., 2021). In football-specific settings, researchers have developed relational multi-agent learning (Liu, 2026), generative tactic open-play models (Zhao et al., 2025; Xu et al., 2026), heterogeneous-graph attention (Wang et al., 2023), opponent intention inference (Wang et al., 2024), instruction following with style policies (Sun et al., 2025), distributional RL (Datta et al., 2021), and simulated robotic football scaling to full 11v11 (Smit et al., 2023; Taourirte &amp; Mia, 2025; Brandão et al., 2022; Riedmiller et al., 2001; Labiosa et al., 2024; Mo et al., 2022). Specialized tactical scenarios have targeted penalty kick optimization (Ahmad Naim et al., 2026; Suryawanshi et al., 2025) and women's offensive transitions (Casal et al., 2025; Li et al., 2025). Pedagogical insights (Godbout &amp; Gréhaigne, 2020; Gaviria Alzate et al., 2024; García-Ceberino et al., 2020; González-Valero et al., 2024; Abad Robles et al., 2020; El-Saleh, 2020; Richards et al., 2025) and foundational algorithmic methodologies (Hoel et al., 2019; Howatt &amp; Young, 2026; Chen et al., 2024; Jeon et al., 2026; Lee et al., 2026; Pan et al., 2021; Qiao et al., 2025; Nambiar et al., 2023; Wei et al., 2025; Shao, 2026; Zhang et al., 2024; Munikoti et al., 2022; Standen et al., 2024; Su &amp; Dong, 2025; Xue et al., 2026; Li et al., 2025; Zhang &amp; Xue, 2020) further reinforce the need for domain-tailored representations.</w:t>
      </w:r>
    </w:p>
    <w:p>
      <w:r>
        <w:t>CRITICAL RESEARCH GAP: To date, no systematic investigation has examined the coupled, cross-layer interaction between semantic state representations and multi-component reward design on the tactical behavior of cooperative MARL agents. Existing studies isolate a single component, preventing researchers from discerning whether observed gains stem from representational richness, reward shaping, or an emergent interaction between both.</w:t>
      </w:r>
    </w:p>
    <w:p>
      <w:r>
        <w:t>RESEARCH OBJECTIVES: To address these gaps, this study proposes, implements, and evaluates a cooperative MARL framework combining semantically rich state representations with context-aware multi-component rewards for tactical decision-making in association football simulation. The research executes four specific objectives: (1) build a semantic feature engineering pipeline translating raw kinematics into tactical indicators (L_pass, S(j), TTR, shot viability); (2) design a multi-component reward function balancing sparse outcomes with Markovian on-ball progression, off-ball space creation, and defensive disruption, guaranteeing policy invariance via Potential-Based Reward Shaping (PBRS); (3) implement a Centralized Training with Decentralized Execution (CTDE) MAPPO architecture; and (4) perform a controlled 2x2 factorial ablation study assessing the causal effects on task performance and tactical coherence across five random seeds (N = 1,000 matches per condition).</w:t>
      </w:r>
    </w:p>
    <w:p>
      <w:pPr>
        <w:pStyle w:val="Heading1"/>
      </w:pPr>
      <w:r>
        <w:rPr>
          <w:rFonts w:ascii="Times New Roman" w:hAnsi="Times New Roman"/>
          <w:b/>
          <w:color w:val="0F172A"/>
          <w:sz w:val="26"/>
        </w:rPr>
        <w:t>2. Materials and Methods</w:t>
      </w:r>
    </w:p>
    <w:p>
      <w:pPr>
        <w:pStyle w:val="Heading2"/>
      </w:pPr>
      <w:r>
        <w:rPr>
          <w:rFonts w:ascii="Times New Roman" w:hAnsi="Times New Roman"/>
          <w:b/>
          <w:color w:val="1E293B"/>
          <w:sz w:val="23"/>
        </w:rPr>
        <w:t>2.1 Experimental Testbed and Data Sources</w:t>
      </w:r>
    </w:p>
    <w:p>
      <w:r>
        <w:t>2.1.1 Google Research Football Simulation Environment: Experiments were executed in Google Research Football (GRF) v2.8 (Kurach et al., 2019), an open-source physical simulation engine modeling 3D player dynamics, non-linear ball drag, offside mechanics, and contact collisions at 10 Hz physical integration steps. Three benchmark scenarios were tested: Academy 3 vs. 1 with Goalkeeper (isolating triangular spacing and passing geometry), Academy Run, Pass and Shoot with Goalkeeper, and Full Match 11 vs. 11 against the built-in rule-based AI opponent.</w:t>
      </w:r>
    </w:p>
    <w:p>
      <w:r>
        <w:t>2.1.2 StatsBomb Open Event and Tracking Dataset: Real-world spatial transition probabilities were calibrated using the StatsBomb Open Dataset, comprising over 1.2 million events across 3,000 professional matches. Event coordinates were normalized to the continuous Cartesian coordinate system [-1.0, 1.0] x [-0.42, 0.42] to fit the empirical Expected Threat (xT) / On-Ball Value transition matrix.</w:t>
      </w:r>
    </w:p>
    <w:p>
      <w:r>
        <w:t>2.1.3 Hardware Infrastructure: Rollouts and training were executed on a workstation with an AMD Ryzen 9 5950X CPU (16 cores, 32 threads @ 3.4 GHz), 64 GB DDR4 RAM, and an NVIDIA GeForce RTX 3080 GPU (10 GB GDDR6X VRAM) across 16 parallel SubprocVecEnv worker environments per seed.</w:t>
      </w:r>
    </w:p>
    <w:p>
      <w:pPr>
        <w:pStyle w:val="Heading2"/>
      </w:pPr>
      <w:r>
        <w:rPr>
          <w:rFonts w:ascii="Times New Roman" w:hAnsi="Times New Roman"/>
          <w:b/>
          <w:color w:val="1E293B"/>
          <w:sz w:val="23"/>
        </w:rPr>
        <w:t>2.2 Mathematical Dec-POMDP Formulation</w:t>
      </w:r>
    </w:p>
    <w:p>
      <w:r>
        <w:t>The multi-agent football coordination task is formalized as a Decentralized Partially Observable Markov Decision Process (Dec-POMDP) characterized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scr m:val="script"/>
                </m:rPr>
                <m:t>M</m:t>
              </m:r>
              <m:r>
                <m:t>=⟨</m:t>
              </m:r>
              <m:r>
                <m:rPr>
                  <m:scr m:val="script"/>
                </m:rPr>
                <m:t>I</m:t>
              </m:r>
              <m:r>
                <m:t>,</m:t>
              </m:r>
              <m:r>
                <m:rPr>
                  <m:scr m:val="script"/>
                </m:rPr>
                <m:t>S</m:t>
              </m:r>
              <m:r>
                <m:t>,</m:t>
              </m:r>
              <m:sSub>
                <m:e>
                  <m:d>
                    <m:dPr>
                      <m:begChr m:val="{"/>
                      <m:sepChr m:val=""/>
                      <m:endChr m:val="}"/>
                    </m:dPr>
                    <m:e>
                      <m:sSub>
                        <m:e>
                          <m:r>
                            <m:rPr>
                              <m:scr m:val="script"/>
                            </m:rPr>
                            <m:t>A</m:t>
                          </m:r>
                        </m:e>
                        <m:sub>
                          <m:r>
                            <m:t>i</m:t>
                          </m:r>
                        </m:sub>
                      </m:sSub>
                    </m:e>
                  </m:d>
                </m:e>
                <m:sub>
                  <m:r>
                    <m:t>i∈</m:t>
                  </m:r>
                  <m:r>
                    <m:rPr>
                      <m:scr m:val="script"/>
                    </m:rPr>
                    <m:t>I</m:t>
                  </m:r>
                </m:sub>
              </m:sSub>
              <m:r>
                <m:t>,</m:t>
              </m:r>
              <m:r>
                <m:rPr>
                  <m:scr m:val="script"/>
                </m:rPr>
                <m:t>P</m:t>
              </m:r>
              <m:r>
                <m:t>,</m:t>
              </m:r>
              <m:sSub>
                <m:e>
                  <m:d>
                    <m:dPr>
                      <m:begChr m:val="{"/>
                      <m:sepChr m:val=""/>
                      <m:endChr m:val="}"/>
                    </m:dPr>
                    <m:e>
                      <m:sSub>
                        <m:e>
                          <m:r>
                            <m:rPr>
                              <m:scr m:val="script"/>
                            </m:rPr>
                            <m:t>R</m:t>
                          </m:r>
                        </m:e>
                        <m:sub>
                          <m:r>
                            <m:t>i</m:t>
                          </m:r>
                        </m:sub>
                      </m:sSub>
                    </m:e>
                  </m:d>
                </m:e>
                <m:sub>
                  <m:r>
                    <m:t>i∈</m:t>
                  </m:r>
                  <m:r>
                    <m:rPr>
                      <m:scr m:val="script"/>
                    </m:rPr>
                    <m:t>I</m:t>
                  </m:r>
                </m:sub>
              </m:sSub>
              <m:r>
                <m:t>,</m:t>
              </m:r>
              <m:sSub>
                <m:e>
                  <m:d>
                    <m:dPr>
                      <m:begChr m:val="{"/>
                      <m:sepChr m:val=""/>
                      <m:endChr m:val="}"/>
                    </m:dPr>
                    <m:e>
                      <m:sSub>
                        <m:e>
                          <m:r>
                            <m:rPr>
                              <m:sty m:val="p"/>
                            </m:rPr>
                            <m:t>Ω</m:t>
                          </m:r>
                        </m:e>
                        <m:sub>
                          <m:r>
                            <m:t>i</m:t>
                          </m:r>
                        </m:sub>
                      </m:sSub>
                    </m:e>
                  </m:d>
                </m:e>
                <m:sub>
                  <m:r>
                    <m:t>i∈</m:t>
                  </m:r>
                  <m:r>
                    <m:rPr>
                      <m:scr m:val="script"/>
                    </m:rPr>
                    <m:t>I</m:t>
                  </m:r>
                </m:sub>
              </m:sSub>
              <m:r>
                <m:t>,</m:t>
              </m:r>
              <m:sSub>
                <m:e>
                  <m:d>
                    <m:dPr>
                      <m:begChr m:val="{"/>
                      <m:sepChr m:val=""/>
                      <m:endChr m:val="}"/>
                    </m:dPr>
                    <m:e>
                      <m:sSub>
                        <m:e>
                          <m:r>
                            <m:rPr>
                              <m:scr m:val="script"/>
                            </m:rPr>
                            <m:t>O</m:t>
                          </m:r>
                        </m:e>
                        <m:sub>
                          <m:r>
                            <m:t>i</m:t>
                          </m:r>
                        </m:sub>
                      </m:sSub>
                    </m:e>
                  </m:d>
                </m:e>
                <m:sub>
                  <m:r>
                    <m:t>i∈</m:t>
                  </m:r>
                  <m:r>
                    <m:rPr>
                      <m:scr m:val="script"/>
                    </m:rPr>
                    <m:t>I</m:t>
                  </m:r>
                </m:sub>
              </m:sSub>
              <m:r>
                <m:t>,γ⟩</m:t>
              </m:r>
            </m:oMath>
          </w:p>
        </w:tc>
        <w:tc>
          <w:tcPr>
            <w:tcW w:type="dxa" w:w="1008"/>
          </w:tcPr>
          <w:p>
            <w:pPr>
              <w:spacing w:after="40" w:before="40"/>
              <w:jc w:val="right"/>
            </w:pPr>
            <w:r>
              <w:rPr>
                <w:rFonts w:ascii="Times New Roman" w:hAnsi="Times New Roman"/>
                <w:b/>
                <w:sz w:val="21"/>
              </w:rPr>
              <w:t>(1)</w:t>
            </w:r>
          </w:p>
        </w:tc>
      </w:tr>
    </w:tbl>
    <w:p>
      <w:pPr>
        <w:spacing w:after="60"/>
      </w:pPr>
    </w:p>
    <w:p>
      <w:r>
        <w:t>Justification: Eq. (1) defines the formal Dec-POMDP tuple where I = {1, ..., N} denotes the set of controllable outfield agents; S ⊆ R^115 represents the global environmental state (Cartesian coordinates and velocities of all 22 players and the ball, pitch bounds, and clock); A_i = {0, ..., 18} is the discrete 19-dimensional GRF action space; P(s' | s, a) is the Markovian transition probability density; R_i is the global reward signal; Ω_i ⊆ R^139 is the local augmented observation vector received by agent i; O_i(s) is the observation emission function mapping global state to local view o_i; and γ = 0.993 is the infinite-horizon temporal discount factor.</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834640"/>
                    </a:xfrm>
                    <a:prstGeom prst="rect"/>
                  </pic:spPr>
                </pic:pic>
              </a:graphicData>
            </a:graphic>
          </wp:inline>
        </w:drawing>
      </w:r>
    </w:p>
    <w:p>
      <w:pPr>
        <w:jc w:val="center"/>
      </w:pPr>
      <w:r>
        <w:rPr>
          <w:i/>
          <w:color w:val="475569"/>
          <w:sz w:val="19"/>
        </w:rPr>
        <w:t>Figure 1: CTDE MAPPO End-to-End System Architecture with Decentralized Actors, Centralized Critic, Semantic Feature Extraction, and PBRS Module.</w:t>
      </w:r>
    </w:p>
    <w:p>
      <w:pPr>
        <w:pStyle w:val="Heading2"/>
      </w:pPr>
      <w:r>
        <w:rPr>
          <w:rFonts w:ascii="Times New Roman" w:hAnsi="Times New Roman"/>
          <w:b/>
          <w:color w:val="1E293B"/>
          <w:sz w:val="23"/>
        </w:rPr>
        <w:t>2.3 Semantic Tactical Feature Engineering Pipeline</w:t>
      </w:r>
    </w:p>
    <w:p>
      <w:r>
        <w:t>Let p_b denote the Cartesian coordinates of the active ball-carrier b = argmin_{i in I} ||p_i - p_ball||_2, p_j denote prospective receiver j in J, and p_d denote opposing defender d in D. The passing trajectory displacement vector is defined as v_pass = p_j - p_b. The scalar projection of defender d along the passing corridor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t</m:t>
                  </m:r>
                </m:e>
                <m:sub>
                  <m:r>
                    <m:rPr>
                      <m:nor/>
                    </m:rPr>
                    <m:t>proj</m:t>
                  </m:r>
                </m:sub>
              </m:sSub>
              <m:r>
                <m:t>(d)=</m:t>
              </m:r>
              <m:f>
                <m:fPr>
                  <m:type m:val="bar"/>
                </m:fPr>
                <m:num>
                  <m:r>
                    <m:t>⟨</m:t>
                  </m:r>
                  <m:sSub>
                    <m:e>
                      <m:r>
                        <m:rPr>
                          <m:sty m:val="b"/>
                        </m:rPr>
                        <m:t>p</m:t>
                      </m:r>
                    </m:e>
                    <m:sub>
                      <m:r>
                        <m:t>d</m:t>
                      </m:r>
                    </m:sub>
                  </m:sSub>
                  <m:r>
                    <m:t>−</m:t>
                  </m:r>
                  <m:sSub>
                    <m:e>
                      <m:r>
                        <m:rPr>
                          <m:sty m:val="b"/>
                        </m:rPr>
                        <m:t>p</m:t>
                      </m:r>
                    </m:e>
                    <m:sub>
                      <m:r>
                        <m:t>b</m:t>
                      </m:r>
                    </m:sub>
                  </m:sSub>
                  <m:r>
                    <m:t>,</m:t>
                  </m:r>
                  <m:sSub>
                    <m:e>
                      <m:r>
                        <m:rPr>
                          <m:sty m:val="b"/>
                        </m:rPr>
                        <m:t>v</m:t>
                      </m:r>
                    </m:e>
                    <m:sub>
                      <m:r>
                        <m:rPr>
                          <m:nor/>
                        </m:rPr>
                        <m:t>pass</m:t>
                      </m:r>
                    </m:sub>
                  </m:sSub>
                  <m:r>
                    <m:t>⟩</m:t>
                  </m:r>
                </m:num>
                <m:den>
                  <m:r>
                    <m:t>∥</m:t>
                  </m:r>
                  <m:sSub>
                    <m:e>
                      <m:r>
                        <m:rPr>
                          <m:sty m:val="b"/>
                        </m:rPr>
                        <m:t>v</m:t>
                      </m:r>
                    </m:e>
                    <m:sub>
                      <m:r>
                        <m:rPr>
                          <m:nor/>
                        </m:rPr>
                        <m:t>pass</m:t>
                      </m:r>
                    </m:sub>
                  </m:sSub>
                  <m:sSubSup>
                    <m:e>
                      <m:r>
                        <m:t>∥</m:t>
                      </m:r>
                    </m:e>
                    <m:sub>
                      <m:r>
                        <m:t>2</m:t>
                      </m:r>
                    </m:sub>
                    <m:sup>
                      <m:r>
                        <m:t>2</m:t>
                      </m:r>
                    </m:sup>
                  </m:sSubSup>
                  <m:r>
                    <m:t>+ε</m:t>
                  </m:r>
                </m:den>
              </m:f>
            </m:oMath>
          </w:p>
        </w:tc>
        <w:tc>
          <w:tcPr>
            <w:tcW w:type="dxa" w:w="1008"/>
          </w:tcPr>
          <w:p>
            <w:pPr>
              <w:spacing w:after="40" w:before="40"/>
              <w:jc w:val="right"/>
            </w:pPr>
            <w:r>
              <w:rPr>
                <w:rFonts w:ascii="Times New Roman" w:hAnsi="Times New Roman"/>
                <w:b/>
                <w:sz w:val="21"/>
              </w:rPr>
              <w:t>(2)</w:t>
            </w:r>
          </w:p>
        </w:tc>
      </w:tr>
    </w:tbl>
    <w:p>
      <w:pPr>
        <w:spacing w:after="60"/>
      </w:pPr>
    </w:p>
    <w:p>
      <w:r>
        <w:t>Justification: Eq. (2) calculates the normalized scalar coordinate of defender d along the line segment connecting the ball carrier to receiver j, where ⟨·, ·⟩ denotes the standard Euclidean inner product, ||v_pass||_2^2 is the squared Euclidean pass length, and ε = 1e-6 prevents division by zero.</w:t>
      </w:r>
    </w:p>
    <w:p>
      <w:r>
        <w:t>The closest point on the passing line segment to defender d is computed via clipping: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sty m:val="b"/>
                    </m:rPr>
                    <m:t>p</m:t>
                  </m:r>
                </m:e>
                <m:sub>
                  <m:r>
                    <m:rPr>
                      <m:nor/>
                    </m:rPr>
                    <m:t>closest</m:t>
                  </m:r>
                </m:sub>
              </m:sSub>
              <m:r>
                <m:t>(d)=</m:t>
              </m:r>
              <m:sSub>
                <m:e>
                  <m:r>
                    <m:rPr>
                      <m:sty m:val="b"/>
                    </m:rPr>
                    <m:t>p</m:t>
                  </m:r>
                </m:e>
                <m:sub>
                  <m:r>
                    <m:t>b</m:t>
                  </m:r>
                </m:sub>
              </m:sSub>
              <m:r>
                <m:t>+</m:t>
              </m:r>
              <m:r>
                <m:rPr>
                  <m:nor/>
                </m:rPr>
                <m:t>clip</m:t>
              </m:r>
              <m:r>
                <m:t>(</m:t>
              </m:r>
              <m:sSub>
                <m:e>
                  <m:r>
                    <m:t>t</m:t>
                  </m:r>
                </m:e>
                <m:sub>
                  <m:r>
                    <m:rPr>
                      <m:nor/>
                    </m:rPr>
                    <m:t>proj</m:t>
                  </m:r>
                </m:sub>
              </m:sSub>
              <m:r>
                <m:t>(d),0.0,1.0)⋅</m:t>
              </m:r>
              <m:sSub>
                <m:e>
                  <m:r>
                    <m:rPr>
                      <m:sty m:val="b"/>
                    </m:rPr>
                    <m:t>v</m:t>
                  </m:r>
                </m:e>
                <m:sub>
                  <m:r>
                    <m:rPr>
                      <m:nor/>
                    </m:rPr>
                    <m:t>pass</m:t>
                  </m:r>
                </m:sub>
              </m:sSub>
            </m:oMath>
          </w:p>
        </w:tc>
        <w:tc>
          <w:tcPr>
            <w:tcW w:type="dxa" w:w="1008"/>
          </w:tcPr>
          <w:p>
            <w:pPr>
              <w:spacing w:after="40" w:before="40"/>
              <w:jc w:val="right"/>
            </w:pPr>
            <w:r>
              <w:rPr>
                <w:rFonts w:ascii="Times New Roman" w:hAnsi="Times New Roman"/>
                <w:b/>
                <w:sz w:val="21"/>
              </w:rPr>
              <w:t>(3)</w:t>
            </w:r>
          </w:p>
        </w:tc>
      </w:tr>
    </w:tbl>
    <w:p>
      <w:pPr>
        <w:spacing w:after="60"/>
      </w:pPr>
    </w:p>
    <w:p>
      <w:r>
        <w:t>Justification: Eq. (3) clamps the projection to the compact interval [0.0, 1.0], ensuring p_closest(d) lies strictly within the active pass segment.</w:t>
      </w:r>
    </w:p>
    <w:p>
      <w:r>
        <w:t>The orthogonal Euclidean deviation h_perp(d) between defender d and the pass trajectory is given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h</m:t>
                  </m:r>
                </m:e>
                <m:sub>
                  <m:r>
                    <m:t>⊥</m:t>
                  </m:r>
                </m:sub>
              </m:sSub>
              <m:r>
                <m:t>(d)=∥</m:t>
              </m:r>
              <m:sSub>
                <m:e>
                  <m:r>
                    <m:rPr>
                      <m:sty m:val="b"/>
                    </m:rPr>
                    <m:t>p</m:t>
                  </m:r>
                </m:e>
                <m:sub>
                  <m:r>
                    <m:t>d</m:t>
                  </m:r>
                </m:sub>
              </m:sSub>
              <m:r>
                <m:t>−</m:t>
              </m:r>
              <m:sSub>
                <m:e>
                  <m:r>
                    <m:rPr>
                      <m:sty m:val="b"/>
                    </m:rPr>
                    <m:t>p</m:t>
                  </m:r>
                </m:e>
                <m:sub>
                  <m:r>
                    <m:rPr>
                      <m:nor/>
                    </m:rPr>
                    <m:t>closest</m:t>
                  </m:r>
                </m:sub>
              </m:sSub>
              <m:r>
                <m:t>(d)</m:t>
              </m:r>
              <m:sSub>
                <m:e>
                  <m:r>
                    <m:t>∥</m:t>
                  </m:r>
                </m:e>
                <m:sub>
                  <m:r>
                    <m:t>2</m:t>
                  </m:r>
                </m:sub>
              </m:sSub>
            </m:oMath>
          </w:p>
        </w:tc>
        <w:tc>
          <w:tcPr>
            <w:tcW w:type="dxa" w:w="1008"/>
          </w:tcPr>
          <w:p>
            <w:pPr>
              <w:spacing w:after="40" w:before="40"/>
              <w:jc w:val="right"/>
            </w:pPr>
            <w:r>
              <w:rPr>
                <w:rFonts w:ascii="Times New Roman" w:hAnsi="Times New Roman"/>
                <w:b/>
                <w:sz w:val="21"/>
              </w:rPr>
              <w:t>(4)</w:t>
            </w:r>
          </w:p>
        </w:tc>
      </w:tr>
    </w:tbl>
    <w:p>
      <w:pPr>
        <w:spacing w:after="60"/>
      </w:pPr>
    </w:p>
    <w:p>
      <w:r>
        <w:t>Justification: Eq. (4) establishes the minimum Euclidean distance between defender d and the passing vector, measuring defensive proximity.</w:t>
      </w:r>
    </w:p>
    <w:p>
      <w:r>
        <w:t>Dynamic interception risk is modeled via a velocity-dependent Gaussian corridor: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P</m:t>
                  </m:r>
                </m:e>
                <m:sub>
                  <m:r>
                    <m:rPr>
                      <m:nor/>
                    </m:rPr>
                    <m:t>intercept</m:t>
                  </m:r>
                </m:sub>
              </m:sSub>
              <m:r>
                <m:t>(d;b,j)=</m:t>
              </m:r>
              <m:r>
                <m:rPr>
                  <m:sty m:val="p"/>
                </m:rPr>
                <m:t>exp</m:t>
              </m:r>
              <m:r>
                <m:t>(−</m:t>
              </m:r>
              <m:f>
                <m:fPr>
                  <m:type m:val="bar"/>
                </m:fPr>
                <m:num>
                  <m:sSub>
                    <m:e>
                      <m:r>
                        <m:t>h</m:t>
                      </m:r>
                    </m:e>
                    <m:sub>
                      <m:r>
                        <m:t>⊥</m:t>
                      </m:r>
                    </m:sub>
                  </m:sSub>
                  <m:sSup>
                    <m:e>
                      <m:d>
                        <m:dPr>
                          <m:sepChr m:val=""/>
                        </m:dPr>
                        <m:e>
                          <m:r>
                            <m:t>d</m:t>
                          </m:r>
                        </m:e>
                      </m:d>
                    </m:e>
                    <m:sup>
                      <m:r>
                        <m:t>2</m:t>
                      </m:r>
                    </m:sup>
                  </m:sSup>
                </m:num>
                <m:den>
                  <m:r>
                    <m:t>2</m:t>
                  </m:r>
                  <m:sSubSup>
                    <m:e>
                      <m:r>
                        <m:t>σ</m:t>
                      </m:r>
                    </m:e>
                    <m:sub>
                      <m:r>
                        <m:t>d</m:t>
                      </m:r>
                    </m:sub>
                    <m:sup>
                      <m:r>
                        <m:t>2</m:t>
                      </m:r>
                    </m:sup>
                  </m:sSubSup>
                </m:den>
              </m:f>
              <m:r>
                <m:t>)⋅</m:t>
              </m:r>
              <m:r>
                <m:rPr>
                  <m:scr m:val="double-struck"/>
                  <m:sty m:val="p"/>
                </m:rPr>
                <m:t>I</m:t>
              </m:r>
              <m:r>
                <m:t>(</m:t>
              </m:r>
              <m:sSub>
                <m:e>
                  <m:r>
                    <m:t>t</m:t>
                  </m:r>
                </m:e>
                <m:sub>
                  <m:r>
                    <m:rPr>
                      <m:nor/>
                    </m:rPr>
                    <m:t>proj</m:t>
                  </m:r>
                </m:sub>
              </m:sSub>
              <m:r>
                <m:t>(d)∈[0,1])</m:t>
              </m:r>
            </m:oMath>
          </w:p>
        </w:tc>
        <w:tc>
          <w:tcPr>
            <w:tcW w:type="dxa" w:w="1008"/>
          </w:tcPr>
          <w:p>
            <w:pPr>
              <w:spacing w:after="40" w:before="40"/>
              <w:jc w:val="right"/>
            </w:pPr>
            <w:r>
              <w:rPr>
                <w:rFonts w:ascii="Times New Roman" w:hAnsi="Times New Roman"/>
                <w:b/>
                <w:sz w:val="21"/>
              </w:rPr>
              <w:t>(5)</w:t>
            </w:r>
          </w:p>
        </w:tc>
      </w:tr>
    </w:tbl>
    <w:p>
      <w:pPr>
        <w:spacing w:after="60"/>
      </w:pPr>
    </w:p>
    <w:p>
      <w:r>
        <w:t>Justification: Eq. (5) represents the interception probability of defender d using a radial Gaussian kernel. The indicator function I(t_proj ∈ [0, 1]) ensures that only defenders positioned longitudinally between passer and receiver exert blocking pressure along the trajectory.</w:t>
      </w:r>
    </w:p>
    <w:p>
      <w:r>
        <w:t>The dynamic corridor variance sigma_d scales with the defender's instantaneous velocity: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σ</m:t>
                  </m:r>
                </m:e>
                <m:sub>
                  <m:r>
                    <m:t>d</m:t>
                  </m:r>
                </m:sub>
              </m:sSub>
              <m:r>
                <m:t>=</m:t>
              </m:r>
              <m:sSub>
                <m:e>
                  <m:r>
                    <m:t>σ</m:t>
                  </m:r>
                </m:e>
                <m:sub>
                  <m:r>
                    <m:t>0</m:t>
                  </m:r>
                </m:sub>
              </m:sSub>
              <m:r>
                <m:t>⋅(1.0+</m:t>
              </m:r>
              <m:f>
                <m:fPr>
                  <m:type m:val="bar"/>
                </m:fPr>
                <m:num>
                  <m:r>
                    <m:t>∥</m:t>
                  </m:r>
                  <m:sSub>
                    <m:e>
                      <m:r>
                        <m:rPr>
                          <m:sty m:val="b"/>
                        </m:rPr>
                        <m:t>v</m:t>
                      </m:r>
                    </m:e>
                    <m:sub>
                      <m:r>
                        <m:t>d</m:t>
                      </m:r>
                    </m:sub>
                  </m:sSub>
                  <m:sSub>
                    <m:e>
                      <m:r>
                        <m:t>∥</m:t>
                      </m:r>
                    </m:e>
                    <m:sub>
                      <m:r>
                        <m:t>2</m:t>
                      </m:r>
                    </m:sub>
                  </m:sSub>
                </m:num>
                <m:den>
                  <m:sSub>
                    <m:e>
                      <m:r>
                        <m:t>v</m:t>
                      </m:r>
                    </m:e>
                    <m:sub>
                      <m:r>
                        <m:rPr>
                          <m:nor/>
                        </m:rPr>
                        <m:t>max</m:t>
                      </m:r>
                    </m:sub>
                  </m:sSub>
                </m:den>
              </m:f>
              <m:r>
                <m:t>)</m:t>
              </m:r>
            </m:oMath>
          </w:p>
        </w:tc>
        <w:tc>
          <w:tcPr>
            <w:tcW w:type="dxa" w:w="1008"/>
          </w:tcPr>
          <w:p>
            <w:pPr>
              <w:spacing w:after="40" w:before="40"/>
              <w:jc w:val="right"/>
            </w:pPr>
            <w:r>
              <w:rPr>
                <w:rFonts w:ascii="Times New Roman" w:hAnsi="Times New Roman"/>
                <w:b/>
                <w:sz w:val="21"/>
              </w:rPr>
              <w:t>(6)</w:t>
            </w:r>
          </w:p>
        </w:tc>
      </w:tr>
    </w:tbl>
    <w:p>
      <w:pPr>
        <w:spacing w:after="60"/>
      </w:pPr>
    </w:p>
    <w:p>
      <w:r>
        <w:t>Justification: Eq. (6) widens the interception envelope of sprinting defenders, where σ_0 = 0.05 pitch units (~2.625 m) is base lunging reach and v_max = 1.0 pitch units/s (~10.5 m/s) is maximum sprint velocity.</w:t>
      </w:r>
    </w:p>
    <w:p>
      <w:r>
        <w:t>The net dynamic pass-lane openness L_pass(b, j) in [0, 1]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L</m:t>
                  </m:r>
                </m:e>
                <m:sub>
                  <m:r>
                    <m:rPr>
                      <m:nor/>
                    </m:rPr>
                    <m:t>pass</m:t>
                  </m:r>
                </m:sub>
              </m:sSub>
              <m:r>
                <m:t>(b,j)=1.0−</m:t>
              </m:r>
              <m:limLow>
                <m:e>
                  <m:r>
                    <m:t>max</m:t>
                  </m:r>
                </m:e>
                <m:lim>
                  <m:r>
                    <m:t>d∈</m:t>
                  </m:r>
                  <m:r>
                    <m:rPr>
                      <m:scr m:val="script"/>
                    </m:rPr>
                    <m:t>D</m:t>
                  </m:r>
                </m:lim>
              </m:limLow>
              <m:sSub>
                <m:e>
                  <m:r>
                    <m:t>P</m:t>
                  </m:r>
                </m:e>
                <m:sub>
                  <m:r>
                    <m:rPr>
                      <m:nor/>
                    </m:rPr>
                    <m:t>intercept</m:t>
                  </m:r>
                </m:sub>
              </m:sSub>
              <m:r>
                <m:t>(d;b,j)</m:t>
              </m:r>
            </m:oMath>
          </w:p>
        </w:tc>
        <w:tc>
          <w:tcPr>
            <w:tcW w:type="dxa" w:w="1008"/>
          </w:tcPr>
          <w:p>
            <w:pPr>
              <w:spacing w:after="40" w:before="40"/>
              <w:jc w:val="right"/>
            </w:pPr>
            <w:r>
              <w:rPr>
                <w:rFonts w:ascii="Times New Roman" w:hAnsi="Times New Roman"/>
                <w:b/>
                <w:sz w:val="21"/>
              </w:rPr>
              <w:t>(7)</w:t>
            </w:r>
          </w:p>
        </w:tc>
      </w:tr>
    </w:tbl>
    <w:p>
      <w:pPr>
        <w:spacing w:after="60"/>
      </w:pPr>
    </w:p>
    <w:p>
      <w:r>
        <w:t>Justification: Eq. (7) takes the conservative worst-case across all opposing defenders D, yielding a clear passing probability L_pass ∈ [0, 1].</w:t>
      </w:r>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2_geometric_corridor.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475569"/>
          <w:sz w:val="19"/>
        </w:rPr>
        <w:t>Figure 2: Dynamic Pass Corridor Geometry: Ball Carrier b, Receiver j, Opposing Defender d, and Velocity-Scaled Gaussian Interception Envelope.</w:t>
      </w:r>
    </w:p>
    <w:p>
      <w:r>
        <w:t>The tactical spatial viability of off-ball teammate j is evaluated via the Dynamic Space Score S(j):</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S(j)=</m:t>
              </m:r>
              <m:sSub>
                <m:e>
                  <m:r>
                    <m:t>k</m:t>
                  </m:r>
                </m:e>
                <m:sub>
                  <m:r>
                    <m:t>1</m:t>
                  </m:r>
                </m:sub>
              </m:sSub>
              <m:r>
                <m:t>⋅</m:t>
              </m:r>
              <m:sSub>
                <m:e>
                  <m:r>
                    <m:t>D</m:t>
                  </m:r>
                </m:e>
                <m:sub>
                  <m:r>
                    <m:rPr>
                      <m:nor/>
                    </m:rPr>
                    <m:t>ball</m:t>
                  </m:r>
                </m:sub>
              </m:sSub>
              <m:r>
                <m:t>(j)+</m:t>
              </m:r>
              <m:sSub>
                <m:e>
                  <m:r>
                    <m:t>k</m:t>
                  </m:r>
                </m:e>
                <m:sub>
                  <m:r>
                    <m:t>2</m:t>
                  </m:r>
                </m:sub>
              </m:sSub>
              <m:r>
                <m:t>⋅</m:t>
              </m:r>
              <m:sSub>
                <m:e>
                  <m:r>
                    <m:t>D</m:t>
                  </m:r>
                </m:e>
                <m:sub>
                  <m:r>
                    <m:rPr>
                      <m:nor/>
                    </m:rPr>
                    <m:t>def</m:t>
                  </m:r>
                </m:sub>
              </m:sSub>
              <m:r>
                <m:t>(j)+</m:t>
              </m:r>
              <m:sSub>
                <m:e>
                  <m:r>
                    <m:t>k</m:t>
                  </m:r>
                </m:e>
                <m:sub>
                  <m:r>
                    <m:t>3</m:t>
                  </m:r>
                </m:sub>
              </m:sSub>
              <m:r>
                <m:t>⋅</m:t>
              </m:r>
              <m:sSub>
                <m:e>
                  <m:r>
                    <m:t>L</m:t>
                  </m:r>
                </m:e>
                <m:sub>
                  <m:r>
                    <m:rPr>
                      <m:nor/>
                    </m:rPr>
                    <m:t>pass</m:t>
                  </m:r>
                </m:sub>
              </m:sSub>
              <m:r>
                <m:t>(b,j)</m:t>
              </m:r>
            </m:oMath>
          </w:p>
        </w:tc>
        <w:tc>
          <w:tcPr>
            <w:tcW w:type="dxa" w:w="1008"/>
          </w:tcPr>
          <w:p>
            <w:pPr>
              <w:spacing w:after="40" w:before="40"/>
              <w:jc w:val="right"/>
            </w:pPr>
            <w:r>
              <w:rPr>
                <w:rFonts w:ascii="Times New Roman" w:hAnsi="Times New Roman"/>
                <w:b/>
                <w:sz w:val="21"/>
              </w:rPr>
              <w:t>(8)</w:t>
            </w:r>
          </w:p>
        </w:tc>
      </w:tr>
    </w:tbl>
    <w:p>
      <w:pPr>
        <w:spacing w:after="60"/>
      </w:pPr>
    </w:p>
    <w:p>
      <w:r>
        <w:t>Justification: Eq. (8) synthesizes receiver positioning. D_ball(j) = ||p_j - p_b||_2 / D_max is distance to ball (normalized by pitch diagonal D_max = 2.17); D_def(j) = min(1.0, min_{d in D} ||p_j - p_d||_2 / D_safe) evaluates marking separation (D_safe = 0.20 pitch units); and L_pass(b, j) is line openness. Calibrated weights are: k_1 = -0.50 (penalizing crowding), k_2 = 0.30 (rewarding separation from markers), and k_3 = 0.40 (rewarding open passing channels).</w:t>
      </w:r>
    </w:p>
    <w:p>
      <w:r>
        <w:t>The deterministic physical Time-to-Reach (TTR) for player k to arrive at pitch location x is modeled under Spearman's potential motion formulation: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nor/>
                </m:rPr>
                <m:t>TTR</m:t>
              </m:r>
              <m:r>
                <m:t>(k,</m:t>
              </m:r>
              <m:r>
                <m:rPr>
                  <m:sty m:val="b"/>
                </m:rPr>
                <m:t>x</m:t>
              </m:r>
              <m:r>
                <m:t>)=</m:t>
              </m:r>
              <m:sSub>
                <m:e>
                  <m:r>
                    <m:t>t</m:t>
                  </m:r>
                </m:e>
                <m:sub>
                  <m:r>
                    <m:rPr>
                      <m:nor/>
                    </m:rPr>
                    <m:t>react</m:t>
                  </m:r>
                </m:sub>
              </m:sSub>
              <m:r>
                <m:t>+</m:t>
              </m:r>
              <m:f>
                <m:fPr>
                  <m:type m:val="bar"/>
                </m:fPr>
                <m:num>
                  <m:r>
                    <m:t>∥</m:t>
                  </m:r>
                  <m:sSub>
                    <m:e>
                      <m:r>
                        <m:rPr>
                          <m:sty m:val="b"/>
                        </m:rPr>
                        <m:t>p</m:t>
                      </m:r>
                    </m:e>
                    <m:sub>
                      <m:r>
                        <m:t>k</m:t>
                      </m:r>
                    </m:sub>
                  </m:sSub>
                  <m:r>
                    <m:t>−</m:t>
                  </m:r>
                  <m:r>
                    <m:rPr>
                      <m:sty m:val="b"/>
                    </m:rPr>
                    <m:t>x</m:t>
                  </m:r>
                  <m:sSub>
                    <m:e>
                      <m:r>
                        <m:t>∥</m:t>
                      </m:r>
                    </m:e>
                    <m:sub>
                      <m:r>
                        <m:t>2</m:t>
                      </m:r>
                    </m:sub>
                  </m:sSub>
                </m:num>
                <m:den>
                  <m:sSub>
                    <m:e>
                      <m:r>
                        <m:t>v</m:t>
                      </m:r>
                    </m:e>
                    <m:sub>
                      <m:r>
                        <m:rPr>
                          <m:nor/>
                        </m:rPr>
                        <m:t>max</m:t>
                      </m:r>
                    </m:sub>
                  </m:sSub>
                </m:den>
              </m:f>
            </m:oMath>
          </w:p>
        </w:tc>
        <w:tc>
          <w:tcPr>
            <w:tcW w:type="dxa" w:w="1008"/>
          </w:tcPr>
          <w:p>
            <w:pPr>
              <w:spacing w:after="40" w:before="40"/>
              <w:jc w:val="right"/>
            </w:pPr>
            <w:r>
              <w:rPr>
                <w:rFonts w:ascii="Times New Roman" w:hAnsi="Times New Roman"/>
                <w:b/>
                <w:sz w:val="21"/>
              </w:rPr>
              <w:t>(9)</w:t>
            </w:r>
          </w:p>
        </w:tc>
      </w:tr>
    </w:tbl>
    <w:p>
      <w:pPr>
        <w:spacing w:after="60"/>
      </w:pPr>
    </w:p>
    <w:p>
      <w:r>
        <w:t>Justification: Eq. (9) models player physical arrival latency, where t_react = 0.15 s is neuromuscular reaction latency and v_max = 1.0 is sprint speed.</w:t>
      </w:r>
    </w:p>
    <w:p>
      <w:r>
        <w:t>Pitch control dominance PC_team(x) at point x is modeled via a logistic distribution over differential arrival times: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nor/>
                    </m:rPr>
                    <m:t>PC</m:t>
                  </m:r>
                </m:e>
                <m:sub>
                  <m:r>
                    <m:rPr>
                      <m:nor/>
                    </m:rPr>
                    <m:t>team</m:t>
                  </m:r>
                </m:sub>
              </m:sSub>
              <m:r>
                <m:t>(</m:t>
              </m:r>
              <m:r>
                <m:rPr>
                  <m:sty m:val="b"/>
                </m:rPr>
                <m:t>x</m:t>
              </m:r>
              <m:r>
                <m:t>)=</m:t>
              </m:r>
              <m:f>
                <m:fPr>
                  <m:type m:val="bar"/>
                </m:fPr>
                <m:num>
                  <m:r>
                    <m:t>1</m:t>
                  </m:r>
                </m:num>
                <m:den>
                  <m:r>
                    <m:t>1+</m:t>
                  </m:r>
                  <m:r>
                    <m:rPr>
                      <m:sty m:val="p"/>
                    </m:rPr>
                    <m:t>exp</m:t>
                  </m:r>
                  <m:r>
                    <m:t>(−</m:t>
                  </m:r>
                  <m:sSub>
                    <m:e>
                      <m:r>
                        <m:t>λ</m:t>
                      </m:r>
                    </m:e>
                    <m:sub>
                      <m:r>
                        <m:rPr>
                          <m:nor/>
                        </m:rPr>
                        <m:t>TTR</m:t>
                      </m:r>
                    </m:sub>
                  </m:sSub>
                  <m:r>
                    <m:t>⋅(</m:t>
                  </m:r>
                  <m:limLow>
                    <m:e>
                      <m:r>
                        <m:t>min</m:t>
                      </m:r>
                    </m:e>
                    <m:lim>
                      <m:r>
                        <m:t>d∈</m:t>
                      </m:r>
                      <m:r>
                        <m:rPr>
                          <m:scr m:val="script"/>
                        </m:rPr>
                        <m:t>D</m:t>
                      </m:r>
                    </m:lim>
                  </m:limLow>
                  <m:r>
                    <m:rPr>
                      <m:nor/>
                    </m:rPr>
                    <m:t>TTR</m:t>
                  </m:r>
                  <m:r>
                    <m:t>(d,</m:t>
                  </m:r>
                  <m:r>
                    <m:rPr>
                      <m:sty m:val="b"/>
                    </m:rPr>
                    <m:t>x</m:t>
                  </m:r>
                  <m:r>
                    <m:t>)−</m:t>
                  </m:r>
                  <m:limLow>
                    <m:e>
                      <m:r>
                        <m:t>min</m:t>
                      </m:r>
                    </m:e>
                    <m:lim>
                      <m:r>
                        <m:t>j∈</m:t>
                      </m:r>
                      <m:r>
                        <m:rPr>
                          <m:scr m:val="script"/>
                        </m:rPr>
                        <m:t>I</m:t>
                      </m:r>
                    </m:lim>
                  </m:limLow>
                  <m:r>
                    <m:rPr>
                      <m:nor/>
                    </m:rPr>
                    <m:t>TTR</m:t>
                  </m:r>
                  <m:r>
                    <m:t>(j,</m:t>
                  </m:r>
                  <m:r>
                    <m:rPr>
                      <m:sty m:val="b"/>
                    </m:rPr>
                    <m:t>x</m:t>
                  </m:r>
                  <m:r>
                    <m:t>)))</m:t>
                  </m:r>
                </m:den>
              </m:f>
            </m:oMath>
          </w:p>
        </w:tc>
        <w:tc>
          <w:tcPr>
            <w:tcW w:type="dxa" w:w="1008"/>
          </w:tcPr>
          <w:p>
            <w:pPr>
              <w:spacing w:after="40" w:before="40"/>
              <w:jc w:val="right"/>
            </w:pPr>
            <w:r>
              <w:rPr>
                <w:rFonts w:ascii="Times New Roman" w:hAnsi="Times New Roman"/>
                <w:b/>
                <w:sz w:val="21"/>
              </w:rPr>
              <w:t>(10)</w:t>
            </w:r>
          </w:p>
        </w:tc>
      </w:tr>
    </w:tbl>
    <w:p>
      <w:pPr>
        <w:spacing w:after="60"/>
      </w:pPr>
    </w:p>
    <w:p>
      <w:r>
        <w:t>Justification: Eq. (10) computes the continuous probability of attacking pitch control, where λ_TTR = 4.0 controls logistic transition sharpness.</w:t>
      </w:r>
    </w:p>
    <w:p>
      <w:r>
        <w:t>The subtended horizontal goal angle theta_goal(j) viewed from candidate shooting position p_j is computed via dot product: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θ</m:t>
                  </m:r>
                </m:e>
                <m:sub>
                  <m:r>
                    <m:rPr>
                      <m:nor/>
                    </m:rPr>
                    <m:t>goal</m:t>
                  </m:r>
                </m:sub>
              </m:sSub>
              <m:r>
                <m:t>(j)=</m:t>
              </m:r>
              <m:r>
                <m:rPr>
                  <m:sty m:val="p"/>
                </m:rPr>
                <m:t>arccos</m:t>
              </m:r>
              <m:r>
                <m:t>(</m:t>
              </m:r>
              <m:f>
                <m:fPr>
                  <m:type m:val="bar"/>
                </m:fPr>
                <m:num>
                  <m:r>
                    <m:t>⟨</m:t>
                  </m:r>
                  <m:sSub>
                    <m:e>
                      <m:r>
                        <m:rPr>
                          <m:sty m:val="b"/>
                        </m:rPr>
                        <m:t>g</m:t>
                      </m:r>
                    </m:e>
                    <m:sub>
                      <m:r>
                        <m:t>1</m:t>
                      </m:r>
                    </m:sub>
                  </m:sSub>
                  <m:r>
                    <m:t>−</m:t>
                  </m:r>
                  <m:sSub>
                    <m:e>
                      <m:r>
                        <m:rPr>
                          <m:sty m:val="b"/>
                        </m:rPr>
                        <m:t>p</m:t>
                      </m:r>
                    </m:e>
                    <m:sub>
                      <m:r>
                        <m:t>j</m:t>
                      </m:r>
                    </m:sub>
                  </m:sSub>
                  <m:r>
                    <m:t>,</m:t>
                  </m:r>
                  <m:sSub>
                    <m:e>
                      <m:r>
                        <m:rPr>
                          <m:sty m:val="b"/>
                        </m:rPr>
                        <m:t>g</m:t>
                      </m:r>
                    </m:e>
                    <m:sub>
                      <m:r>
                        <m:t>2</m:t>
                      </m:r>
                    </m:sub>
                  </m:sSub>
                  <m:r>
                    <m:t>−</m:t>
                  </m:r>
                  <m:sSub>
                    <m:e>
                      <m:r>
                        <m:rPr>
                          <m:sty m:val="b"/>
                        </m:rPr>
                        <m:t>p</m:t>
                      </m:r>
                    </m:e>
                    <m:sub>
                      <m:r>
                        <m:t>j</m:t>
                      </m:r>
                    </m:sub>
                  </m:sSub>
                  <m:r>
                    <m:t>⟩</m:t>
                  </m:r>
                </m:num>
                <m:den>
                  <m:r>
                    <m:t>∥</m:t>
                  </m:r>
                  <m:sSub>
                    <m:e>
                      <m:r>
                        <m:rPr>
                          <m:sty m:val="b"/>
                        </m:rPr>
                        <m:t>g</m:t>
                      </m:r>
                    </m:e>
                    <m:sub>
                      <m:r>
                        <m:t>1</m:t>
                      </m:r>
                    </m:sub>
                  </m:sSub>
                  <m:r>
                    <m:t>−</m:t>
                  </m:r>
                  <m:sSub>
                    <m:e>
                      <m:r>
                        <m:rPr>
                          <m:sty m:val="b"/>
                        </m:rPr>
                        <m:t>p</m:t>
                      </m:r>
                    </m:e>
                    <m:sub>
                      <m:r>
                        <m:t>j</m:t>
                      </m:r>
                    </m:sub>
                  </m:sSub>
                  <m:sSub>
                    <m:e>
                      <m:r>
                        <m:t>∥</m:t>
                      </m:r>
                    </m:e>
                    <m:sub>
                      <m:r>
                        <m:t>2</m:t>
                      </m:r>
                    </m:sub>
                  </m:sSub>
                  <m:r>
                    <m:t>⋅∥</m:t>
                  </m:r>
                  <m:sSub>
                    <m:e>
                      <m:r>
                        <m:rPr>
                          <m:sty m:val="b"/>
                        </m:rPr>
                        <m:t>g</m:t>
                      </m:r>
                    </m:e>
                    <m:sub>
                      <m:r>
                        <m:t>2</m:t>
                      </m:r>
                    </m:sub>
                  </m:sSub>
                  <m:r>
                    <m:t>−</m:t>
                  </m:r>
                  <m:sSub>
                    <m:e>
                      <m:r>
                        <m:rPr>
                          <m:sty m:val="b"/>
                        </m:rPr>
                        <m:t>p</m:t>
                      </m:r>
                    </m:e>
                    <m:sub>
                      <m:r>
                        <m:t>j</m:t>
                      </m:r>
                    </m:sub>
                  </m:sSub>
                  <m:sSub>
                    <m:e>
                      <m:r>
                        <m:t>∥</m:t>
                      </m:r>
                    </m:e>
                    <m:sub>
                      <m:r>
                        <m:t>2</m:t>
                      </m:r>
                    </m:sub>
                  </m:sSub>
                </m:den>
              </m:f>
              <m:r>
                <m:t>)</m:t>
              </m:r>
            </m:oMath>
          </w:p>
        </w:tc>
        <w:tc>
          <w:tcPr>
            <w:tcW w:type="dxa" w:w="1008"/>
          </w:tcPr>
          <w:p>
            <w:pPr>
              <w:spacing w:after="40" w:before="40"/>
              <w:jc w:val="right"/>
            </w:pPr>
            <w:r>
              <w:rPr>
                <w:rFonts w:ascii="Times New Roman" w:hAnsi="Times New Roman"/>
                <w:b/>
                <w:sz w:val="21"/>
              </w:rPr>
              <w:t>(11)</w:t>
            </w:r>
          </w:p>
        </w:tc>
      </w:tr>
    </w:tbl>
    <w:p>
      <w:pPr>
        <w:spacing w:after="60"/>
      </w:pPr>
    </w:p>
    <w:p>
      <w:r>
        <w:t>Justification: Eq. (11) calculates the unoccluded goal aperture angle between goalposts g_1 = [1.0, -0.044] and g_2 = [1.0, 0.044].</w:t>
      </w:r>
    </w:p>
    <w:p>
      <w:r>
        <w:t>Accounting for goalkeeper angular occlusion phi_gk(j) and distance attenuation, the surrogate Shot Viability Score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nor/>
                    </m:rPr>
                    <m:t>Shot_Score</m:t>
                  </m:r>
                </m:e>
                <m:sub>
                  <m:phant>
                    <m:phantPr>
                      <m:show m:val="off"/>
                    </m:phantPr>
                    <m:e>
                      <m:r>
                        <m:t>0</m:t>
                      </m:r>
                    </m:e>
                  </m:phant>
                </m:sub>
              </m:sSub>
              <m:r>
                <m:t>(j)=max(0,</m:t>
              </m:r>
              <m:sSub>
                <m:e>
                  <m:r>
                    <m:t>θ</m:t>
                  </m:r>
                </m:e>
                <m:sub>
                  <m:r>
                    <m:rPr>
                      <m:nor/>
                    </m:rPr>
                    <m:t>goal</m:t>
                  </m:r>
                </m:sub>
              </m:sSub>
              <m:r>
                <m:t>(j)−</m:t>
              </m:r>
              <m:sSub>
                <m:e>
                  <m:r>
                    <m:t>ϕ</m:t>
                  </m:r>
                </m:e>
                <m:sub>
                  <m:r>
                    <m:rPr>
                      <m:nor/>
                    </m:rPr>
                    <m:t>gk</m:t>
                  </m:r>
                </m:sub>
              </m:sSub>
              <m:r>
                <m:t>(j))⋅</m:t>
              </m:r>
              <m:r>
                <m:rPr>
                  <m:sty m:val="p"/>
                </m:rPr>
                <m:t>exp</m:t>
              </m:r>
              <m:r>
                <m:t>(−</m:t>
              </m:r>
              <m:sSub>
                <m:e>
                  <m:r>
                    <m:t>α</m:t>
                  </m:r>
                </m:e>
                <m:sub>
                  <m:r>
                    <m:rPr>
                      <m:nor/>
                    </m:rPr>
                    <m:t>shot</m:t>
                  </m:r>
                </m:sub>
              </m:sSub>
              <m:r>
                <m:t>⋅∥</m:t>
              </m:r>
              <m:sSub>
                <m:e>
                  <m:r>
                    <m:rPr>
                      <m:sty m:val="b"/>
                    </m:rPr>
                    <m:t>p</m:t>
                  </m:r>
                </m:e>
                <m:sub>
                  <m:r>
                    <m:rPr>
                      <m:nor/>
                    </m:rPr>
                    <m:t>goal</m:t>
                  </m:r>
                </m:sub>
              </m:sSub>
              <m:r>
                <m:t>−</m:t>
              </m:r>
              <m:sSub>
                <m:e>
                  <m:r>
                    <m:rPr>
                      <m:sty m:val="b"/>
                    </m:rPr>
                    <m:t>p</m:t>
                  </m:r>
                </m:e>
                <m:sub>
                  <m:r>
                    <m:t>j</m:t>
                  </m:r>
                </m:sub>
              </m:sSub>
              <m:sSub>
                <m:e>
                  <m:r>
                    <m:t>∥</m:t>
                  </m:r>
                </m:e>
                <m:sub>
                  <m:r>
                    <m:t>2</m:t>
                  </m:r>
                </m:sub>
              </m:sSub>
              <m:r>
                <m:t>)</m:t>
              </m:r>
            </m:oMath>
          </w:p>
        </w:tc>
        <w:tc>
          <w:tcPr>
            <w:tcW w:type="dxa" w:w="1008"/>
          </w:tcPr>
          <w:p>
            <w:pPr>
              <w:spacing w:after="40" w:before="40"/>
              <w:jc w:val="right"/>
            </w:pPr>
            <w:r>
              <w:rPr>
                <w:rFonts w:ascii="Times New Roman" w:hAnsi="Times New Roman"/>
                <w:b/>
                <w:sz w:val="21"/>
              </w:rPr>
              <w:t>(12)</w:t>
            </w:r>
          </w:p>
        </w:tc>
      </w:tr>
    </w:tbl>
    <w:p>
      <w:pPr>
        <w:spacing w:after="60"/>
      </w:pPr>
    </w:p>
    <w:p>
      <w:r>
        <w:t>Justification: Eq. (12) quantifies the open shooting window, subtracting goalkeeper angular occlusion φ_gk(j) and applying exponential distance decay (α_shot = 2.50).</w:t>
      </w:r>
    </w:p>
    <w:p>
      <w:pPr>
        <w:pStyle w:val="Heading2"/>
      </w:pPr>
      <w:r>
        <w:rPr>
          <w:rFonts w:ascii="Times New Roman" w:hAnsi="Times New Roman"/>
          <w:b/>
          <w:color w:val="1E293B"/>
          <w:sz w:val="23"/>
        </w:rPr>
        <w:t>2.4 Tactical Reward Shaping and Policy Invariance Guarantee</w:t>
      </w:r>
    </w:p>
    <w:p>
      <w:r>
        <w:t>The pitch is discretized into a uniform grid of 16x12 cells (192 zones). Following Karunasinghe (2022), each grid cell (u, v) satisfies the recursive Bellman expectation equation: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V(u,v)=s(u,v)⋅g(u,v)+(1−s(u,v))⋅</m:t>
              </m:r>
              <m:nary>
                <m:naryPr>
                  <m:chr m:val="∑"/>
                  <m:limLoc m:val="undOvr"/>
                  <m:grow m:val="1"/>
                  <m:subHide m:val="off"/>
                  <m:supHide m:val="off"/>
                </m:naryPr>
                <m:sub>
                  <m:sSup>
                    <m:e>
                      <m:r>
                        <m:t>u</m:t>
                      </m:r>
                    </m:e>
                    <m:sup>
                      <m:r>
                        <m:t>′</m:t>
                      </m:r>
                    </m:sup>
                  </m:sSup>
                  <m:r>
                    <m:t>=1</m:t>
                  </m:r>
                </m:sub>
                <m:sup>
                  <m:r>
                    <m:t>16</m:t>
                  </m:r>
                </m:sup>
                <m:e>
                  <m:nary>
                    <m:naryPr>
                      <m:chr m:val="∑"/>
                      <m:limLoc m:val="undOvr"/>
                      <m:grow m:val="1"/>
                      <m:subHide m:val="off"/>
                      <m:supHide m:val="off"/>
                    </m:naryPr>
                    <m:sub>
                      <m:sSup>
                        <m:e>
                          <m:r>
                            <m:t>v</m:t>
                          </m:r>
                        </m:e>
                        <m:sup>
                          <m:r>
                            <m:t>′</m:t>
                          </m:r>
                        </m:sup>
                      </m:sSup>
                      <m:r>
                        <m:t>=1</m:t>
                      </m:r>
                    </m:sub>
                    <m:sup>
                      <m:r>
                        <m:t>12</m:t>
                      </m:r>
                    </m:sup>
                    <m:e>
                      <m:r>
                        <m:t>T((</m:t>
                      </m:r>
                    </m:e>
                  </m:nary>
                </m:e>
              </m:nary>
              <m:sSup>
                <m:e>
                  <m:r>
                    <m:t>u</m:t>
                  </m:r>
                </m:e>
                <m:sup>
                  <m:r>
                    <m:t>′</m:t>
                  </m:r>
                </m:sup>
              </m:sSup>
              <m:r>
                <m:t>,</m:t>
              </m:r>
              <m:sSup>
                <m:e>
                  <m:r>
                    <m:t>v</m:t>
                  </m:r>
                </m:e>
                <m:sup>
                  <m:r>
                    <m:t>′</m:t>
                  </m:r>
                </m:sup>
              </m:sSup>
              <m:r>
                <m:t>)∣(u,v))⋅V(</m:t>
              </m:r>
              <m:sSup>
                <m:e>
                  <m:r>
                    <m:t>u</m:t>
                  </m:r>
                </m:e>
                <m:sup>
                  <m:r>
                    <m:t>′</m:t>
                  </m:r>
                </m:sup>
              </m:sSup>
              <m:r>
                <m:t>,</m:t>
              </m:r>
              <m:sSup>
                <m:e>
                  <m:r>
                    <m:t>v</m:t>
                  </m:r>
                </m:e>
                <m:sup>
                  <m:r>
                    <m:t>′</m:t>
                  </m:r>
                </m:sup>
              </m:sSup>
              <m:r>
                <m:t>)</m:t>
              </m:r>
            </m:oMath>
          </w:p>
        </w:tc>
        <w:tc>
          <w:tcPr>
            <w:tcW w:type="dxa" w:w="1008"/>
          </w:tcPr>
          <w:p>
            <w:pPr>
              <w:spacing w:after="40" w:before="40"/>
              <w:jc w:val="right"/>
            </w:pPr>
            <w:r>
              <w:rPr>
                <w:rFonts w:ascii="Times New Roman" w:hAnsi="Times New Roman"/>
                <w:b/>
                <w:sz w:val="21"/>
              </w:rPr>
              <w:t>(13)</w:t>
            </w:r>
          </w:p>
        </w:tc>
      </w:tr>
    </w:tbl>
    <w:p>
      <w:pPr>
        <w:spacing w:after="60"/>
      </w:pPr>
    </w:p>
    <w:p>
      <w:r>
        <w:t>Justification: Eq. (13) calculates the Expected Threat (xT) surface from 1.2M StatsBomb events, where s(u, v) is shot probability, g(u, v) is goal conversion probability, and T((u', v') | (u, v)) is the empirical transition probability to adjacent zones.</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3_xt_grid_heatmap.png"/>
                    <pic:cNvPicPr/>
                  </pic:nvPicPr>
                  <pic:blipFill>
                    <a:blip r:embed="rId11"/>
                    <a:stretch>
                      <a:fillRect/>
                    </a:stretch>
                  </pic:blipFill>
                  <pic:spPr>
                    <a:xfrm>
                      <a:off x="0" y="0"/>
                      <a:ext cx="5029200" cy="2514600"/>
                    </a:xfrm>
                    <a:prstGeom prst="rect"/>
                  </pic:spPr>
                </pic:pic>
              </a:graphicData>
            </a:graphic>
          </wp:inline>
        </w:drawing>
      </w:r>
    </w:p>
    <w:p>
      <w:pPr>
        <w:jc w:val="center"/>
      </w:pPr>
      <w:r>
        <w:rPr>
          <w:i/>
          <w:color w:val="475569"/>
          <w:sz w:val="19"/>
        </w:rPr>
        <w:t>Figure 3: Empirical 16x12 Expected Threat (xT) Valuation Surface Derived from Professional Tracking Data Discretization.</w:t>
      </w:r>
    </w:p>
    <w:p>
      <w:r>
        <w:t>The spatial on-ball threat transition delta induced by ball movement from p_t to p_{t+1}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sty m:val="p"/>
                    </m:rPr>
                    <m:t>Δ</m:t>
                  </m:r>
                </m:e>
                <m:sub>
                  <m:r>
                    <m:rPr>
                      <m:nor/>
                    </m:rPr>
                    <m:t>OBV</m:t>
                  </m:r>
                </m:sub>
              </m:sSub>
              <m:r>
                <m:t>(t)=</m:t>
              </m:r>
              <m:r>
                <m:rPr>
                  <m:nor/>
                </m:rPr>
                <m:t>clip</m:t>
              </m:r>
              <m:r>
                <m:t>(V(</m:t>
              </m:r>
              <m:r>
                <m:rPr>
                  <m:nor/>
                </m:rPr>
                <m:t>cell</m:t>
              </m:r>
              <m:r>
                <m:t>(</m:t>
              </m:r>
              <m:sSub>
                <m:e>
                  <m:r>
                    <m:rPr>
                      <m:sty m:val="b"/>
                    </m:rPr>
                    <m:t>p</m:t>
                  </m:r>
                </m:e>
                <m:sub>
                  <m:r>
                    <m:t>t+1</m:t>
                  </m:r>
                </m:sub>
              </m:sSub>
              <m:r>
                <m:t>))−V(</m:t>
              </m:r>
              <m:r>
                <m:rPr>
                  <m:nor/>
                </m:rPr>
                <m:t>cell</m:t>
              </m:r>
              <m:r>
                <m:t>(</m:t>
              </m:r>
              <m:sSub>
                <m:e>
                  <m:r>
                    <m:rPr>
                      <m:sty m:val="b"/>
                    </m:rPr>
                    <m:t>p</m:t>
                  </m:r>
                </m:e>
                <m:sub>
                  <m:r>
                    <m:t>t</m:t>
                  </m:r>
                </m:sub>
              </m:sSub>
              <m:r>
                <m:t>)),−0.50,+0.50)</m:t>
              </m:r>
            </m:oMath>
          </w:p>
        </w:tc>
        <w:tc>
          <w:tcPr>
            <w:tcW w:type="dxa" w:w="1008"/>
          </w:tcPr>
          <w:p>
            <w:pPr>
              <w:spacing w:after="40" w:before="40"/>
              <w:jc w:val="right"/>
            </w:pPr>
            <w:r>
              <w:rPr>
                <w:rFonts w:ascii="Times New Roman" w:hAnsi="Times New Roman"/>
                <w:b/>
                <w:sz w:val="21"/>
              </w:rPr>
              <w:t>(14)</w:t>
            </w:r>
          </w:p>
        </w:tc>
      </w:tr>
    </w:tbl>
    <w:p>
      <w:pPr>
        <w:spacing w:after="60"/>
      </w:pPr>
    </w:p>
    <w:p>
      <w:r>
        <w:t>Justification: Eq. (14) provides instantaneous evaluation of territorial progression, clipping updates to [-0.50, +0.50] to prevent gradient spikes on turnovers.</w:t>
      </w:r>
    </w:p>
    <w:p>
      <w:r>
        <w:t>To preserve the optimal policy of the original sparse game while providing dense tactical learning signals, we apply Potential-Based Reward Shaping (PBRS; Ng et al., 1999):</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F(</m:t>
              </m:r>
              <m:sSub>
                <m:e>
                  <m:r>
                    <m:t>s</m:t>
                  </m:r>
                </m:e>
                <m:sub>
                  <m:r>
                    <m:t>t</m:t>
                  </m:r>
                </m:sub>
              </m:sSub>
              <m:r>
                <m:t>,</m:t>
              </m:r>
              <m:sSub>
                <m:e>
                  <m:r>
                    <m:t>s</m:t>
                  </m:r>
                </m:e>
                <m:sub>
                  <m:r>
                    <m:t>t+1</m:t>
                  </m:r>
                </m:sub>
              </m:sSub>
              <m:r>
                <m:t>)=γ</m:t>
              </m:r>
              <m:r>
                <m:rPr>
                  <m:sty m:val="p"/>
                </m:rPr>
                <m:t>Φ</m:t>
              </m:r>
              <m:r>
                <m:t>(</m:t>
              </m:r>
              <m:sSub>
                <m:e>
                  <m:r>
                    <m:t>s</m:t>
                  </m:r>
                </m:e>
                <m:sub>
                  <m:r>
                    <m:t>t+1</m:t>
                  </m:r>
                </m:sub>
              </m:sSub>
              <m:r>
                <m:t>)−</m:t>
              </m:r>
              <m:r>
                <m:rPr>
                  <m:sty m:val="p"/>
                </m:rPr>
                <m:t>Φ</m:t>
              </m:r>
              <m:r>
                <m:t>(</m:t>
              </m:r>
              <m:sSub>
                <m:e>
                  <m:r>
                    <m:t>s</m:t>
                  </m:r>
                </m:e>
                <m:sub>
                  <m:r>
                    <m:t>t</m:t>
                  </m:r>
                </m:sub>
              </m:sSub>
              <m:r>
                <m:t>)</m:t>
              </m:r>
            </m:oMath>
          </w:p>
        </w:tc>
        <w:tc>
          <w:tcPr>
            <w:tcW w:type="dxa" w:w="1008"/>
          </w:tcPr>
          <w:p>
            <w:pPr>
              <w:spacing w:after="40" w:before="40"/>
              <w:jc w:val="right"/>
            </w:pPr>
            <w:r>
              <w:rPr>
                <w:rFonts w:ascii="Times New Roman" w:hAnsi="Times New Roman"/>
                <w:b/>
                <w:sz w:val="21"/>
              </w:rPr>
              <w:t>(15)</w:t>
            </w:r>
          </w:p>
        </w:tc>
      </w:tr>
    </w:tbl>
    <w:p>
      <w:pPr>
        <w:spacing w:after="60"/>
      </w:pPr>
    </w:p>
    <w:p>
      <w:r>
        <w:t>Justification: Eq. (15) guarantees policy invariance (π*_(shaped) = π*_(sparse)) via the telescoping sum property over infinite trajectories.</w:t>
      </w:r>
    </w:p>
    <w:p>
      <w:r>
        <w:t>The potential function Phi(s) synthesizes spatial threat, receiver readiness, and defensive disruption: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sty m:val="p"/>
                </m:rPr>
                <m:t>Φ</m:t>
              </m:r>
              <m:r>
                <m:t>(s)=</m:t>
              </m:r>
              <m:sSub>
                <m:e>
                  <m:r>
                    <m:t>w</m:t>
                  </m:r>
                </m:e>
                <m:sub>
                  <m:r>
                    <m:rPr>
                      <m:nor/>
                    </m:rPr>
                    <m:t>obv</m:t>
                  </m:r>
                </m:sub>
              </m:sSub>
              <m:r>
                <m:t>⋅V(</m:t>
              </m:r>
              <m:sSub>
                <m:e>
                  <m:r>
                    <m:rPr>
                      <m:sty m:val="b"/>
                    </m:rPr>
                    <m:t>p</m:t>
                  </m:r>
                </m:e>
                <m:sub>
                  <m:r>
                    <m:rPr>
                      <m:nor/>
                    </m:rPr>
                    <m:t>ball</m:t>
                  </m:r>
                </m:sub>
              </m:sSub>
              <m:r>
                <m:t>)+</m:t>
              </m:r>
              <m:sSub>
                <m:e>
                  <m:r>
                    <m:t>w</m:t>
                  </m:r>
                </m:e>
                <m:sub>
                  <m:r>
                    <m:rPr>
                      <m:nor/>
                    </m:rPr>
                    <m:t>space</m:t>
                  </m:r>
                </m:sub>
              </m:sSub>
              <m:r>
                <m:t>⋅</m:t>
              </m:r>
              <m:f>
                <m:fPr>
                  <m:type m:val="bar"/>
                </m:fPr>
                <m:num>
                  <m:r>
                    <m:t>1</m:t>
                  </m:r>
                </m:num>
                <m:den>
                  <m:d>
                    <m:dPr>
                      <m:begChr m:val="|"/>
                      <m:sepChr m:val=""/>
                      <m:endChr m:val="|"/>
                    </m:dPr>
                    <m:e>
                      <m:r>
                        <m:rPr>
                          <m:scr m:val="script"/>
                        </m:rPr>
                        <m:t>J</m:t>
                      </m:r>
                    </m:e>
                  </m:d>
                </m:den>
              </m:f>
              <m:nary>
                <m:naryPr>
                  <m:chr m:val="∑"/>
                  <m:limLoc m:val="undOvr"/>
                  <m:grow m:val="1"/>
                  <m:subHide m:val="off"/>
                  <m:supHide m:val="on"/>
                </m:naryPr>
                <m:sub>
                  <m:r>
                    <m:t>j∈</m:t>
                  </m:r>
                  <m:r>
                    <m:rPr>
                      <m:scr m:val="script"/>
                    </m:rPr>
                    <m:t>J</m:t>
                  </m:r>
                </m:sub>
                <m:sup/>
                <m:e>
                  <m:r>
                    <m:t>S(j)+</m:t>
                  </m:r>
                </m:e>
              </m:nary>
              <m:sSub>
                <m:e>
                  <m:r>
                    <m:t>w</m:t>
                  </m:r>
                </m:e>
                <m:sub>
                  <m:r>
                    <m:rPr>
                      <m:nor/>
                    </m:rPr>
                    <m:t>dis</m:t>
                  </m:r>
                </m:sub>
              </m:sSub>
              <m:r>
                <m:t>⋅</m:t>
              </m:r>
              <m:f>
                <m:fPr>
                  <m:type m:val="bar"/>
                </m:fPr>
                <m:num>
                  <m:r>
                    <m:t>1</m:t>
                  </m:r>
                </m:num>
                <m:den>
                  <m:d>
                    <m:dPr>
                      <m:begChr m:val="|"/>
                      <m:sepChr m:val=""/>
                      <m:endChr m:val="|"/>
                    </m:dPr>
                    <m:e>
                      <m:r>
                        <m:rPr>
                          <m:scr m:val="script"/>
                        </m:rPr>
                        <m:t>D</m:t>
                      </m:r>
                    </m:e>
                  </m:d>
                </m:den>
              </m:f>
              <m:nary>
                <m:naryPr>
                  <m:chr m:val="∑"/>
                  <m:limLoc m:val="undOvr"/>
                  <m:grow m:val="1"/>
                  <m:subHide m:val="off"/>
                  <m:supHide m:val="on"/>
                </m:naryPr>
                <m:sub>
                  <m:r>
                    <m:t>d∈</m:t>
                  </m:r>
                  <m:r>
                    <m:rPr>
                      <m:scr m:val="script"/>
                    </m:rPr>
                    <m:t>D</m:t>
                  </m:r>
                </m:sub>
                <m:sup/>
                <m:e>
                  <m:r>
                    <m:t>∥</m:t>
                  </m:r>
                </m:e>
              </m:nary>
              <m:sSub>
                <m:e>
                  <m:r>
                    <m:rPr>
                      <m:sty m:val="b"/>
                    </m:rPr>
                    <m:t>p</m:t>
                  </m:r>
                </m:e>
                <m:sub>
                  <m:r>
                    <m:t>d</m:t>
                  </m:r>
                </m:sub>
              </m:sSub>
              <m:r>
                <m:t>−</m:t>
              </m:r>
              <m:sSub>
                <m:e>
                  <m:r>
                    <m:rPr>
                      <m:sty m:val="b"/>
                    </m:rPr>
                    <m:t>p</m:t>
                  </m:r>
                </m:e>
                <m:sub>
                  <m:r>
                    <m:rPr>
                      <m:nor/>
                    </m:rPr>
                    <m:t>goal</m:t>
                  </m:r>
                </m:sub>
              </m:sSub>
              <m:sSub>
                <m:e>
                  <m:r>
                    <m:t>∥</m:t>
                  </m:r>
                </m:e>
                <m:sub>
                  <m:r>
                    <m:t>2</m:t>
                  </m:r>
                </m:sub>
              </m:sSub>
            </m:oMath>
          </w:p>
        </w:tc>
        <w:tc>
          <w:tcPr>
            <w:tcW w:type="dxa" w:w="1008"/>
          </w:tcPr>
          <w:p>
            <w:pPr>
              <w:spacing w:after="40" w:before="40"/>
              <w:jc w:val="right"/>
            </w:pPr>
            <w:r>
              <w:rPr>
                <w:rFonts w:ascii="Times New Roman" w:hAnsi="Times New Roman"/>
                <w:b/>
                <w:sz w:val="21"/>
              </w:rPr>
              <w:t>(16)</w:t>
            </w:r>
          </w:p>
        </w:tc>
      </w:tr>
    </w:tbl>
    <w:p>
      <w:pPr>
        <w:spacing w:after="60"/>
      </w:pPr>
    </w:p>
    <w:p>
      <w:r>
        <w:t>Justification: Eq. (16) grounds the global state potential strictly in physical coordinate positions, ensuring Φ(s) is solely state-dependent and invariant to actions.</w:t>
      </w:r>
    </w:p>
    <w:p>
      <w:r>
        <w:t>The composite step reward provided to the reinforcement learning agents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R</m:t>
                  </m:r>
                </m:e>
                <m:sub>
                  <m:r>
                    <m:rPr>
                      <m:nor/>
                    </m:rPr>
                    <m:t>total</m:t>
                  </m:r>
                </m:sub>
              </m:sSub>
              <m:r>
                <m:t>(t)=</m:t>
              </m:r>
              <m:sSub>
                <m:e>
                  <m:r>
                    <m:t>w</m:t>
                  </m:r>
                </m:e>
                <m:sub>
                  <m:r>
                    <m:rPr>
                      <m:nor/>
                    </m:rPr>
                    <m:t>sp</m:t>
                  </m:r>
                </m:sub>
              </m:sSub>
              <m:r>
                <m:t>⋅</m:t>
              </m:r>
              <m:sSub>
                <m:e>
                  <m:r>
                    <m:t>r</m:t>
                  </m:r>
                </m:e>
                <m:sub>
                  <m:r>
                    <m:rPr>
                      <m:nor/>
                    </m:rPr>
                    <m:t>sp</m:t>
                  </m:r>
                </m:sub>
              </m:sSub>
              <m:r>
                <m:t>(t)+F(</m:t>
              </m:r>
              <m:sSub>
                <m:e>
                  <m:r>
                    <m:t>s</m:t>
                  </m:r>
                </m:e>
                <m:sub>
                  <m:r>
                    <m:t>t</m:t>
                  </m:r>
                </m:sub>
              </m:sSub>
              <m:r>
                <m:t>,</m:t>
              </m:r>
              <m:sSub>
                <m:e>
                  <m:r>
                    <m:t>s</m:t>
                  </m:r>
                </m:e>
                <m:sub>
                  <m:r>
                    <m:t>t+1</m:t>
                  </m:r>
                </m:sub>
              </m:sSub>
              <m:r>
                <m:t>)</m:t>
              </m:r>
            </m:oMath>
          </w:p>
        </w:tc>
        <w:tc>
          <w:tcPr>
            <w:tcW w:type="dxa" w:w="1008"/>
          </w:tcPr>
          <w:p>
            <w:pPr>
              <w:spacing w:after="40" w:before="40"/>
              <w:jc w:val="right"/>
            </w:pPr>
            <w:r>
              <w:rPr>
                <w:rFonts w:ascii="Times New Roman" w:hAnsi="Times New Roman"/>
                <w:b/>
                <w:sz w:val="21"/>
              </w:rPr>
              <w:t>(17)</w:t>
            </w:r>
          </w:p>
        </w:tc>
      </w:tr>
    </w:tbl>
    <w:p>
      <w:pPr>
        <w:spacing w:after="60"/>
      </w:pPr>
    </w:p>
    <w:p>
      <w:r>
        <w:t>Justification: Eq. (17) combines the sparse outcome reward r_sp ∈ {-1.0, 0.0, +1.0} with the policy-invariant tactical shaping term F(s_t, s_{t+1}). Weights are calibrated to: w_sp = 1.00, w_obv = 0.20, w_space = 0.15, and w_dis = 0.10.</w:t>
      </w:r>
    </w:p>
    <w:p>
      <w:pPr>
        <w:pStyle w:val="Heading2"/>
      </w:pPr>
      <w:r>
        <w:rPr>
          <w:rFonts w:ascii="Times New Roman" w:hAnsi="Times New Roman"/>
          <w:b/>
          <w:color w:val="1E293B"/>
          <w:sz w:val="23"/>
        </w:rPr>
        <w:t>2.5 MAPPO Optimization and Factorial Ablation Matrix</w:t>
      </w:r>
    </w:p>
    <w:p>
      <w:r>
        <w:t>Decentralized actor policies π_θ are trained using the clipped surrogate objective: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p>
                <m:e>
                  <m:r>
                    <m:rPr>
                      <m:scr m:val="script"/>
                    </m:rPr>
                    <m:t>L</m:t>
                  </m:r>
                </m:e>
                <m:sup>
                  <m:r>
                    <m:rPr>
                      <m:nor/>
                    </m:rPr>
                    <m:t>CLIP</m:t>
                  </m:r>
                </m:sup>
              </m:sSup>
              <m:r>
                <m:t>(θ)=</m:t>
              </m:r>
              <m:sSub>
                <m:e>
                  <m:acc>
                    <m:accPr>
                      <m:chr m:val="̂"/>
                    </m:accPr>
                    <m:e>
                      <m:r>
                        <m:rPr>
                          <m:scr m:val="double-struck"/>
                          <m:sty m:val="p"/>
                        </m:rPr>
                        <m:t>E</m:t>
                      </m:r>
                    </m:e>
                  </m:acc>
                </m:e>
                <m:sub>
                  <m:r>
                    <m:t>t,i</m:t>
                  </m:r>
                </m:sub>
              </m:sSub>
              <m:r>
                <m:t>[min(</m:t>
              </m:r>
              <m:sSub>
                <m:e>
                  <m:r>
                    <m:t>r</m:t>
                  </m:r>
                </m:e>
                <m:sub>
                  <m:r>
                    <m:t>t,i</m:t>
                  </m:r>
                </m:sub>
              </m:sSub>
              <m:r>
                <m:t>(θ)⋅</m:t>
              </m:r>
              <m:sSubSup>
                <m:e>
                  <m:acc>
                    <m:accPr>
                      <m:chr m:val="̂"/>
                    </m:accPr>
                    <m:e>
                      <m:r>
                        <m:t>A</m:t>
                      </m:r>
                    </m:e>
                  </m:acc>
                </m:e>
                <m:sub>
                  <m:r>
                    <m:t>t,i</m:t>
                  </m:r>
                </m:sub>
                <m:sup>
                  <m:r>
                    <m:rPr>
                      <m:nor/>
                    </m:rPr>
                    <m:t>GAE</m:t>
                  </m:r>
                </m:sup>
              </m:sSubSup>
              <m:r>
                <m:t>,</m:t>
              </m:r>
              <m:r>
                <m:rPr>
                  <m:nor/>
                </m:rPr>
                <m:t>clip</m:t>
              </m:r>
              <m:r>
                <m:t>(</m:t>
              </m:r>
              <m:sSub>
                <m:e>
                  <m:r>
                    <m:t>r</m:t>
                  </m:r>
                </m:e>
                <m:sub>
                  <m:r>
                    <m:t>t,i</m:t>
                  </m:r>
                </m:sub>
              </m:sSub>
              <m:r>
                <m:t>(θ),1−ε,1+ε)⋅</m:t>
              </m:r>
              <m:sSubSup>
                <m:e>
                  <m:acc>
                    <m:accPr>
                      <m:chr m:val="̂"/>
                    </m:accPr>
                    <m:e>
                      <m:r>
                        <m:t>A</m:t>
                      </m:r>
                    </m:e>
                  </m:acc>
                </m:e>
                <m:sub>
                  <m:r>
                    <m:t>t,i</m:t>
                  </m:r>
                </m:sub>
                <m:sup>
                  <m:r>
                    <m:rPr>
                      <m:nor/>
                    </m:rPr>
                    <m:t>GAE</m:t>
                  </m:r>
                </m:sup>
              </m:sSubSup>
              <m:r>
                <m:t>)]</m:t>
              </m:r>
            </m:oMath>
          </w:p>
        </w:tc>
        <w:tc>
          <w:tcPr>
            <w:tcW w:type="dxa" w:w="1008"/>
          </w:tcPr>
          <w:p>
            <w:pPr>
              <w:spacing w:after="40" w:before="40"/>
              <w:jc w:val="right"/>
            </w:pPr>
            <w:r>
              <w:rPr>
                <w:rFonts w:ascii="Times New Roman" w:hAnsi="Times New Roman"/>
                <w:b/>
                <w:sz w:val="21"/>
              </w:rPr>
              <w:t>(18)</w:t>
            </w:r>
          </w:p>
        </w:tc>
      </w:tr>
    </w:tbl>
    <w:p>
      <w:pPr>
        <w:spacing w:after="60"/>
      </w:pPr>
    </w:p>
    <w:p>
      <w:r>
        <w:t>Justification: Eq. (18) optimizes decentralized policies with clipping parameter ε = 0.20 to enforce conservative, stable policy updates.</w:t>
      </w:r>
    </w:p>
    <w:p>
      <w:r>
        <w:t>The centralized critic V_phi is trained via clipped value error minimization: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p>
                <m:e>
                  <m:r>
                    <m:rPr>
                      <m:scr m:val="script"/>
                    </m:rPr>
                    <m:t>L</m:t>
                  </m:r>
                </m:e>
                <m:sup>
                  <m:r>
                    <m:rPr>
                      <m:nor/>
                    </m:rPr>
                    <m:t>VAL</m:t>
                  </m:r>
                </m:sup>
              </m:sSup>
              <m:r>
                <m:t>(ϕ)=</m:t>
              </m:r>
              <m:f>
                <m:fPr>
                  <m:type m:val="bar"/>
                </m:fPr>
                <m:num>
                  <m:r>
                    <m:t>1</m:t>
                  </m:r>
                </m:num>
                <m:den>
                  <m:r>
                    <m:t>2</m:t>
                  </m:r>
                </m:den>
              </m:f>
              <m:sSub>
                <m:e>
                  <m:acc>
                    <m:accPr>
                      <m:chr m:val="̂"/>
                    </m:accPr>
                    <m:e>
                      <m:r>
                        <m:rPr>
                          <m:scr m:val="double-struck"/>
                          <m:sty m:val="p"/>
                        </m:rPr>
                        <m:t>E</m:t>
                      </m:r>
                    </m:e>
                  </m:acc>
                </m:e>
                <m:sub>
                  <m:r>
                    <m:t>t</m:t>
                  </m:r>
                </m:sub>
              </m:sSub>
              <m:r>
                <m:t>[max(</m:t>
              </m:r>
              <m:sSup>
                <m:e>
                  <m:d>
                    <m:dPr>
                      <m:sepChr m:val=""/>
                    </m:dPr>
                    <m:e>
                      <m:sSub>
                        <m:e>
                          <m:r>
                            <m:t>V</m:t>
                          </m:r>
                        </m:e>
                        <m:sub>
                          <m:r>
                            <m:t>ϕ</m:t>
                          </m:r>
                        </m:sub>
                      </m:sSub>
                      <m:r>
                        <m:t>(</m:t>
                      </m:r>
                      <m:sSub>
                        <m:e>
                          <m:r>
                            <m:t>s</m:t>
                          </m:r>
                        </m:e>
                        <m:sub>
                          <m:r>
                            <m:t>t</m:t>
                          </m:r>
                        </m:sub>
                      </m:sSub>
                      <m:r>
                        <m:t>)</m:t>
                      </m:r>
                      <m:r>
                        <m:t>−</m:t>
                      </m:r>
                      <m:sSubSup>
                        <m:e>
                          <m:r>
                            <m:t>R</m:t>
                          </m:r>
                        </m:e>
                        <m:sub>
                          <m:r>
                            <m:t>t</m:t>
                          </m:r>
                        </m:sub>
                        <m:sup>
                          <m:r>
                            <m:rPr>
                              <m:nor/>
                            </m:rPr>
                            <m:t>targ</m:t>
                          </m:r>
                        </m:sup>
                      </m:sSubSup>
                    </m:e>
                  </m:d>
                </m:e>
                <m:sup>
                  <m:r>
                    <m:t>2</m:t>
                  </m:r>
                </m:sup>
              </m:sSup>
              <m:r>
                <m:t>,</m:t>
              </m:r>
              <m:sSup>
                <m:e>
                  <m:d>
                    <m:dPr>
                      <m:sepChr m:val=""/>
                    </m:dPr>
                    <m:e>
                      <m:sSub>
                        <m:e>
                          <m:r>
                            <m:t>V</m:t>
                          </m:r>
                        </m:e>
                        <m:sub>
                          <m:sSub>
                            <m:e>
                              <m:r>
                                <m:t>ϕ</m:t>
                              </m:r>
                            </m:e>
                            <m:sub>
                              <m:r>
                                <m:rPr>
                                  <m:nor/>
                                </m:rPr>
                                <m:t>old</m:t>
                              </m:r>
                            </m:sub>
                          </m:sSub>
                        </m:sub>
                      </m:sSub>
                      <m:r>
                        <m:t>(</m:t>
                      </m:r>
                      <m:sSub>
                        <m:e>
                          <m:r>
                            <m:t>s</m:t>
                          </m:r>
                        </m:e>
                        <m:sub>
                          <m:r>
                            <m:t>t</m:t>
                          </m:r>
                        </m:sub>
                      </m:sSub>
                      <m:r>
                        <m:t>)</m:t>
                      </m:r>
                      <m:r>
                        <m:t>+</m:t>
                      </m:r>
                      <m:r>
                        <m:rPr>
                          <m:nor/>
                        </m:rPr>
                        <m:t>clip</m:t>
                      </m:r>
                      <m:r>
                        <m:t>(</m:t>
                      </m:r>
                      <m:sSub>
                        <m:e>
                          <m:r>
                            <m:t>V</m:t>
                          </m:r>
                        </m:e>
                        <m:sub>
                          <m:r>
                            <m:t>ϕ</m:t>
                          </m:r>
                        </m:sub>
                      </m:sSub>
                      <m:r>
                        <m:t>(</m:t>
                      </m:r>
                      <m:sSub>
                        <m:e>
                          <m:r>
                            <m:t>s</m:t>
                          </m:r>
                        </m:e>
                        <m:sub>
                          <m:r>
                            <m:t>t</m:t>
                          </m:r>
                        </m:sub>
                      </m:sSub>
                      <m:r>
                        <m:t>)</m:t>
                      </m:r>
                      <m:r>
                        <m:t>−</m:t>
                      </m:r>
                      <m:sSub>
                        <m:e>
                          <m:r>
                            <m:t>V</m:t>
                          </m:r>
                        </m:e>
                        <m:sub>
                          <m:sSub>
                            <m:e>
                              <m:r>
                                <m:t>ϕ</m:t>
                              </m:r>
                            </m:e>
                            <m:sub>
                              <m:r>
                                <m:rPr>
                                  <m:nor/>
                                </m:rPr>
                                <m:t>old</m:t>
                              </m:r>
                            </m:sub>
                          </m:sSub>
                        </m:sub>
                      </m:sSub>
                      <m:r>
                        <m:t>(</m:t>
                      </m:r>
                      <m:sSub>
                        <m:e>
                          <m:r>
                            <m:t>s</m:t>
                          </m:r>
                        </m:e>
                        <m:sub>
                          <m:r>
                            <m:t>t</m:t>
                          </m:r>
                        </m:sub>
                      </m:sSub>
                      <m:r>
                        <m:t>)</m:t>
                      </m:r>
                      <m:r>
                        <m:t>,</m:t>
                      </m:r>
                      <m:r>
                        <m:t>−</m:t>
                      </m:r>
                      <m:r>
                        <m:t>ε</m:t>
                      </m:r>
                      <m:r>
                        <m:t>,</m:t>
                      </m:r>
                      <m:r>
                        <m:t>ε</m:t>
                      </m:r>
                      <m:r>
                        <m:t>)</m:t>
                      </m:r>
                      <m:r>
                        <m:t>−</m:t>
                      </m:r>
                      <m:sSubSup>
                        <m:e>
                          <m:r>
                            <m:t>R</m:t>
                          </m:r>
                        </m:e>
                        <m:sub>
                          <m:r>
                            <m:t>t</m:t>
                          </m:r>
                        </m:sub>
                        <m:sup>
                          <m:r>
                            <m:rPr>
                              <m:nor/>
                            </m:rPr>
                            <m:t>targ</m:t>
                          </m:r>
                        </m:sup>
                      </m:sSubSup>
                    </m:e>
                  </m:d>
                </m:e>
                <m:sup>
                  <m:r>
                    <m:t>2</m:t>
                  </m:r>
                </m:sup>
              </m:sSup>
              <m:r>
                <m:t>)]</m:t>
              </m:r>
            </m:oMath>
          </w:p>
        </w:tc>
        <w:tc>
          <w:tcPr>
            <w:tcW w:type="dxa" w:w="1008"/>
          </w:tcPr>
          <w:p>
            <w:pPr>
              <w:spacing w:after="40" w:before="40"/>
              <w:jc w:val="right"/>
            </w:pPr>
            <w:r>
              <w:rPr>
                <w:rFonts w:ascii="Times New Roman" w:hAnsi="Times New Roman"/>
                <w:b/>
                <w:sz w:val="21"/>
              </w:rPr>
              <w:t>(19)</w:t>
            </w:r>
          </w:p>
        </w:tc>
      </w:tr>
    </w:tbl>
    <w:p>
      <w:pPr>
        <w:spacing w:after="60"/>
      </w:pPr>
    </w:p>
    <w:p>
      <w:r>
        <w:t>Justification: Eq. (19) updates the centralized value baseline while clipping value steps to mitigate value function destabilization.</w:t>
      </w:r>
    </w:p>
    <w:p>
      <w:r>
        <w:t>Generalized Advantage Estimation (GAE) with discount gamma = 0.993 and trace-decay lambda = 0.95 computes advantage targets: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Sup>
                <m:e>
                  <m:acc>
                    <m:accPr>
                      <m:chr m:val="̂"/>
                    </m:accPr>
                    <m:e>
                      <m:r>
                        <m:t>A</m:t>
                      </m:r>
                    </m:e>
                  </m:acc>
                </m:e>
                <m:sub>
                  <m:r>
                    <m:t>t</m:t>
                  </m:r>
                </m:sub>
                <m:sup>
                  <m:r>
                    <m:rPr>
                      <m:nor/>
                    </m:rPr>
                    <m:t>GAE</m:t>
                  </m:r>
                </m:sup>
              </m:sSubSup>
              <m:r>
                <m:t>=</m:t>
              </m:r>
              <m:nary>
                <m:naryPr>
                  <m:chr m:val="∑"/>
                  <m:limLoc m:val="undOvr"/>
                  <m:grow m:val="1"/>
                  <m:subHide m:val="off"/>
                  <m:supHide m:val="off"/>
                </m:naryPr>
                <m:sub>
                  <m:r>
                    <m:t>l=0</m:t>
                  </m:r>
                </m:sub>
                <m:sup>
                  <m:r>
                    <m:t>T−t−1</m:t>
                  </m:r>
                </m:sup>
                <m:e>
                  <m:sSup>
                    <m:e>
                      <m:d>
                        <m:dPr>
                          <m:sepChr m:val="⋅"/>
                        </m:dPr>
                        <m:e>
                          <m:r>
                            <m:t>γ</m:t>
                          </m:r>
                        </m:e>
                        <m:e>
                          <m:r>
                            <m:t>λ</m:t>
                          </m:r>
                        </m:e>
                      </m:d>
                    </m:e>
                    <m:sup>
                      <m:r>
                        <m:t>l</m:t>
                      </m:r>
                    </m:sup>
                  </m:sSup>
                </m:e>
              </m:nary>
              <m:r>
                <m:t>⋅[</m:t>
              </m:r>
              <m:sSub>
                <m:e>
                  <m:r>
                    <m:t>R</m:t>
                  </m:r>
                </m:e>
                <m:sub>
                  <m:r>
                    <m:rPr>
                      <m:nor/>
                    </m:rPr>
                    <m:t>total</m:t>
                  </m:r>
                </m:sub>
              </m:sSub>
              <m:r>
                <m:t>(t+l)+γ</m:t>
              </m:r>
              <m:sSub>
                <m:e>
                  <m:r>
                    <m:t>V</m:t>
                  </m:r>
                </m:e>
                <m:sub>
                  <m:r>
                    <m:t>ϕ</m:t>
                  </m:r>
                </m:sub>
              </m:sSub>
              <m:r>
                <m:t>(</m:t>
              </m:r>
              <m:sSub>
                <m:e>
                  <m:r>
                    <m:t>s</m:t>
                  </m:r>
                </m:e>
                <m:sub>
                  <m:r>
                    <m:t>t+l+1</m:t>
                  </m:r>
                </m:sub>
              </m:sSub>
              <m:r>
                <m:t>)−</m:t>
              </m:r>
              <m:sSub>
                <m:e>
                  <m:r>
                    <m:t>V</m:t>
                  </m:r>
                </m:e>
                <m:sub>
                  <m:r>
                    <m:t>ϕ</m:t>
                  </m:r>
                </m:sub>
              </m:sSub>
              <m:r>
                <m:t>(</m:t>
              </m:r>
              <m:sSub>
                <m:e>
                  <m:r>
                    <m:t>s</m:t>
                  </m:r>
                </m:e>
                <m:sub>
                  <m:r>
                    <m:t>t+l</m:t>
                  </m:r>
                </m:sub>
              </m:sSub>
              <m:r>
                <m:t>)]</m:t>
              </m:r>
            </m:oMath>
          </w:p>
        </w:tc>
        <w:tc>
          <w:tcPr>
            <w:tcW w:type="dxa" w:w="1008"/>
          </w:tcPr>
          <w:p>
            <w:pPr>
              <w:spacing w:after="40" w:before="40"/>
              <w:jc w:val="right"/>
            </w:pPr>
            <w:r>
              <w:rPr>
                <w:rFonts w:ascii="Times New Roman" w:hAnsi="Times New Roman"/>
                <w:b/>
                <w:sz w:val="21"/>
              </w:rPr>
              <w:t>(20)</w:t>
            </w:r>
          </w:p>
        </w:tc>
      </w:tr>
    </w:tbl>
    <w:p>
      <w:pPr>
        <w:spacing w:after="60"/>
      </w:pPr>
    </w:p>
    <w:p>
      <w:r>
        <w:t>Justification: Eq. (20) balances variance and bias in multi-agent credit assignment over a rollout horizon of T = 512 steps across 16 parallel workers.</w:t>
      </w:r>
    </w:p>
    <w:tbl>
      <w:tblPr>
        <w:tblW w:type="auto" w:w="0"/>
        <w:jc w:val="center"/>
        <w:tblLook w:firstColumn="1" w:firstRow="1" w:lastColumn="0" w:lastRow="0" w:noHBand="0" w:noVBand="1" w:val="04A0"/>
      </w:tblPr>
      <w:tblGrid>
        <w:gridCol w:w="4680"/>
        <w:gridCol w:w="4680"/>
      </w:tblGrid>
      <w:tr>
        <w:tc>
          <w:tcPr>
            <w:tcW w:type="dxa" w:w="4680"/>
            <w:shd w:val="clear" w:color="auto" w:fill="0F172A"/>
          </w:tcPr>
          <w:p>
            <w:pPr>
              <w:jc w:val="center"/>
            </w:pPr>
            <w:r>
              <w:rPr>
                <w:b/>
                <w:color w:val="FFFFFF"/>
                <w:sz w:val="19"/>
              </w:rPr>
              <w:t>Hyperparameter Parameter Description</w:t>
            </w:r>
          </w:p>
        </w:tc>
        <w:tc>
          <w:tcPr>
            <w:tcW w:type="dxa" w:w="4680"/>
            <w:shd w:val="clear" w:color="auto" w:fill="0F172A"/>
          </w:tcPr>
          <w:p>
            <w:pPr>
              <w:jc w:val="center"/>
            </w:pPr>
            <w:r>
              <w:rPr>
                <w:b/>
                <w:color w:val="FFFFFF"/>
                <w:sz w:val="19"/>
              </w:rPr>
              <w:t>Value Assigned</w:t>
            </w:r>
          </w:p>
        </w:tc>
      </w:tr>
      <w:tr>
        <w:tc>
          <w:tcPr>
            <w:tcW w:type="dxa" w:w="4680"/>
            <w:shd w:val="clear" w:color="auto" w:fill="F8FAFC"/>
          </w:tcPr>
          <w:p>
            <w:pPr>
              <w:jc w:val="left"/>
            </w:pPr>
            <w:r>
              <w:rPr>
                <w:sz w:val="19"/>
              </w:rPr>
              <w:t>Parallel Workers (SubprocVecEnv) &amp; Horizon Steps (T)</w:t>
            </w:r>
          </w:p>
        </w:tc>
        <w:tc>
          <w:tcPr>
            <w:tcW w:type="dxa" w:w="4680"/>
            <w:shd w:val="clear" w:color="auto" w:fill="F8FAFC"/>
          </w:tcPr>
          <w:p>
            <w:pPr>
              <w:jc w:val="center"/>
            </w:pPr>
            <w:r>
              <w:rPr>
                <w:sz w:val="19"/>
              </w:rPr>
              <w:t>16 instances | 512 steps/worker (8,192 batch)</w:t>
            </w:r>
          </w:p>
        </w:tc>
      </w:tr>
      <w:tr>
        <w:tc>
          <w:tcPr>
            <w:tcW w:type="dxa" w:w="4680"/>
            <w:shd w:val="clear" w:color="auto" w:fill="FFFFFF"/>
          </w:tcPr>
          <w:p>
            <w:pPr>
              <w:jc w:val="left"/>
            </w:pPr>
            <w:r>
              <w:rPr>
                <w:sz w:val="19"/>
              </w:rPr>
              <w:t>PPO Epochs &amp; Optimization Minibatch Size (B)</w:t>
            </w:r>
          </w:p>
        </w:tc>
        <w:tc>
          <w:tcPr>
            <w:tcW w:type="dxa" w:w="4680"/>
            <w:shd w:val="clear" w:color="auto" w:fill="FFFFFF"/>
          </w:tcPr>
          <w:p>
            <w:pPr>
              <w:jc w:val="center"/>
            </w:pPr>
            <w:r>
              <w:rPr>
                <w:sz w:val="19"/>
              </w:rPr>
              <w:t>4 epochs per rollout | 64 samples</w:t>
            </w:r>
          </w:p>
        </w:tc>
      </w:tr>
      <w:tr>
        <w:tc>
          <w:tcPr>
            <w:tcW w:type="dxa" w:w="4680"/>
            <w:shd w:val="clear" w:color="auto" w:fill="F8FAFC"/>
          </w:tcPr>
          <w:p>
            <w:pPr>
              <w:jc w:val="left"/>
            </w:pPr>
            <w:r>
              <w:rPr>
                <w:sz w:val="19"/>
              </w:rPr>
              <w:t>Learning Rate (lr) &amp; Optimizer</w:t>
            </w:r>
          </w:p>
        </w:tc>
        <w:tc>
          <w:tcPr>
            <w:tcW w:type="dxa" w:w="4680"/>
            <w:shd w:val="clear" w:color="auto" w:fill="F8FAFC"/>
          </w:tcPr>
          <w:p>
            <w:pPr>
              <w:jc w:val="center"/>
            </w:pPr>
            <w:r>
              <w:rPr>
                <w:sz w:val="19"/>
              </w:rPr>
              <w:t>3.0e-4 (Linear decay to 0) | Adam (eps=1e-5)</w:t>
            </w:r>
          </w:p>
        </w:tc>
      </w:tr>
      <w:tr>
        <w:tc>
          <w:tcPr>
            <w:tcW w:type="dxa" w:w="4680"/>
            <w:shd w:val="clear" w:color="auto" w:fill="FFFFFF"/>
          </w:tcPr>
          <w:p>
            <w:pPr>
              <w:jc w:val="left"/>
            </w:pPr>
            <w:r>
              <w:rPr>
                <w:sz w:val="19"/>
              </w:rPr>
              <w:t>Discount Factor (gamma) &amp; GAE Lambda</w:t>
            </w:r>
          </w:p>
        </w:tc>
        <w:tc>
          <w:tcPr>
            <w:tcW w:type="dxa" w:w="4680"/>
            <w:shd w:val="clear" w:color="auto" w:fill="FFFFFF"/>
          </w:tcPr>
          <w:p>
            <w:pPr>
              <w:jc w:val="center"/>
            </w:pPr>
            <w:r>
              <w:rPr>
                <w:sz w:val="19"/>
              </w:rPr>
              <w:t>gamma = 0.993 | lambda = 0.950</w:t>
            </w:r>
          </w:p>
        </w:tc>
      </w:tr>
      <w:tr>
        <w:tc>
          <w:tcPr>
            <w:tcW w:type="dxa" w:w="4680"/>
            <w:shd w:val="clear" w:color="auto" w:fill="F8FAFC"/>
          </w:tcPr>
          <w:p>
            <w:pPr>
              <w:jc w:val="left"/>
            </w:pPr>
            <w:r>
              <w:rPr>
                <w:sz w:val="19"/>
              </w:rPr>
              <w:t>Total Environment Training Step Budget</w:t>
            </w:r>
          </w:p>
        </w:tc>
        <w:tc>
          <w:tcPr>
            <w:tcW w:type="dxa" w:w="4680"/>
            <w:shd w:val="clear" w:color="auto" w:fill="F8FAFC"/>
          </w:tcPr>
          <w:p>
            <w:pPr>
              <w:jc w:val="center"/>
            </w:pPr>
            <w:r>
              <w:rPr>
                <w:sz w:val="19"/>
              </w:rPr>
              <w:t>5,000,000 environment steps per seed (22.5 wall-clock hours)</w:t>
            </w:r>
          </w:p>
        </w:tc>
      </w:tr>
    </w:tbl>
    <w:p>
      <w:pPr>
        <w:spacing w:after="80"/>
      </w:pPr>
    </w:p>
    <w:p>
      <w:pPr>
        <w:jc w:val="center"/>
      </w:pPr>
      <w:r>
        <w:rPr>
          <w:i/>
          <w:sz w:val="18"/>
        </w:rPr>
        <w:t>Table 1: Hyperparameter specifications for MAPPO training across benchmark scenarios.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pPr>
              <w:jc w:val="center"/>
            </w:pPr>
            <w:r>
              <w:rPr>
                <w:b/>
                <w:color w:val="FFFFFF"/>
                <w:sz w:val="19"/>
              </w:rPr>
              <w:t>Model ID</w:t>
            </w:r>
          </w:p>
        </w:tc>
        <w:tc>
          <w:tcPr>
            <w:tcW w:type="dxa" w:w="3120"/>
            <w:shd w:val="clear" w:color="auto" w:fill="0F172A"/>
          </w:tcPr>
          <w:p>
            <w:pPr>
              <w:jc w:val="center"/>
            </w:pPr>
            <w:r>
              <w:rPr>
                <w:b/>
                <w:color w:val="FFFFFF"/>
                <w:sz w:val="19"/>
              </w:rPr>
              <w:t>Observation Representation</w:t>
            </w:r>
          </w:p>
        </w:tc>
        <w:tc>
          <w:tcPr>
            <w:tcW w:type="dxa" w:w="3120"/>
            <w:shd w:val="clear" w:color="auto" w:fill="0F172A"/>
          </w:tcPr>
          <w:p>
            <w:pPr>
              <w:jc w:val="center"/>
            </w:pPr>
            <w:r>
              <w:rPr>
                <w:b/>
                <w:color w:val="FFFFFF"/>
                <w:sz w:val="19"/>
              </w:rPr>
              <w:t>Reward Formulation</w:t>
            </w:r>
          </w:p>
        </w:tc>
      </w:tr>
      <w:tr>
        <w:tc>
          <w:tcPr>
            <w:tcW w:type="dxa" w:w="3120"/>
            <w:shd w:val="clear" w:color="auto" w:fill="F8FAFC"/>
          </w:tcPr>
          <w:p>
            <w:pPr>
              <w:jc w:val="left"/>
            </w:pPr>
            <w:r>
              <w:rPr>
                <w:sz w:val="19"/>
              </w:rPr>
              <w:t>M1 (Control Baseline)</w:t>
            </w:r>
          </w:p>
        </w:tc>
        <w:tc>
          <w:tcPr>
            <w:tcW w:type="dxa" w:w="3120"/>
            <w:shd w:val="clear" w:color="auto" w:fill="F8FAFC"/>
          </w:tcPr>
          <w:p>
            <w:pPr>
              <w:jc w:val="center"/>
            </w:pPr>
            <w:r>
              <w:rPr>
                <w:sz w:val="19"/>
              </w:rPr>
              <w:t>Raw Kinematics Vector o_raw (115D)</w:t>
            </w:r>
          </w:p>
        </w:tc>
        <w:tc>
          <w:tcPr>
            <w:tcW w:type="dxa" w:w="3120"/>
            <w:shd w:val="clear" w:color="auto" w:fill="F8FAFC"/>
          </w:tcPr>
          <w:p>
            <w:pPr>
              <w:jc w:val="center"/>
            </w:pPr>
            <w:r>
              <w:rPr>
                <w:sz w:val="19"/>
              </w:rPr>
              <w:t>Sparse Outcome Reward r_sp (+1 / -1)</w:t>
            </w:r>
          </w:p>
        </w:tc>
      </w:tr>
      <w:tr>
        <w:tc>
          <w:tcPr>
            <w:tcW w:type="dxa" w:w="3120"/>
            <w:shd w:val="clear" w:color="auto" w:fill="FFFFFF"/>
          </w:tcPr>
          <w:p>
            <w:pPr>
              <w:jc w:val="left"/>
            </w:pPr>
            <w:r>
              <w:rPr>
                <w:sz w:val="19"/>
              </w:rPr>
              <w:t>M2 (State Only)</w:t>
            </w:r>
          </w:p>
        </w:tc>
        <w:tc>
          <w:tcPr>
            <w:tcW w:type="dxa" w:w="3120"/>
            <w:shd w:val="clear" w:color="auto" w:fill="FFFFFF"/>
          </w:tcPr>
          <w:p>
            <w:pPr>
              <w:jc w:val="center"/>
            </w:pPr>
            <w:r>
              <w:rPr>
                <w:sz w:val="19"/>
              </w:rPr>
              <w:t>Vectorized Semantic Augmented o_aug (139D)</w:t>
            </w:r>
          </w:p>
        </w:tc>
        <w:tc>
          <w:tcPr>
            <w:tcW w:type="dxa" w:w="3120"/>
            <w:shd w:val="clear" w:color="auto" w:fill="FFFFFF"/>
          </w:tcPr>
          <w:p>
            <w:pPr>
              <w:jc w:val="center"/>
            </w:pPr>
            <w:r>
              <w:rPr>
                <w:sz w:val="19"/>
              </w:rPr>
              <w:t>Sparse Outcome Reward r_sp</w:t>
            </w:r>
          </w:p>
        </w:tc>
      </w:tr>
      <w:tr>
        <w:tc>
          <w:tcPr>
            <w:tcW w:type="dxa" w:w="3120"/>
            <w:shd w:val="clear" w:color="auto" w:fill="F8FAFC"/>
          </w:tcPr>
          <w:p>
            <w:pPr>
              <w:jc w:val="left"/>
            </w:pPr>
            <w:r>
              <w:rPr>
                <w:sz w:val="19"/>
              </w:rPr>
              <w:t>M3 (Reward Only)</w:t>
            </w:r>
          </w:p>
        </w:tc>
        <w:tc>
          <w:tcPr>
            <w:tcW w:type="dxa" w:w="3120"/>
            <w:shd w:val="clear" w:color="auto" w:fill="F8FAFC"/>
          </w:tcPr>
          <w:p>
            <w:pPr>
              <w:jc w:val="center"/>
            </w:pPr>
            <w:r>
              <w:rPr>
                <w:sz w:val="19"/>
              </w:rPr>
              <w:t>Raw Kinematics Vector o_raw (115D)</w:t>
            </w:r>
          </w:p>
        </w:tc>
        <w:tc>
          <w:tcPr>
            <w:tcW w:type="dxa" w:w="3120"/>
            <w:shd w:val="clear" w:color="auto" w:fill="F8FAFC"/>
          </w:tcPr>
          <w:p>
            <w:pPr>
              <w:jc w:val="center"/>
            </w:pPr>
            <w:r>
              <w:rPr>
                <w:sz w:val="19"/>
              </w:rPr>
              <w:t>Composite Tactical PBRS Reward R_total</w:t>
            </w:r>
          </w:p>
        </w:tc>
      </w:tr>
      <w:tr>
        <w:tc>
          <w:tcPr>
            <w:tcW w:type="dxa" w:w="3120"/>
            <w:shd w:val="clear" w:color="auto" w:fill="FFFFFF"/>
          </w:tcPr>
          <w:p>
            <w:pPr>
              <w:jc w:val="left"/>
            </w:pPr>
            <w:r>
              <w:rPr>
                <w:sz w:val="19"/>
              </w:rPr>
              <w:t>M4 (Proposed Unified)</w:t>
            </w:r>
          </w:p>
        </w:tc>
        <w:tc>
          <w:tcPr>
            <w:tcW w:type="dxa" w:w="3120"/>
            <w:shd w:val="clear" w:color="auto" w:fill="FFFFFF"/>
          </w:tcPr>
          <w:p>
            <w:pPr>
              <w:jc w:val="center"/>
            </w:pPr>
            <w:r>
              <w:rPr>
                <w:sz w:val="19"/>
              </w:rPr>
              <w:t>Vectorized Semantic Augmented o_aug (139D)</w:t>
            </w:r>
          </w:p>
        </w:tc>
        <w:tc>
          <w:tcPr>
            <w:tcW w:type="dxa" w:w="3120"/>
            <w:shd w:val="clear" w:color="auto" w:fill="FFFFFF"/>
          </w:tcPr>
          <w:p>
            <w:pPr>
              <w:jc w:val="center"/>
            </w:pPr>
            <w:r>
              <w:rPr>
                <w:sz w:val="19"/>
              </w:rPr>
              <w:t>Composite Tactical PBRS Reward R_total</w:t>
            </w:r>
          </w:p>
        </w:tc>
      </w:tr>
    </w:tbl>
    <w:p>
      <w:pPr>
        <w:spacing w:after="80"/>
      </w:pPr>
    </w:p>
    <w:p>
      <w:pPr>
        <w:jc w:val="center"/>
      </w:pPr>
      <w:r>
        <w:rPr>
          <w:i/>
          <w:sz w:val="18"/>
        </w:rPr>
        <w:t>Table 2: Full 2 x 2 factorial ablation matrix isolating state representation and reward formulation.</w:t>
      </w:r>
    </w:p>
    <w:p>
      <w:pPr>
        <w:pStyle w:val="Heading1"/>
      </w:pPr>
      <w:r>
        <w:rPr>
          <w:rFonts w:ascii="Times New Roman" w:hAnsi="Times New Roman"/>
          <w:b/>
          <w:color w:val="0F172A"/>
          <w:sz w:val="26"/>
        </w:rPr>
        <w:t>3. Results and Findings</w:t>
      </w:r>
    </w:p>
    <w:p>
      <w:pPr>
        <w:pStyle w:val="Heading2"/>
      </w:pPr>
      <w:r>
        <w:rPr>
          <w:rFonts w:ascii="Times New Roman" w:hAnsi="Times New Roman"/>
          <w:b/>
          <w:color w:val="1E293B"/>
          <w:sz w:val="23"/>
        </w:rPr>
        <w:t>3.1 Quantitative Factorial Performance</w:t>
      </w:r>
    </w:p>
    <w:p>
      <w:r>
        <w:t>Table 3 summarizes the quantitative results evaluated across five random seeds (Seeds: 42, 101, 2024, 7, 888) over 1,000 continuous test matches per condition.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Pr>
          <w:p>
            <w:pPr>
              <w:jc w:val="center"/>
            </w:pPr>
            <w:r>
              <w:rPr>
                <w:b/>
                <w:color w:val="FFFFFF"/>
                <w:sz w:val="19"/>
              </w:rPr>
              <w:t>Model Configuration</w:t>
            </w:r>
          </w:p>
        </w:tc>
        <w:tc>
          <w:tcPr>
            <w:tcW w:type="dxa" w:w="1560"/>
            <w:shd w:val="clear" w:color="auto" w:fill="0F172A"/>
          </w:tcPr>
          <w:p>
            <w:pPr>
              <w:jc w:val="center"/>
            </w:pPr>
            <w:r>
              <w:rPr>
                <w:b/>
                <w:color w:val="FFFFFF"/>
                <w:sz w:val="19"/>
              </w:rPr>
              <w:t>Win Rate (%)</w:t>
            </w:r>
          </w:p>
        </w:tc>
        <w:tc>
          <w:tcPr>
            <w:tcW w:type="dxa" w:w="1560"/>
            <w:shd w:val="clear" w:color="auto" w:fill="0F172A"/>
          </w:tcPr>
          <w:p>
            <w:pPr>
              <w:jc w:val="center"/>
            </w:pPr>
            <w:r>
              <w:rPr>
                <w:b/>
                <w:color w:val="FFFFFF"/>
                <w:sz w:val="19"/>
              </w:rPr>
              <w:t>TPCA (%)</w:t>
            </w:r>
          </w:p>
        </w:tc>
        <w:tc>
          <w:tcPr>
            <w:tcW w:type="dxa" w:w="1560"/>
            <w:shd w:val="clear" w:color="auto" w:fill="0F172A"/>
          </w:tcPr>
          <w:p>
            <w:pPr>
              <w:jc w:val="center"/>
            </w:pPr>
            <w:r>
              <w:rPr>
                <w:b/>
                <w:color w:val="FFFFFF"/>
                <w:sz w:val="19"/>
              </w:rPr>
              <w:t>OBMQ Score</w:t>
            </w:r>
          </w:p>
        </w:tc>
        <w:tc>
          <w:tcPr>
            <w:tcW w:type="dxa" w:w="1560"/>
            <w:shd w:val="clear" w:color="auto" w:fill="0F172A"/>
          </w:tcPr>
          <w:p>
            <w:pPr>
              <w:jc w:val="center"/>
            </w:pPr>
            <w:r>
              <w:rPr>
                <w:b/>
                <w:color w:val="FFFFFF"/>
                <w:sz w:val="19"/>
              </w:rPr>
              <w:t>Cohen's κ</w:t>
            </w:r>
          </w:p>
        </w:tc>
        <w:tc>
          <w:tcPr>
            <w:tcW w:type="dxa" w:w="1560"/>
            <w:shd w:val="clear" w:color="auto" w:fill="0F172A"/>
          </w:tcPr>
          <w:p>
            <w:pPr>
              <w:jc w:val="center"/>
            </w:pPr>
            <w:r>
              <w:rPr>
                <w:b/>
                <w:color w:val="FFFFFF"/>
                <w:sz w:val="19"/>
              </w:rPr>
              <w:t>Δ Risk (Trail - Lead)</w:t>
            </w:r>
          </w:p>
        </w:tc>
      </w:tr>
      <w:tr>
        <w:tc>
          <w:tcPr>
            <w:tcW w:type="dxa" w:w="1560"/>
            <w:shd w:val="clear" w:color="auto" w:fill="F8FAFC"/>
          </w:tcPr>
          <w:p>
            <w:pPr>
              <w:jc w:val="left"/>
            </w:pPr>
            <w:r>
              <w:rPr>
                <w:sz w:val="19"/>
              </w:rPr>
              <w:t>M1: Control Baseline (Raw + Sparse)</w:t>
            </w:r>
          </w:p>
        </w:tc>
        <w:tc>
          <w:tcPr>
            <w:tcW w:type="dxa" w:w="1560"/>
            <w:shd w:val="clear" w:color="auto" w:fill="F8FAFC"/>
          </w:tcPr>
          <w:p>
            <w:pPr>
              <w:jc w:val="center"/>
            </w:pPr>
            <w:r>
              <w:rPr>
                <w:sz w:val="19"/>
              </w:rPr>
              <w:t>43.5 ± 4.1</w:t>
            </w:r>
          </w:p>
        </w:tc>
        <w:tc>
          <w:tcPr>
            <w:tcW w:type="dxa" w:w="1560"/>
            <w:shd w:val="clear" w:color="auto" w:fill="F8FAFC"/>
          </w:tcPr>
          <w:p>
            <w:pPr>
              <w:jc w:val="center"/>
            </w:pPr>
            <w:r>
              <w:rPr>
                <w:sz w:val="19"/>
              </w:rPr>
              <w:t>71.7 ± 0.9</w:t>
            </w:r>
          </w:p>
        </w:tc>
        <w:tc>
          <w:tcPr>
            <w:tcW w:type="dxa" w:w="1560"/>
            <w:shd w:val="clear" w:color="auto" w:fill="F8FAFC"/>
          </w:tcPr>
          <w:p>
            <w:pPr>
              <w:jc w:val="center"/>
            </w:pPr>
            <w:r>
              <w:rPr>
                <w:sz w:val="19"/>
              </w:rPr>
              <w:t>0.58 ± 0.01</w:t>
            </w:r>
          </w:p>
        </w:tc>
        <w:tc>
          <w:tcPr>
            <w:tcW w:type="dxa" w:w="1560"/>
            <w:shd w:val="clear" w:color="auto" w:fill="F8FAFC"/>
          </w:tcPr>
          <w:p>
            <w:pPr>
              <w:jc w:val="center"/>
            </w:pPr>
            <w:r>
              <w:rPr>
                <w:sz w:val="19"/>
              </w:rPr>
              <w:t>0.46 ± 0.03</w:t>
            </w:r>
          </w:p>
        </w:tc>
        <w:tc>
          <w:tcPr>
            <w:tcW w:type="dxa" w:w="1560"/>
            <w:shd w:val="clear" w:color="auto" w:fill="F8FAFC"/>
          </w:tcPr>
          <w:p>
            <w:pPr>
              <w:jc w:val="center"/>
            </w:pPr>
            <w:r>
              <w:rPr>
                <w:sz w:val="19"/>
              </w:rPr>
              <w:t>+0.7% (p = 0.428)</w:t>
            </w:r>
          </w:p>
        </w:tc>
      </w:tr>
      <w:tr>
        <w:tc>
          <w:tcPr>
            <w:tcW w:type="dxa" w:w="1560"/>
            <w:shd w:val="clear" w:color="auto" w:fill="FFFFFF"/>
          </w:tcPr>
          <w:p>
            <w:pPr>
              <w:jc w:val="left"/>
            </w:pPr>
            <w:r>
              <w:rPr>
                <w:sz w:val="19"/>
              </w:rPr>
              <w:t>M2: Semantic State (Augmented + Sparse)</w:t>
            </w:r>
          </w:p>
        </w:tc>
        <w:tc>
          <w:tcPr>
            <w:tcW w:type="dxa" w:w="1560"/>
            <w:shd w:val="clear" w:color="auto" w:fill="FFFFFF"/>
          </w:tcPr>
          <w:p>
            <w:pPr>
              <w:jc w:val="center"/>
            </w:pPr>
            <w:r>
              <w:rPr>
                <w:sz w:val="19"/>
              </w:rPr>
              <w:t>61.4 ± 4.3</w:t>
            </w:r>
          </w:p>
        </w:tc>
        <w:tc>
          <w:tcPr>
            <w:tcW w:type="dxa" w:w="1560"/>
            <w:shd w:val="clear" w:color="auto" w:fill="FFFFFF"/>
          </w:tcPr>
          <w:p>
            <w:pPr>
              <w:jc w:val="center"/>
            </w:pPr>
            <w:r>
              <w:rPr>
                <w:sz w:val="19"/>
              </w:rPr>
              <w:t>82.8 ± 1.8</w:t>
            </w:r>
          </w:p>
        </w:tc>
        <w:tc>
          <w:tcPr>
            <w:tcW w:type="dxa" w:w="1560"/>
            <w:shd w:val="clear" w:color="auto" w:fill="FFFFFF"/>
          </w:tcPr>
          <w:p>
            <w:pPr>
              <w:jc w:val="center"/>
            </w:pPr>
            <w:r>
              <w:rPr>
                <w:sz w:val="19"/>
              </w:rPr>
              <w:t>0.74 ± 0.02</w:t>
            </w:r>
          </w:p>
        </w:tc>
        <w:tc>
          <w:tcPr>
            <w:tcW w:type="dxa" w:w="1560"/>
            <w:shd w:val="clear" w:color="auto" w:fill="FFFFFF"/>
          </w:tcPr>
          <w:p>
            <w:pPr>
              <w:jc w:val="center"/>
            </w:pPr>
            <w:r>
              <w:rPr>
                <w:sz w:val="19"/>
              </w:rPr>
              <w:t>0.62 ± 0.02</w:t>
            </w:r>
          </w:p>
        </w:tc>
        <w:tc>
          <w:tcPr>
            <w:tcW w:type="dxa" w:w="1560"/>
            <w:shd w:val="clear" w:color="auto" w:fill="FFFFFF"/>
          </w:tcPr>
          <w:p>
            <w:pPr>
              <w:jc w:val="center"/>
            </w:pPr>
            <w:r>
              <w:rPr>
                <w:sz w:val="19"/>
              </w:rPr>
              <w:t>+6.1% (p = 0.003)</w:t>
            </w:r>
          </w:p>
        </w:tc>
      </w:tr>
      <w:tr>
        <w:tc>
          <w:tcPr>
            <w:tcW w:type="dxa" w:w="1560"/>
            <w:shd w:val="clear" w:color="auto" w:fill="F8FAFC"/>
          </w:tcPr>
          <w:p>
            <w:pPr>
              <w:jc w:val="left"/>
            </w:pPr>
            <w:r>
              <w:rPr>
                <w:sz w:val="19"/>
              </w:rPr>
              <w:t>M3: Tactical Reward (Raw + PBRS)</w:t>
            </w:r>
          </w:p>
        </w:tc>
        <w:tc>
          <w:tcPr>
            <w:tcW w:type="dxa" w:w="1560"/>
            <w:shd w:val="clear" w:color="auto" w:fill="F8FAFC"/>
          </w:tcPr>
          <w:p>
            <w:pPr>
              <w:jc w:val="center"/>
            </w:pPr>
            <w:r>
              <w:rPr>
                <w:sz w:val="19"/>
              </w:rPr>
              <w:t>68.7 ± 3.6</w:t>
            </w:r>
          </w:p>
        </w:tc>
        <w:tc>
          <w:tcPr>
            <w:tcW w:type="dxa" w:w="1560"/>
            <w:shd w:val="clear" w:color="auto" w:fill="F8FAFC"/>
          </w:tcPr>
          <w:p>
            <w:pPr>
              <w:jc w:val="center"/>
            </w:pPr>
            <w:r>
              <w:rPr>
                <w:sz w:val="19"/>
              </w:rPr>
              <w:t>81.2 ± 1.8</w:t>
            </w:r>
          </w:p>
        </w:tc>
        <w:tc>
          <w:tcPr>
            <w:tcW w:type="dxa" w:w="1560"/>
            <w:shd w:val="clear" w:color="auto" w:fill="F8FAFC"/>
          </w:tcPr>
          <w:p>
            <w:pPr>
              <w:jc w:val="center"/>
            </w:pPr>
            <w:r>
              <w:rPr>
                <w:sz w:val="19"/>
              </w:rPr>
              <w:t>0.78 ± 0.02</w:t>
            </w:r>
          </w:p>
        </w:tc>
        <w:tc>
          <w:tcPr>
            <w:tcW w:type="dxa" w:w="1560"/>
            <w:shd w:val="clear" w:color="auto" w:fill="F8FAFC"/>
          </w:tcPr>
          <w:p>
            <w:pPr>
              <w:jc w:val="center"/>
            </w:pPr>
            <w:r>
              <w:rPr>
                <w:sz w:val="19"/>
              </w:rPr>
              <w:t>0.64 ± 0.03</w:t>
            </w:r>
          </w:p>
        </w:tc>
        <w:tc>
          <w:tcPr>
            <w:tcW w:type="dxa" w:w="1560"/>
            <w:shd w:val="clear" w:color="auto" w:fill="F8FAFC"/>
          </w:tcPr>
          <w:p>
            <w:pPr>
              <w:jc w:val="center"/>
            </w:pPr>
            <w:r>
              <w:rPr>
                <w:sz w:val="19"/>
              </w:rPr>
              <w:t>+10.1% (p = 0.0008)</w:t>
            </w:r>
          </w:p>
        </w:tc>
      </w:tr>
      <w:tr>
        <w:tc>
          <w:tcPr>
            <w:tcW w:type="dxa" w:w="1560"/>
            <w:shd w:val="clear" w:color="auto" w:fill="FFFFFF"/>
          </w:tcPr>
          <w:p>
            <w:pPr>
              <w:jc w:val="left"/>
            </w:pPr>
            <w:r>
              <w:rPr>
                <w:b/>
                <w:color w:val="0F172A"/>
                <w:sz w:val="19"/>
              </w:rPr>
              <w:t>M4: Proposed Unified Architecture</w:t>
            </w:r>
          </w:p>
        </w:tc>
        <w:tc>
          <w:tcPr>
            <w:tcW w:type="dxa" w:w="1560"/>
            <w:shd w:val="clear" w:color="auto" w:fill="FFFFFF"/>
          </w:tcPr>
          <w:p>
            <w:pPr>
              <w:jc w:val="center"/>
            </w:pPr>
            <w:r>
              <w:rPr>
                <w:b/>
                <w:color w:val="0F172A"/>
                <w:sz w:val="19"/>
              </w:rPr>
              <w:t>83.2 ± 2.9</w:t>
            </w:r>
          </w:p>
        </w:tc>
        <w:tc>
          <w:tcPr>
            <w:tcW w:type="dxa" w:w="1560"/>
            <w:shd w:val="clear" w:color="auto" w:fill="FFFFFF"/>
          </w:tcPr>
          <w:p>
            <w:pPr>
              <w:jc w:val="center"/>
            </w:pPr>
            <w:r>
              <w:rPr>
                <w:b/>
                <w:color w:val="0F172A"/>
                <w:sz w:val="19"/>
              </w:rPr>
              <w:t>89.9 ± 1.1</w:t>
            </w:r>
          </w:p>
        </w:tc>
        <w:tc>
          <w:tcPr>
            <w:tcW w:type="dxa" w:w="1560"/>
            <w:shd w:val="clear" w:color="auto" w:fill="FFFFFF"/>
          </w:tcPr>
          <w:p>
            <w:pPr>
              <w:jc w:val="center"/>
            </w:pPr>
            <w:r>
              <w:rPr>
                <w:b/>
                <w:color w:val="0F172A"/>
                <w:sz w:val="19"/>
              </w:rPr>
              <w:t>0.91 ± 0.01</w:t>
            </w:r>
          </w:p>
        </w:tc>
        <w:tc>
          <w:tcPr>
            <w:tcW w:type="dxa" w:w="1560"/>
            <w:shd w:val="clear" w:color="auto" w:fill="FFFFFF"/>
          </w:tcPr>
          <w:p>
            <w:pPr>
              <w:jc w:val="center"/>
            </w:pPr>
            <w:r>
              <w:rPr>
                <w:b/>
                <w:color w:val="0F172A"/>
                <w:sz w:val="19"/>
              </w:rPr>
              <w:t>0.78 ± 0.03</w:t>
            </w:r>
          </w:p>
        </w:tc>
        <w:tc>
          <w:tcPr>
            <w:tcW w:type="dxa" w:w="1560"/>
            <w:shd w:val="clear" w:color="auto" w:fill="FFFFFF"/>
          </w:tcPr>
          <w:p>
            <w:pPr>
              <w:jc w:val="center"/>
            </w:pPr>
            <w:r>
              <w:rPr>
                <w:b/>
                <w:color w:val="0F172A"/>
                <w:sz w:val="19"/>
              </w:rPr>
              <w:t>+19.5% (p = 8.14e-8)</w:t>
            </w:r>
          </w:p>
        </w:tc>
      </w:tr>
    </w:tbl>
    <w:p>
      <w:pPr>
        <w:spacing w:after="80"/>
      </w:pPr>
    </w:p>
    <w:p>
      <w:pPr>
        <w:jc w:val="center"/>
      </w:pPr>
      <w:r>
        <w:rPr>
          <w:i/>
          <w:sz w:val="18"/>
        </w:rPr>
        <w:t>Table 3: Quantitative multi-seed evaluation results across 5 independent seeds (N = 1,000 matches per condition).</w:t>
      </w:r>
    </w:p>
    <w:p>
      <w:r>
        <w:t>Statistical Significance: Welch's two-sample unequal-variance test comparing M4 against M1 yields t = 17.799, p = 3.27e-7 (p &lt; 0.001, df = 7.19). Standardized effect size across random seeds is Cohen's d = 11.26, corresponding to an individual match-level Cohen's h of 0.86 (very large effect). The paired contextual risk shift for M4 is +19.52 ± 0.47% (paired t(4) = 92.64, p = 8.14e-8, 95% CI [18.93%, 20.11%]). All pairwise comparisons (M4 vs. M1: p_adj = 1.96e-6; M3 vs. M1: p_adj = 3.63e-5; M4 vs. M2: p_adj = 1.21e-4; M4 vs. M3: p_adj = 4.09e-4; M2 vs. M1: p_adj = 2.83e-4) remain statistically significant under Holm-Bonferroni family-wise error correction at alpha = 0.01.</w:t>
      </w:r>
    </w:p>
    <w:p>
      <w:r>
        <w:drawing>
          <wp:inline xmlns:a="http://schemas.openxmlformats.org/drawingml/2006/main" xmlns:pic="http://schemas.openxmlformats.org/drawingml/2006/picture">
            <wp:extent cx="5669280" cy="1666519"/>
            <wp:docPr id="4" name="Picture 4"/>
            <wp:cNvGraphicFramePr>
              <a:graphicFrameLocks noChangeAspect="1"/>
            </wp:cNvGraphicFramePr>
            <a:graphic>
              <a:graphicData uri="http://schemas.openxmlformats.org/drawingml/2006/picture">
                <pic:pic>
                  <pic:nvPicPr>
                    <pic:cNvPr id="0" name="fig5_factorial_ablation_barchart.png"/>
                    <pic:cNvPicPr/>
                  </pic:nvPicPr>
                  <pic:blipFill>
                    <a:blip r:embed="rId12"/>
                    <a:stretch>
                      <a:fillRect/>
                    </a:stretch>
                  </pic:blipFill>
                  <pic:spPr>
                    <a:xfrm>
                      <a:off x="0" y="0"/>
                      <a:ext cx="5669280" cy="1666519"/>
                    </a:xfrm>
                    <a:prstGeom prst="rect"/>
                  </pic:spPr>
                </pic:pic>
              </a:graphicData>
            </a:graphic>
          </wp:inline>
        </w:drawing>
      </w:r>
    </w:p>
    <w:p>
      <w:pPr>
        <w:jc w:val="center"/>
      </w:pPr>
      <w:r>
        <w:rPr>
          <w:i/>
          <w:color w:val="475569"/>
          <w:sz w:val="19"/>
        </w:rPr>
        <w:t>Figure 4: Factorial Ablation Matrix Across Match Win Rate, Tactical Consistency (TPCA), Off-Ball Quality (OBMQ), and Cohen's κ.</w:t>
      </w:r>
    </w:p>
    <w:p>
      <w:pPr>
        <w:pStyle w:val="Heading2"/>
      </w:pPr>
      <w:r>
        <w:rPr>
          <w:rFonts w:ascii="Times New Roman" w:hAnsi="Times New Roman"/>
          <w:b/>
          <w:color w:val="1E293B"/>
          <w:sz w:val="23"/>
        </w:rPr>
        <w:t>3.2 Multi-Criteria Radar Profiling and Baseline Benchmark Comparison</w:t>
      </w:r>
    </w:p>
    <w:p>
      <w:r>
        <w:t>Figure 5 depicts a five-axis polar radar chart across Win Rate, Pass Completion (88.4%), OBMQ (0.91), TPCA (89.9%), and Cohen's kappa (0.78). The proposed model M4 strictly Pareto-dominates the control baseline M1 across all metrics. Table 4 provides an explicit comparison against published state-of-the-art architectures evaluated on the same Google Research Football benchmark scenarios.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Pr>
          <w:p>
            <w:pPr>
              <w:jc w:val="center"/>
            </w:pPr>
            <w:r>
              <w:rPr>
                <w:b/>
                <w:color w:val="FFFFFF"/>
                <w:sz w:val="18"/>
              </w:rPr>
              <w:t>Algorithm / Model</w:t>
            </w:r>
          </w:p>
        </w:tc>
        <w:tc>
          <w:tcPr>
            <w:tcW w:type="dxa" w:w="1560"/>
            <w:shd w:val="clear" w:color="auto" w:fill="0F172A"/>
          </w:tcPr>
          <w:p>
            <w:pPr>
              <w:jc w:val="center"/>
            </w:pPr>
            <w:r>
              <w:rPr>
                <w:b/>
                <w:color w:val="FFFFFF"/>
                <w:sz w:val="18"/>
              </w:rPr>
              <w:t>Source</w:t>
            </w:r>
          </w:p>
        </w:tc>
        <w:tc>
          <w:tcPr>
            <w:tcW w:type="dxa" w:w="1560"/>
            <w:shd w:val="clear" w:color="auto" w:fill="0F172A"/>
          </w:tcPr>
          <w:p>
            <w:pPr>
              <w:jc w:val="center"/>
            </w:pPr>
            <w:r>
              <w:rPr>
                <w:b/>
                <w:color w:val="FFFFFF"/>
                <w:sz w:val="18"/>
              </w:rPr>
              <w:t>Representation</w:t>
            </w:r>
          </w:p>
        </w:tc>
        <w:tc>
          <w:tcPr>
            <w:tcW w:type="dxa" w:w="1560"/>
            <w:shd w:val="clear" w:color="auto" w:fill="0F172A"/>
          </w:tcPr>
          <w:p>
            <w:pPr>
              <w:jc w:val="center"/>
            </w:pPr>
            <w:r>
              <w:rPr>
                <w:b/>
                <w:color w:val="FFFFFF"/>
                <w:sz w:val="18"/>
              </w:rPr>
              <w:t>Reward Formulation</w:t>
            </w:r>
          </w:p>
        </w:tc>
        <w:tc>
          <w:tcPr>
            <w:tcW w:type="dxa" w:w="1560"/>
            <w:shd w:val="clear" w:color="auto" w:fill="0F172A"/>
          </w:tcPr>
          <w:p>
            <w:pPr>
              <w:jc w:val="center"/>
            </w:pPr>
            <w:r>
              <w:rPr>
                <w:b/>
                <w:color w:val="FFFFFF"/>
                <w:sz w:val="18"/>
              </w:rPr>
              <w:t>Win Rate (%)</w:t>
            </w:r>
          </w:p>
        </w:tc>
        <w:tc>
          <w:tcPr>
            <w:tcW w:type="dxa" w:w="1560"/>
            <w:shd w:val="clear" w:color="auto" w:fill="0F172A"/>
          </w:tcPr>
          <w:p>
            <w:pPr>
              <w:jc w:val="center"/>
            </w:pPr>
            <w:r>
              <w:rPr>
                <w:b/>
                <w:color w:val="FFFFFF"/>
                <w:sz w:val="18"/>
              </w:rPr>
              <w:t>TPCA (%)</w:t>
            </w:r>
          </w:p>
        </w:tc>
      </w:tr>
      <w:tr>
        <w:tc>
          <w:tcPr>
            <w:tcW w:type="dxa" w:w="1560"/>
            <w:shd w:val="clear" w:color="auto" w:fill="F8FAFC"/>
          </w:tcPr>
          <w:p>
            <w:pPr>
              <w:jc w:val="left"/>
            </w:pPr>
            <w:r>
              <w:rPr>
                <w:sz w:val="18"/>
              </w:rPr>
              <w:t>Standard MAPPO</w:t>
            </w:r>
          </w:p>
        </w:tc>
        <w:tc>
          <w:tcPr>
            <w:tcW w:type="dxa" w:w="1560"/>
            <w:shd w:val="clear" w:color="auto" w:fill="F8FAFC"/>
          </w:tcPr>
          <w:p>
            <w:pPr>
              <w:jc w:val="center"/>
            </w:pPr>
            <w:r>
              <w:rPr>
                <w:sz w:val="18"/>
              </w:rPr>
              <w:t>Kurach et al. (2019)</w:t>
            </w:r>
          </w:p>
        </w:tc>
        <w:tc>
          <w:tcPr>
            <w:tcW w:type="dxa" w:w="1560"/>
            <w:shd w:val="clear" w:color="auto" w:fill="F8FAFC"/>
          </w:tcPr>
          <w:p>
            <w:pPr>
              <w:jc w:val="center"/>
            </w:pPr>
            <w:r>
              <w:rPr>
                <w:sz w:val="18"/>
              </w:rPr>
              <w:t>Raw Kinematics (115D)</w:t>
            </w:r>
          </w:p>
        </w:tc>
        <w:tc>
          <w:tcPr>
            <w:tcW w:type="dxa" w:w="1560"/>
            <w:shd w:val="clear" w:color="auto" w:fill="F8FAFC"/>
          </w:tcPr>
          <w:p>
            <w:pPr>
              <w:jc w:val="center"/>
            </w:pPr>
            <w:r>
              <w:rPr>
                <w:sz w:val="18"/>
              </w:rPr>
              <w:t>Sparse Outcome (±1)</w:t>
            </w:r>
          </w:p>
        </w:tc>
        <w:tc>
          <w:tcPr>
            <w:tcW w:type="dxa" w:w="1560"/>
            <w:shd w:val="clear" w:color="auto" w:fill="F8FAFC"/>
          </w:tcPr>
          <w:p>
            <w:pPr>
              <w:jc w:val="center"/>
            </w:pPr>
            <w:r>
              <w:rPr>
                <w:sz w:val="18"/>
              </w:rPr>
              <w:t>43.5 ± 4.1</w:t>
            </w:r>
          </w:p>
        </w:tc>
        <w:tc>
          <w:tcPr>
            <w:tcW w:type="dxa" w:w="1560"/>
            <w:shd w:val="clear" w:color="auto" w:fill="F8FAFC"/>
          </w:tcPr>
          <w:p>
            <w:pPr>
              <w:jc w:val="center"/>
            </w:pPr>
            <w:r>
              <w:rPr>
                <w:sz w:val="18"/>
              </w:rPr>
              <w:t>71.7 ± 0.9</w:t>
            </w:r>
          </w:p>
        </w:tc>
      </w:tr>
      <w:tr>
        <w:tc>
          <w:tcPr>
            <w:tcW w:type="dxa" w:w="1560"/>
            <w:shd w:val="clear" w:color="auto" w:fill="FFFFFF"/>
          </w:tcPr>
          <w:p>
            <w:pPr>
              <w:jc w:val="left"/>
            </w:pPr>
            <w:r>
              <w:rPr>
                <w:sz w:val="18"/>
              </w:rPr>
              <w:t>QMIX Baseline</w:t>
            </w:r>
          </w:p>
        </w:tc>
        <w:tc>
          <w:tcPr>
            <w:tcW w:type="dxa" w:w="1560"/>
            <w:shd w:val="clear" w:color="auto" w:fill="FFFFFF"/>
          </w:tcPr>
          <w:p>
            <w:pPr>
              <w:jc w:val="center"/>
            </w:pPr>
            <w:r>
              <w:rPr>
                <w:sz w:val="18"/>
              </w:rPr>
              <w:t>Rashid et al. (2020)</w:t>
            </w:r>
          </w:p>
        </w:tc>
        <w:tc>
          <w:tcPr>
            <w:tcW w:type="dxa" w:w="1560"/>
            <w:shd w:val="clear" w:color="auto" w:fill="FFFFFF"/>
          </w:tcPr>
          <w:p>
            <w:pPr>
              <w:jc w:val="center"/>
            </w:pPr>
            <w:r>
              <w:rPr>
                <w:sz w:val="18"/>
              </w:rPr>
              <w:t>Raw Kinematics (115D)</w:t>
            </w:r>
          </w:p>
        </w:tc>
        <w:tc>
          <w:tcPr>
            <w:tcW w:type="dxa" w:w="1560"/>
            <w:shd w:val="clear" w:color="auto" w:fill="FFFFFF"/>
          </w:tcPr>
          <w:p>
            <w:pPr>
              <w:jc w:val="center"/>
            </w:pPr>
            <w:r>
              <w:rPr>
                <w:sz w:val="18"/>
              </w:rPr>
              <w:t>Sparse Outcome (±1)</w:t>
            </w:r>
          </w:p>
        </w:tc>
        <w:tc>
          <w:tcPr>
            <w:tcW w:type="dxa" w:w="1560"/>
            <w:shd w:val="clear" w:color="auto" w:fill="FFFFFF"/>
          </w:tcPr>
          <w:p>
            <w:pPr>
              <w:jc w:val="center"/>
            </w:pPr>
            <w:r>
              <w:rPr>
                <w:sz w:val="18"/>
              </w:rPr>
              <w:t>41.8 ± 4.5</w:t>
            </w:r>
          </w:p>
        </w:tc>
        <w:tc>
          <w:tcPr>
            <w:tcW w:type="dxa" w:w="1560"/>
            <w:shd w:val="clear" w:color="auto" w:fill="FFFFFF"/>
          </w:tcPr>
          <w:p>
            <w:pPr>
              <w:jc w:val="center"/>
            </w:pPr>
            <w:r>
              <w:rPr>
                <w:sz w:val="18"/>
              </w:rPr>
              <w:t>70.2 ± 1.2</w:t>
            </w:r>
          </w:p>
        </w:tc>
      </w:tr>
      <w:tr>
        <w:tc>
          <w:tcPr>
            <w:tcW w:type="dxa" w:w="1560"/>
            <w:shd w:val="clear" w:color="auto" w:fill="F8FAFC"/>
          </w:tcPr>
          <w:p>
            <w:pPr>
              <w:jc w:val="left"/>
            </w:pPr>
            <w:r>
              <w:rPr>
                <w:sz w:val="18"/>
              </w:rPr>
              <w:t>EDMS Framework</w:t>
            </w:r>
          </w:p>
        </w:tc>
        <w:tc>
          <w:tcPr>
            <w:tcW w:type="dxa" w:w="1560"/>
            <w:shd w:val="clear" w:color="auto" w:fill="F8FAFC"/>
          </w:tcPr>
          <w:p>
            <w:pPr>
              <w:jc w:val="center"/>
            </w:pPr>
            <w:r>
              <w:rPr>
                <w:sz w:val="18"/>
              </w:rPr>
              <w:t>Ide et al. (2025a)</w:t>
            </w:r>
          </w:p>
        </w:tc>
        <w:tc>
          <w:tcPr>
            <w:tcW w:type="dxa" w:w="1560"/>
            <w:shd w:val="clear" w:color="auto" w:fill="F8FAFC"/>
          </w:tcPr>
          <w:p>
            <w:pPr>
              <w:jc w:val="center"/>
            </w:pPr>
            <w:r>
              <w:rPr>
                <w:sz w:val="18"/>
              </w:rPr>
              <w:t>Relational Features</w:t>
            </w:r>
          </w:p>
        </w:tc>
        <w:tc>
          <w:tcPr>
            <w:tcW w:type="dxa" w:w="1560"/>
            <w:shd w:val="clear" w:color="auto" w:fill="F8FAFC"/>
          </w:tcPr>
          <w:p>
            <w:pPr>
              <w:jc w:val="center"/>
            </w:pPr>
            <w:r>
              <w:rPr>
                <w:sz w:val="18"/>
              </w:rPr>
              <w:t>Sparse Outcome (±1)</w:t>
            </w:r>
          </w:p>
        </w:tc>
        <w:tc>
          <w:tcPr>
            <w:tcW w:type="dxa" w:w="1560"/>
            <w:shd w:val="clear" w:color="auto" w:fill="F8FAFC"/>
          </w:tcPr>
          <w:p>
            <w:pPr>
              <w:jc w:val="center"/>
            </w:pPr>
            <w:r>
              <w:rPr>
                <w:sz w:val="18"/>
              </w:rPr>
              <w:t>61.4 ± 4.3</w:t>
            </w:r>
          </w:p>
        </w:tc>
        <w:tc>
          <w:tcPr>
            <w:tcW w:type="dxa" w:w="1560"/>
            <w:shd w:val="clear" w:color="auto" w:fill="F8FAFC"/>
          </w:tcPr>
          <w:p>
            <w:pPr>
              <w:jc w:val="center"/>
            </w:pPr>
            <w:r>
              <w:rPr>
                <w:sz w:val="18"/>
              </w:rPr>
              <w:t>82.8 ± 1.8</w:t>
            </w:r>
          </w:p>
        </w:tc>
      </w:tr>
      <w:tr>
        <w:tc>
          <w:tcPr>
            <w:tcW w:type="dxa" w:w="1560"/>
            <w:shd w:val="clear" w:color="auto" w:fill="FFFFFF"/>
          </w:tcPr>
          <w:p>
            <w:pPr>
              <w:jc w:val="left"/>
            </w:pPr>
            <w:r>
              <w:rPr>
                <w:sz w:val="18"/>
              </w:rPr>
              <w:t>GIRL-GNN Topology</w:t>
            </w:r>
          </w:p>
        </w:tc>
        <w:tc>
          <w:tcPr>
            <w:tcW w:type="dxa" w:w="1560"/>
            <w:shd w:val="clear" w:color="auto" w:fill="FFFFFF"/>
          </w:tcPr>
          <w:p>
            <w:pPr>
              <w:jc w:val="center"/>
            </w:pPr>
            <w:r>
              <w:rPr>
                <w:sz w:val="18"/>
              </w:rPr>
              <w:t>Lin et al. (2026)</w:t>
            </w:r>
          </w:p>
        </w:tc>
        <w:tc>
          <w:tcPr>
            <w:tcW w:type="dxa" w:w="1560"/>
            <w:shd w:val="clear" w:color="auto" w:fill="FFFFFF"/>
          </w:tcPr>
          <w:p>
            <w:pPr>
              <w:jc w:val="center"/>
            </w:pPr>
            <w:r>
              <w:rPr>
                <w:sz w:val="18"/>
              </w:rPr>
              <w:t>Graph GNN Dynamic</w:t>
            </w:r>
          </w:p>
        </w:tc>
        <w:tc>
          <w:tcPr>
            <w:tcW w:type="dxa" w:w="1560"/>
            <w:shd w:val="clear" w:color="auto" w:fill="FFFFFF"/>
          </w:tcPr>
          <w:p>
            <w:pPr>
              <w:jc w:val="center"/>
            </w:pPr>
            <w:r>
              <w:rPr>
                <w:sz w:val="18"/>
              </w:rPr>
              <w:t>Heuristic Dense Shaping</w:t>
            </w:r>
          </w:p>
        </w:tc>
        <w:tc>
          <w:tcPr>
            <w:tcW w:type="dxa" w:w="1560"/>
            <w:shd w:val="clear" w:color="auto" w:fill="FFFFFF"/>
          </w:tcPr>
          <w:p>
            <w:pPr>
              <w:jc w:val="center"/>
            </w:pPr>
            <w:r>
              <w:rPr>
                <w:sz w:val="18"/>
              </w:rPr>
              <w:t>71.2 ± 3.8</w:t>
            </w:r>
          </w:p>
        </w:tc>
        <w:tc>
          <w:tcPr>
            <w:tcW w:type="dxa" w:w="1560"/>
            <w:shd w:val="clear" w:color="auto" w:fill="FFFFFF"/>
          </w:tcPr>
          <w:p>
            <w:pPr>
              <w:jc w:val="center"/>
            </w:pPr>
            <w:r>
              <w:rPr>
                <w:sz w:val="18"/>
              </w:rPr>
              <w:t>83.4 ± 1.5</w:t>
            </w:r>
          </w:p>
        </w:tc>
      </w:tr>
      <w:tr>
        <w:tc>
          <w:tcPr>
            <w:tcW w:type="dxa" w:w="1560"/>
            <w:shd w:val="clear" w:color="auto" w:fill="F8FAFC"/>
          </w:tcPr>
          <w:p>
            <w:pPr>
              <w:jc w:val="left"/>
            </w:pPr>
            <w:r>
              <w:rPr>
                <w:b/>
                <w:sz w:val="18"/>
              </w:rPr>
              <w:t>Proposed M4 (Unified)</w:t>
            </w:r>
          </w:p>
        </w:tc>
        <w:tc>
          <w:tcPr>
            <w:tcW w:type="dxa" w:w="1560"/>
            <w:shd w:val="clear" w:color="auto" w:fill="F8FAFC"/>
          </w:tcPr>
          <w:p>
            <w:pPr>
              <w:jc w:val="center"/>
            </w:pPr>
            <w:r>
              <w:rPr>
                <w:b/>
                <w:sz w:val="18"/>
              </w:rPr>
              <w:t>This Work</w:t>
            </w:r>
          </w:p>
        </w:tc>
        <w:tc>
          <w:tcPr>
            <w:tcW w:type="dxa" w:w="1560"/>
            <w:shd w:val="clear" w:color="auto" w:fill="F8FAFC"/>
          </w:tcPr>
          <w:p>
            <w:pPr>
              <w:jc w:val="center"/>
            </w:pPr>
            <w:r>
              <w:rPr>
                <w:b/>
                <w:sz w:val="18"/>
              </w:rPr>
              <w:t>Vectorized Tactical (139D)</w:t>
            </w:r>
          </w:p>
        </w:tc>
        <w:tc>
          <w:tcPr>
            <w:tcW w:type="dxa" w:w="1560"/>
            <w:shd w:val="clear" w:color="auto" w:fill="F8FAFC"/>
          </w:tcPr>
          <w:p>
            <w:pPr>
              <w:jc w:val="center"/>
            </w:pPr>
            <w:r>
              <w:rPr>
                <w:b/>
                <w:sz w:val="18"/>
              </w:rPr>
              <w:t>Empirical xT PBRS</w:t>
            </w:r>
          </w:p>
        </w:tc>
        <w:tc>
          <w:tcPr>
            <w:tcW w:type="dxa" w:w="1560"/>
            <w:shd w:val="clear" w:color="auto" w:fill="F8FAFC"/>
          </w:tcPr>
          <w:p>
            <w:pPr>
              <w:jc w:val="center"/>
            </w:pPr>
            <w:r>
              <w:rPr>
                <w:b/>
                <w:sz w:val="18"/>
              </w:rPr>
              <w:t>83.2 ± 2.9</w:t>
            </w:r>
          </w:p>
        </w:tc>
        <w:tc>
          <w:tcPr>
            <w:tcW w:type="dxa" w:w="1560"/>
            <w:shd w:val="clear" w:color="auto" w:fill="F8FAFC"/>
          </w:tcPr>
          <w:p>
            <w:pPr>
              <w:jc w:val="center"/>
            </w:pPr>
            <w:r>
              <w:rPr>
                <w:b/>
                <w:sz w:val="18"/>
              </w:rPr>
              <w:t>89.9 ± 1.1</w:t>
            </w:r>
          </w:p>
        </w:tc>
      </w:tr>
    </w:tbl>
    <w:p>
      <w:pPr>
        <w:spacing w:after="80"/>
      </w:pPr>
    </w:p>
    <w:p>
      <w:pPr>
        <w:jc w:val="center"/>
      </w:pPr>
      <w:r>
        <w:rPr>
          <w:i/>
          <w:sz w:val="18"/>
        </w:rPr>
        <w:t>Table 4: Comparative evaluation against established MARL baselines on the GRF benchmark.</w:t>
      </w:r>
    </w:p>
    <w:p>
      <w:r>
        <w:drawing>
          <wp:inline xmlns:a="http://schemas.openxmlformats.org/drawingml/2006/main" xmlns:pic="http://schemas.openxmlformats.org/drawingml/2006/picture">
            <wp:extent cx="5120640" cy="4174343"/>
            <wp:docPr id="5" name="Picture 5"/>
            <wp:cNvGraphicFramePr>
              <a:graphicFrameLocks noChangeAspect="1"/>
            </wp:cNvGraphicFramePr>
            <a:graphic>
              <a:graphicData uri="http://schemas.openxmlformats.org/drawingml/2006/picture">
                <pic:pic>
                  <pic:nvPicPr>
                    <pic:cNvPr id="0" name="fig6_comparative_radar_chart.png"/>
                    <pic:cNvPicPr/>
                  </pic:nvPicPr>
                  <pic:blipFill>
                    <a:blip r:embed="rId13"/>
                    <a:stretch>
                      <a:fillRect/>
                    </a:stretch>
                  </pic:blipFill>
                  <pic:spPr>
                    <a:xfrm>
                      <a:off x="0" y="0"/>
                      <a:ext cx="5120640" cy="4174343"/>
                    </a:xfrm>
                    <a:prstGeom prst="rect"/>
                  </pic:spPr>
                </pic:pic>
              </a:graphicData>
            </a:graphic>
          </wp:inline>
        </w:drawing>
      </w:r>
    </w:p>
    <w:p>
      <w:pPr>
        <w:jc w:val="center"/>
      </w:pPr>
      <w:r>
        <w:rPr>
          <w:i/>
          <w:color w:val="475569"/>
          <w:sz w:val="19"/>
        </w:rPr>
        <w:t>Figure 5: Five-Dimensional Polar Radar Profile Contrasting Control Baseline M1 (Gray) vs. Proposed Unified Policy M4 (Cyan).</w:t>
      </w:r>
    </w:p>
    <w:p>
      <w:pPr>
        <w:pStyle w:val="Heading2"/>
      </w:pPr>
      <w:r>
        <w:rPr>
          <w:rFonts w:ascii="Times New Roman" w:hAnsi="Times New Roman"/>
          <w:b/>
          <w:color w:val="1E293B"/>
          <w:sz w:val="23"/>
        </w:rPr>
        <w:t>3.3 Context-Adaptive Rationality and Risk Modulation</w:t>
      </w:r>
    </w:p>
    <w:p>
      <w:r>
        <w:t>Figure 6 illustrates the through-ball passing frequency conditioned on scoreline states. Baseline M1 executes static through-ball rates (21.4% trailing vs. 20.7% leading, Delta = +0.7%, p = 0.428). Conversely, M4 exhibits emergent game-theoretic rationality: escalating penetrative through-balls to 36.8% when trailing by &gt;= 1 goal, and contracting to 17.2% when leading (Delta = +19.52%, p = 8.14e-8), demonstrating strategic match management.</w:t>
      </w:r>
    </w:p>
    <w:p>
      <w:r>
        <w:drawing>
          <wp:inline xmlns:a="http://schemas.openxmlformats.org/drawingml/2006/main" xmlns:pic="http://schemas.openxmlformats.org/drawingml/2006/picture">
            <wp:extent cx="5303520" cy="3409406"/>
            <wp:docPr id="6" name="Picture 6"/>
            <wp:cNvGraphicFramePr>
              <a:graphicFrameLocks noChangeAspect="1"/>
            </wp:cNvGraphicFramePr>
            <a:graphic>
              <a:graphicData uri="http://schemas.openxmlformats.org/drawingml/2006/picture">
                <pic:pic>
                  <pic:nvPicPr>
                    <pic:cNvPr id="0" name="fig7_scoreline_risk_modulation.png"/>
                    <pic:cNvPicPr/>
                  </pic:nvPicPr>
                  <pic:blipFill>
                    <a:blip r:embed="rId14"/>
                    <a:stretch>
                      <a:fillRect/>
                    </a:stretch>
                  </pic:blipFill>
                  <pic:spPr>
                    <a:xfrm>
                      <a:off x="0" y="0"/>
                      <a:ext cx="5303520" cy="3409406"/>
                    </a:xfrm>
                    <a:prstGeom prst="rect"/>
                  </pic:spPr>
                </pic:pic>
              </a:graphicData>
            </a:graphic>
          </wp:inline>
        </w:drawing>
      </w:r>
    </w:p>
    <w:p>
      <w:pPr>
        <w:jc w:val="center"/>
      </w:pPr>
      <w:r>
        <w:rPr>
          <w:i/>
          <w:color w:val="475569"/>
          <w:sz w:val="19"/>
        </w:rPr>
        <w:t>Figure 6: Contextual Risk Modulation: Through-Ball Frequencies Under Trailing vs. Leading Scoreline States.</w:t>
      </w:r>
    </w:p>
    <w:p>
      <w:pPr>
        <w:pStyle w:val="Heading2"/>
      </w:pPr>
      <w:r>
        <w:rPr>
          <w:rFonts w:ascii="Times New Roman" w:hAnsi="Times New Roman"/>
          <w:b/>
          <w:color w:val="1E293B"/>
          <w:sz w:val="23"/>
        </w:rPr>
        <w:t>3.4 Sample Efficiency, Asymptotic Stability, and Spatial Trajectories</w:t>
      </w:r>
    </w:p>
    <w:p>
      <w:r>
        <w:t>Figure 7 demonstrates sample efficiency: M4 surpasses the asymptotic ceiling of baseline M1 (43.5%) in under 850,000 steps (&gt;5x speedup) while narrowing the shaded 95% confidence interval envelope (83.2% +/- 2.9%). Figure 8 illustrates qualitative trajectories: baseline agents cluster chaotically around the ball carrier, while M4 executes synchronized underlapping runs that stretch the defensive line and open shooting lanes.</w:t>
      </w:r>
    </w:p>
    <w:p>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fig8_learning_curves_ci95.png"/>
                    <pic:cNvPicPr/>
                  </pic:nvPicPr>
                  <pic:blipFill>
                    <a:blip r:embed="rId15"/>
                    <a:stretch>
                      <a:fillRect/>
                    </a:stretch>
                  </pic:blipFill>
                  <pic:spPr>
                    <a:xfrm>
                      <a:off x="0" y="0"/>
                      <a:ext cx="5486400" cy="3048000"/>
                    </a:xfrm>
                    <a:prstGeom prst="rect"/>
                  </pic:spPr>
                </pic:pic>
              </a:graphicData>
            </a:graphic>
          </wp:inline>
        </w:drawing>
      </w:r>
    </w:p>
    <w:p>
      <w:pPr>
        <w:jc w:val="center"/>
      </w:pPr>
      <w:r>
        <w:rPr>
          <w:i/>
          <w:color w:val="475569"/>
          <w:sz w:val="19"/>
        </w:rPr>
        <w:t>Figure 7: Multi-Seed Learning Curves Across 5M Steps with Shaded 95% Confidence Interval Envelopes.</w:t>
      </w:r>
    </w:p>
    <w:p>
      <w:r>
        <w:drawing>
          <wp:inline xmlns:a="http://schemas.openxmlformats.org/drawingml/2006/main" xmlns:pic="http://schemas.openxmlformats.org/drawingml/2006/picture">
            <wp:extent cx="5669280" cy="2235911"/>
            <wp:docPr id="8" name="Picture 8"/>
            <wp:cNvGraphicFramePr>
              <a:graphicFrameLocks noChangeAspect="1"/>
            </wp:cNvGraphicFramePr>
            <a:graphic>
              <a:graphicData uri="http://schemas.openxmlformats.org/drawingml/2006/picture">
                <pic:pic>
                  <pic:nvPicPr>
                    <pic:cNvPr id="0" name="fig9_spatial_trajectories.png"/>
                    <pic:cNvPicPr/>
                  </pic:nvPicPr>
                  <pic:blipFill>
                    <a:blip r:embed="rId16"/>
                    <a:stretch>
                      <a:fillRect/>
                    </a:stretch>
                  </pic:blipFill>
                  <pic:spPr>
                    <a:xfrm>
                      <a:off x="0" y="0"/>
                      <a:ext cx="5669280" cy="2235911"/>
                    </a:xfrm>
                    <a:prstGeom prst="rect"/>
                  </pic:spPr>
                </pic:pic>
              </a:graphicData>
            </a:graphic>
          </wp:inline>
        </w:drawing>
      </w:r>
    </w:p>
    <w:p>
      <w:pPr>
        <w:jc w:val="center"/>
      </w:pPr>
      <w:r>
        <w:rPr>
          <w:i/>
          <w:color w:val="475569"/>
          <w:sz w:val="19"/>
        </w:rPr>
        <w:t>Figure 8: Spatial Pitch Trajectories Contrasting Baseline Congestion (Left) vs. Coordinated Attacking Overload (Right).</w:t>
      </w:r>
    </w:p>
    <w:p>
      <w:pPr>
        <w:pStyle w:val="Heading1"/>
      </w:pPr>
      <w:r>
        <w:rPr>
          <w:rFonts w:ascii="Times New Roman" w:hAnsi="Times New Roman"/>
          <w:b/>
          <w:color w:val="0F172A"/>
          <w:sz w:val="26"/>
        </w:rPr>
        <w:t>4. Discussion</w:t>
      </w:r>
    </w:p>
    <w:p>
      <w:r>
        <w:t>The empirical findings provide conclusive answers to central questions in sports artificial intelligence and multi-agent coordination:</w:t>
      </w:r>
    </w:p>
    <w:p>
      <w:pPr>
        <w:ind w:left="360"/>
      </w:pPr>
      <w:r>
        <w:rPr>
          <w:b/>
          <w:color w:val="0F172A"/>
        </w:rPr>
        <w:t xml:space="preserve">• Causal Mechanisms of Feature and Reward Upgrades: </w:t>
      </w:r>
      <w:r>
        <w:rPr>
          <w:color w:val="1E293B"/>
        </w:rPr>
        <w:t>The factorial ablation confirms that semantic state representations and potential-based reward shaping address distinct, complementary failure modes. M2 alone (+17.9% win rate) enhances positional discipline (TPCA = 82.8%) by exposing defensive corridors, but lacks the forward drive to reliably convert territory. M3 alone (+25.2% win rate) accelerates goal conversion through Expected Threat gradients, but occasionally breaks defensive structure (TPCA = 81.2%). The unified framework M4 achieves 83.2% win rate and 89.9% TPCA, confirming that state richness and reward potentials operate constructively.</w:t>
      </w:r>
    </w:p>
    <w:p>
      <w:pPr>
        <w:ind w:left="360"/>
      </w:pPr>
      <w:r>
        <w:rPr>
          <w:b/>
          <w:color w:val="0F172A"/>
        </w:rPr>
        <w:t xml:space="preserve">• Surpassing Established Literature Benchmarks: </w:t>
      </w:r>
      <w:r>
        <w:rPr>
          <w:color w:val="1E293B"/>
        </w:rPr>
        <w:t>The observed Tactical Pattern Consistency (TPCA = 89.9%) matches and surpasses the state-of-the-art threshold (&gt;89.0%) established by TACT-RLNet (Lai et al., 2026). Similarly, the Off-Ball Movement Quality (OBMQ = 0.91) and stylistic coaching agreement (Cohen's κ = 0.78, 95% CI [0.744, 0.816]) demonstrate human-like tactical execution.</w:t>
      </w:r>
    </w:p>
    <w:p>
      <w:pPr>
        <w:ind w:left="360"/>
      </w:pPr>
      <w:r>
        <w:rPr>
          <w:b/>
          <w:color w:val="0F172A"/>
        </w:rPr>
        <w:t xml:space="preserve">• Theoretical Policy Invariance via Telescoping Potentials: </w:t>
      </w:r>
      <w:r>
        <w:rPr>
          <w:color w:val="1E293B"/>
        </w:rPr>
        <w:t>Unlike heuristic reward engineering, which alters the underlying Markov decision process and causes reward hacking (e.g., circular passing loops; Mohan, 2025), our formulation F(s_t, s_{t+1}) = γ · Φ(s_{t+1}) − Φ(s_t) mathematically preserves the optimal policy of the original sparse game while accelerating policy gradient convergence.</w:t>
      </w:r>
    </w:p>
    <w:p>
      <w:pPr>
        <w:ind w:left="360"/>
      </w:pPr>
      <w:r>
        <w:rPr>
          <w:b/>
          <w:color w:val="0F172A"/>
        </w:rPr>
        <w:t xml:space="preserve">• Emergence of Contextual Sports Rationality: </w:t>
      </w:r>
      <w:r>
        <w:rPr>
          <w:color w:val="1E293B"/>
        </w:rPr>
        <w:t>The +19.52% shift in through-ball frequencies under asymmetric match states proves that multi-agent reinforcement learning can reproduce the strategic game management exhibited by professional coaches and athletes, moving sports AI from mechanical reflexes to strategic rationality.</w:t>
      </w:r>
    </w:p>
    <w:p>
      <w:pPr>
        <w:pStyle w:val="Heading1"/>
      </w:pPr>
      <w:r>
        <w:rPr>
          <w:rFonts w:ascii="Times New Roman" w:hAnsi="Times New Roman"/>
          <w:b/>
          <w:color w:val="0F172A"/>
          <w:sz w:val="26"/>
        </w:rPr>
        <w:t>5. Limitations</w:t>
      </w:r>
    </w:p>
    <w:p>
      <w:r>
        <w:t>While the proposed framework establishes substantial improvements in tactical coordination, three principal limitations must be noted: (1) Discrete Action Space Abstraction: The physical simulation operates on GRF's 19-dimensional discrete action space. While effective for strategic planning, real-world football involves continuous control of ball spin, trajectory elevation, and variable strike momentum; (2) Stationary Opponent Modeling: Evaluation was conducted against built-in rule-based AI bots. Although calibrated across medium stochasticity, the opponent policies do not adapt dynamically over repeated encounters, which can be extended via league training and self-play; (3) Static Expected Threat Prior: The 16x12 xT surface is pre-calibrated from historical event data and remains stationary during live play, whereas dynamic pitch control fluctuations could modulate instantaneous cell valuations.</w:t>
      </w:r>
    </w:p>
    <w:p>
      <w:pPr>
        <w:pStyle w:val="Heading1"/>
      </w:pPr>
      <w:r>
        <w:rPr>
          <w:rFonts w:ascii="Times New Roman" w:hAnsi="Times New Roman"/>
          <w:b/>
          <w:color w:val="0F172A"/>
          <w:sz w:val="26"/>
        </w:rPr>
        <w:t>6. Conclusion</w:t>
      </w:r>
    </w:p>
    <w:p>
      <w:r>
        <w:t>This paper presented a principled, mathematically validated methodology for solving Reinforcement Learning for Optimizing Tactical Decision-Making in Sports. By synthesizing vectorized dynamic pass-lane occlusion, calibrated dynamic space scoring, and Potential-Based Reward Shaping grounded in empirical Expected Threat surfaces, the proposed CTDE MAPPO architecture conclusively overcomes tactical blindness, reward hacking, and context insensitivity. Evaluated on Google Research Football across five random seeds and 1,000 matches per condition, the unified system achieved an 83.2 ± 2.9% win rate (up from 43.5 ± 4.1% in control baselines), surpassed international benchmarks in tactical consistency (TPCA = 89.9%), and demonstrated game-theoretic risk adaptation. The findings demonstrate that incorporating domain-grounded mathematical structures into observation and reward spaces is essential for achieving elite-level multi-agent coordination.</w:t>
      </w:r>
    </w:p>
    <w:p>
      <w:pPr>
        <w:pStyle w:val="Heading1"/>
      </w:pPr>
      <w:r>
        <w:rPr>
          <w:rFonts w:ascii="Times New Roman" w:hAnsi="Times New Roman"/>
          <w:b/>
          <w:color w:val="0F172A"/>
          <w:sz w:val="26"/>
        </w:rPr>
        <w:t>7. Recommendations for Future Research and Deployment</w:t>
      </w:r>
    </w:p>
    <w:p>
      <w:pPr>
        <w:ind w:left="360"/>
      </w:pPr>
      <w:r>
        <w:rPr>
          <w:b/>
          <w:color w:val="0F172A"/>
        </w:rPr>
        <w:t xml:space="preserve">• Recommendation 1: Continuous Action Dynamics and Ball Spin Control: </w:t>
      </w:r>
      <w:r>
        <w:rPr>
          <w:color w:val="1E293B"/>
        </w:rPr>
        <w:t>While GRF's 19-dimensional discrete action space provides an effective benchmark, professional coaching applications require continuous control of ball spin, curl, and trajectory elevation. Future work should integrate continuous action actor-critic architectures (e.g., Continuous MAPPO or SAC) with the geometric corridor engine.</w:t>
      </w:r>
    </w:p>
    <w:p>
      <w:pPr>
        <w:ind w:left="360"/>
      </w:pPr>
      <w:r>
        <w:rPr>
          <w:b/>
          <w:color w:val="0F172A"/>
        </w:rPr>
        <w:t xml:space="preserve">• Recommendation 2: Competitive Self-Play and Counter-Pressing Adaptation: </w:t>
      </w:r>
      <w:r>
        <w:rPr>
          <w:color w:val="1E293B"/>
        </w:rPr>
        <w:t>The current evaluation tested against fixed stochastic and rule-based opponents. Integrating competitive self-play (e.g., Fictitious Co-Play or League Training) will prevent tactical counter-exploitation and foster robust counter-pressing strategies against diverse defensive formations (e.g., low-block vs. high-press).</w:t>
      </w:r>
    </w:p>
    <w:p>
      <w:pPr>
        <w:ind w:left="360"/>
      </w:pPr>
      <w:r>
        <w:rPr>
          <w:b/>
          <w:color w:val="0F172A"/>
        </w:rPr>
        <w:t xml:space="preserve">• Recommendation 3: Direct Integration with Real-World Optical Tracking: </w:t>
      </w:r>
      <w:r>
        <w:rPr>
          <w:color w:val="1E293B"/>
        </w:rPr>
        <w:t>We recommend coupling this semantic feature pipeline with automated computer vision tracking pipelines (e.g., ByteTrack / YOLOv8 on broadcast cameras). This would allow professional sports analytics teams to simulate 'what-if' tactical counterfactuals directly from recorded match video.</w:t>
      </w:r>
    </w:p>
    <w:p>
      <w:pPr>
        <w:ind w:left="360"/>
      </w:pPr>
      <w:r>
        <w:rPr>
          <w:b/>
          <w:color w:val="0F172A"/>
        </w:rPr>
        <w:t xml:space="preserve">• Recommendation 4: Cross-Sport Domain Generalization: </w:t>
      </w:r>
      <w:r>
        <w:rPr>
          <w:color w:val="1E293B"/>
        </w:rPr>
        <w:t>The mathematical principles developed here—specifically the Gaussian dynamic pass corridor, Time-To-Reach pitch dominance, and potential-based spatial reward shaping—are pitch-invariant and directly transferable to other continuous-space team sports, including basketball (NBA), ice hockey (NHL), and water polo.</w:t>
      </w:r>
    </w:p>
    <w:p>
      <w:pPr>
        <w:pStyle w:val="Heading1"/>
      </w:pPr>
      <w:r>
        <w:rPr>
          <w:rFonts w:ascii="Times New Roman" w:hAnsi="Times New Roman"/>
          <w:b/>
          <w:color w:val="0F172A"/>
          <w:sz w:val="26"/>
        </w:rPr>
        <w:t>8. Declarations and Statements</w:t>
      </w:r>
    </w:p>
    <w:p>
      <w:r>
        <w:t>Declaration of Generative AI and AI-Assisted Technologies: During the preparation of this work, the author utilized Google Antigravity (powered by Gemini) strictly for drafting assistance, language editing, and script generation (specifically for plotting figures in Matplotlib and compiling Word documentation via python-docx). All conceptual frameworks, Dec-POMDP mathematical models, Potential-Based Reward Shaping proofs, experimental designs, and statistical analyses were formulated, verified, and interpreted by the author.</w:t>
      </w:r>
    </w:p>
    <w:p>
      <w:r>
        <w:t>Declaration of Competing Interests: The author declares that they have no known competing financial interests or personal relationships that could have appeared to influence the work reported in this paper.</w:t>
      </w:r>
    </w:p>
    <w:p>
      <w:r>
        <w:t>Funding Statement: This research received no specific grant from any funding agency in the public, commercial, or not-for-profit sectors.</w:t>
      </w:r>
    </w:p>
    <w:p>
      <w:r>
        <w:t>Data and Code Availability: All source code, trained neural network state dicts, scenario configuration files, and evaluation scripts are publicly available on GitHub at https://github.com/johnwendycn/Semantic-State-Representations-and-Multi-Component-Tactical-Rewards-for-Cooperative-Multi-Agent-RF.</w:t>
      </w:r>
    </w:p>
    <w:p>
      <w:pPr>
        <w:pStyle w:val="Heading1"/>
      </w:pPr>
      <w:r>
        <w:rPr>
          <w:rFonts w:ascii="Times New Roman" w:hAnsi="Times New Roman"/>
          <w:b/>
          <w:color w:val="0F172A"/>
          <w:sz w:val="26"/>
        </w:rPr>
        <w:t>References</w:t>
      </w:r>
    </w:p>
    <w:p>
      <w:pPr>
        <w:spacing w:after="80"/>
        <w:ind w:left="576" w:hanging="576"/>
      </w:pPr>
      <w:r>
        <w:rPr>
          <w:sz w:val="18"/>
        </w:rPr>
        <w:t>Abad Robles, M. T., Collado-Mateo, D., Fernández-Espínola, C., Castillo Viera, E., &amp; Giménez Fuentes-Guerra, F. J. (2020). Effects of teaching games on decision making and skill execution: A systematic review and meta-analysis. International Journal of Environmental Research and Public Health, 17(2), 505. https://doi.org/10.3390/ijerph17020505</w:t>
      </w:r>
    </w:p>
    <w:p>
      <w:pPr>
        <w:spacing w:after="80"/>
        <w:ind w:left="576" w:hanging="576"/>
      </w:pPr>
      <w:r>
        <w:rPr>
          <w:sz w:val="18"/>
        </w:rPr>
        <w:t>Ahmad Naim, M. F. W., Ibrahim, A., Zaid, M., &amp; Allam, A. A. (2026). Deep reinforcement learning for optimizing penalty kick strategies in football: A comparative study of PPO and IPPO. In 2026 IEEE 5th International Conference on Computing and Machine Intelligence (ICMI) (pp. 1–6). IEEE. https://doi.org/10.1109/icmi68585.2026.11539925</w:t>
      </w:r>
    </w:p>
    <w:p>
      <w:pPr>
        <w:spacing w:after="80"/>
        <w:ind w:left="576" w:hanging="576"/>
      </w:pPr>
      <w:r>
        <w:rPr>
          <w:sz w:val="18"/>
        </w:rPr>
        <w:t>Ashford, M., Abraham, A., &amp; Poolton, J. (2021). Understanding a player's decision-making process in team sports: A systematic review of empirical evidence. Sports, 9(5), 65. https://doi.org/10.3390/sports9050065</w:t>
      </w:r>
    </w:p>
    <w:p>
      <w:pPr>
        <w:spacing w:after="80"/>
        <w:ind w:left="576" w:hanging="576"/>
      </w:pPr>
      <w:r>
        <w:rPr>
          <w:sz w:val="18"/>
        </w:rPr>
        <w:t>Ati, A., Bouchet, P., &amp; Ben Jeddou, R. (2023). Using multi-criteria decision-making and machine learning for football player selection and performance prediction: A systematic review. Data Science and Management, 7(2), 1–12. https://doi.org/10.1016/j.dsm.2023.11.001</w:t>
      </w:r>
    </w:p>
    <w:p>
      <w:pPr>
        <w:spacing w:after="80"/>
        <w:ind w:left="576" w:hanging="576"/>
      </w:pPr>
      <w:r>
        <w:rPr>
          <w:sz w:val="18"/>
        </w:rPr>
        <w:t>Azad, A. S., Kim, E., Wu, M., Lee, K., Stoica, I., Abbeel, P., Sangiovanni-Vincentelli, A., &amp; Seshia, S. (2021). Programmatic modeling and generation of real-time strategic soccer environments for reinforcement learning. Proceedings of the AAAI Conference on Artificial Intelligence, 36(6), 6028–6036. https://doi.org/10.1609/aaai.v36i6.20549</w:t>
      </w:r>
    </w:p>
    <w:p>
      <w:pPr>
        <w:spacing w:after="80"/>
        <w:ind w:left="576" w:hanging="576"/>
      </w:pPr>
      <w:r>
        <w:rPr>
          <w:sz w:val="18"/>
        </w:rPr>
        <w:t>Bao, M. (2026). Analysis of decision support system of basketball sports competition based on machine learning and IoT. Scientific Reports, 16, Article 58913. https://doi.org/10.1038/s41598-026-58913-0</w:t>
      </w:r>
    </w:p>
    <w:p>
      <w:pPr>
        <w:spacing w:after="80"/>
        <w:ind w:left="576" w:hanging="576"/>
      </w:pPr>
      <w:r>
        <w:rPr>
          <w:sz w:val="18"/>
        </w:rPr>
        <w:t>Beal, R., Chalkiadakis, G., Norman, T., &amp; Ramchurn, S. (2021). Optimising long-term outcomes using real-world fluent objectives: An application to football. arXiv. https://doi.org/10.5555/3463952.3463981</w:t>
      </w:r>
    </w:p>
    <w:p>
      <w:pPr>
        <w:spacing w:after="80"/>
        <w:ind w:left="576" w:hanging="576"/>
      </w:pPr>
      <w:r>
        <w:rPr>
          <w:sz w:val="18"/>
        </w:rPr>
        <w:t>Bekkemoen, Y. (2023). Explainable reinforcement learning (XRL): A systematic literature review and taxonomy. Machine Learning, 113, 1–73. https://doi.org/10.1007/s10994-023-06479-7</w:t>
      </w:r>
    </w:p>
    <w:p>
      <w:pPr>
        <w:spacing w:after="80"/>
        <w:ind w:left="576" w:hanging="576"/>
      </w:pPr>
      <w:r>
        <w:rPr>
          <w:sz w:val="18"/>
        </w:rPr>
        <w:t>Biro, P., &amp; Walker, S. (2021). A reinforcement learning based approach to play calling in football. Journal of Quantitative Analysis in Sports, 17(3), 1–14. https://doi.org/10.1515/jqas-2021-0029</w:t>
      </w:r>
    </w:p>
    <w:p>
      <w:pPr>
        <w:spacing w:after="80"/>
        <w:ind w:left="576" w:hanging="576"/>
      </w:pPr>
      <w:r>
        <w:rPr>
          <w:sz w:val="18"/>
        </w:rPr>
        <w:t>Brandão, B., de Lima, T., Soares, A., Melo, L., &amp; Maximo, M. (2022). Multiagent reinforcement learning for strategic decision making and control in robotic soccer through self-play. IEEE Access, 10, 69462–69474. https://doi.org/10.1109/access.2022.3189021</w:t>
      </w:r>
    </w:p>
    <w:p>
      <w:pPr>
        <w:spacing w:after="80"/>
        <w:ind w:left="576" w:hanging="576"/>
      </w:pPr>
      <w:r>
        <w:rPr>
          <w:sz w:val="18"/>
        </w:rPr>
        <w:t>Cai, N., Zhao, M., Ke, Y., &amp; Liu, X. (2025). Quantum-enhanced hybrid deep reinforcement learning for real-time volleyball tactical decision making. Scientific Reports, 15, Article 32780. https://doi.org/10.1038/s41598-025-32780-7</w:t>
      </w:r>
    </w:p>
    <w:p>
      <w:pPr>
        <w:spacing w:after="80"/>
        <w:ind w:left="576" w:hanging="576"/>
      </w:pPr>
      <w:r>
        <w:rPr>
          <w:sz w:val="18"/>
        </w:rPr>
        <w:t>Casal, C. A., Losada, J. L., de Benito Trigueros, A. M., Maneiro, R., &amp; Iván-Baragaño, I. (2025). Key performance indicators of offensive transitions in elite women's football: A machine learning and explainability approach. Biology of Sport, 43(1), 1–12. https://doi.org/10.5114/biolsport.2026.153309</w:t>
      </w:r>
    </w:p>
    <w:p>
      <w:pPr>
        <w:spacing w:after="80"/>
        <w:ind w:left="576" w:hanging="576"/>
      </w:pPr>
      <w:r>
        <w:rPr>
          <w:sz w:val="18"/>
        </w:rPr>
        <w:t>Chao, Z., Long, Y. Y., Yi, L., &amp; Min, L. (2024). Deep Q learning-enabled training and health monitoring of basketball players using IoT integrated multidisciplinary techniques. Mobile Networks and Applications, 29, 1–15. https://doi.org/10.1007/s11036-024-02376-y</w:t>
      </w:r>
    </w:p>
    <w:p>
      <w:pPr>
        <w:spacing w:after="80"/>
        <w:ind w:left="576" w:hanging="576"/>
      </w:pPr>
      <w:r>
        <w:rPr>
          <w:sz w:val="18"/>
        </w:rPr>
        <w:t>Chen, H. (2024). Reinforcement learning algorithm to optimize players' tactical decisions and round planning in tennis matches. Journal of Electrical Systems, 20(3), 3125. https://doi.org/10.52783/jes.3125</w:t>
      </w:r>
    </w:p>
    <w:p>
      <w:pPr>
        <w:spacing w:after="80"/>
        <w:ind w:left="576" w:hanging="576"/>
      </w:pPr>
      <w:r>
        <w:rPr>
          <w:sz w:val="18"/>
        </w:rPr>
        <w:t>Chen, H. (2025). Optimization of tennis match decision planning based on reinforcement learning model. Journal of Computational Methods in Sciences and Engineering, 25(4), 48624. https://doi.org/10.1177/14727978251348624</w:t>
      </w:r>
    </w:p>
    <w:p>
      <w:pPr>
        <w:spacing w:after="80"/>
        <w:ind w:left="576" w:hanging="576"/>
      </w:pPr>
      <w:r>
        <w:rPr>
          <w:sz w:val="18"/>
        </w:rPr>
        <w:t>Chen, J., Chen, W., &amp; Schneider, J. (2024). Bayes adaptive Monte Carlo tree search for offline model-based reinforcement learning. arXiv. https://doi.org/10.48550/arxiv.2410.11234</w:t>
      </w:r>
    </w:p>
    <w:p>
      <w:pPr>
        <w:spacing w:after="80"/>
        <w:ind w:left="576" w:hanging="576"/>
      </w:pPr>
      <w:r>
        <w:rPr>
          <w:sz w:val="18"/>
        </w:rPr>
        <w:t>Chen, X., Jiang, J.-Y., Jin, K., Zhou, Y., Liu, M., Brantingham, P., &amp; Wang, W. (2022). ReLiable: Offline reinforcement learning for tactical strategies in professional basketball games. In Proceedings of the 31st ACM International Conference on Information &amp; Knowledge Management (pp. 3022–3031). Association for Computing Machinery. https://doi.org/10.1145/3511808.3557105</w:t>
      </w:r>
    </w:p>
    <w:p>
      <w:pPr>
        <w:spacing w:after="80"/>
        <w:ind w:left="576" w:hanging="576"/>
      </w:pPr>
      <w:r>
        <w:rPr>
          <w:sz w:val="18"/>
        </w:rPr>
        <w:t>Chen, X., Wang, W.-Y., Hu, Z., Reynoso, D., Jin, K., Liu, M., Brantingham, P., &amp; Wang, W. (2023). PlayBest: Professional basketball player behavior synthesis via planning with diffusion. In Proceedings of the 33rd ACM International Conference on Information and Knowledge Management (pp. 1–10). Association for Computing Machinery. https://doi.org/10.1145/3627673.3680092</w:t>
      </w:r>
    </w:p>
    <w:p>
      <w:pPr>
        <w:spacing w:after="80"/>
        <w:ind w:left="576" w:hanging="576"/>
      </w:pPr>
      <w:r>
        <w:rPr>
          <w:sz w:val="18"/>
        </w:rPr>
        <w:t>Chen, Y., Zhang, Z., Cao, Z., Chen, Y.-H., Fu, S.-C., Yan, L.-Y., Zhang, Y., Liu, J., Li, H., &amp; Gao, Y. (2026). HierKick: Hierarchical reinforcement learning for vision-guided soccer robot control. arXiv. https://doi.org/10.48550/arxiv.2603.00948</w:t>
      </w:r>
    </w:p>
    <w:p>
      <w:pPr>
        <w:spacing w:after="80"/>
        <w:ind w:left="576" w:hanging="576"/>
      </w:pPr>
      <w:r>
        <w:rPr>
          <w:sz w:val="18"/>
        </w:rPr>
        <w:t>Cohn, J. (2025). Reinforcement learning, modeling markets, and professional basketball free agency [Doctoral dissertation, Chapman University]. Chapman University Digital Commons. https://doi.org/10.36837/chapman.000687</w:t>
      </w:r>
    </w:p>
    <w:p>
      <w:pPr>
        <w:spacing w:after="80"/>
        <w:ind w:left="576" w:hanging="576"/>
      </w:pPr>
      <w:r>
        <w:rPr>
          <w:sz w:val="18"/>
        </w:rPr>
        <w:t>Datta, A., Bhowmick, S., &amp; Kulkarni, K. (2021). Learning to play football using distributional reinforcement learning and depthwise separable convolution feature extraction. In 2021 International Conference on Advances in Computing and Communications (ICACC) (pp. 1–6). IEEE. https://doi.org/10.1109/icacc-202152719.2021.9708400</w:t>
      </w:r>
    </w:p>
    <w:p>
      <w:pPr>
        <w:spacing w:after="80"/>
        <w:ind w:left="576" w:hanging="576"/>
      </w:pPr>
      <w:r>
        <w:rPr>
          <w:sz w:val="18"/>
        </w:rPr>
        <w:t>Davis, J., Bransen, L., Devos, L., Jaspers, A., Meert, W., Robberechts, P., Van Haaren, J., &amp; Van Roy, M. (2024). Methodology and evaluation in sports analytics: Challenges, approaches, and lessons learned. Machine Learning, 113, 1–28. https://doi.org/10.1007/s10994-024-06585-0</w:t>
      </w:r>
    </w:p>
    <w:p>
      <w:pPr>
        <w:spacing w:after="80"/>
        <w:ind w:left="576" w:hanging="576"/>
      </w:pPr>
      <w:r>
        <w:rPr>
          <w:sz w:val="18"/>
        </w:rPr>
        <w:t>Ding, N., Takeda, K., &amp; Fujii, K. (2022). Deep reinforcement learning in a racket sport for player evaluation with technical and tactical contexts. IEEE Access, 10, 54764–54775. https://doi.org/10.1109/access.2022.3175314</w:t>
      </w:r>
    </w:p>
    <w:p>
      <w:pPr>
        <w:spacing w:after="80"/>
        <w:ind w:left="576" w:hanging="576"/>
      </w:pPr>
      <w:r>
        <w:rPr>
          <w:sz w:val="18"/>
        </w:rPr>
        <w:t>El-Saleh, M. (2020). The impact of programmed e-learning of the tactical aspects on the level of tactical thinking and decision-making for basketball course students. Journal of Human Sport and Exercise, 15(Proc3), S1043–S1053. https://doi.org/10.14198/jhse.2020.15.proc3.44</w:t>
      </w:r>
    </w:p>
    <w:p>
      <w:pPr>
        <w:spacing w:after="80"/>
        <w:ind w:left="576" w:hanging="576"/>
      </w:pPr>
      <w:r>
        <w:rPr>
          <w:sz w:val="18"/>
        </w:rPr>
        <w:t>Fang, L., Wei, Q., &amp; Xu, C.-J. (2021). Technical and tactical command decision algorithm of football matches based on big data and neural network. Scientific Programming, 2021, Article 5544071. https://doi.org/10.1155/2021/5544071</w:t>
      </w:r>
    </w:p>
    <w:p>
      <w:pPr>
        <w:spacing w:after="80"/>
        <w:ind w:left="576" w:hanging="576"/>
      </w:pPr>
      <w:r>
        <w:rPr>
          <w:sz w:val="18"/>
        </w:rPr>
        <w:t>Fujii, K., Takeuchi, K., Kuribayashi, A., Takeishi, N., Kawahara, Y., &amp; Takeda, K. (2022). Estimating counterfactual treatment outcomes over time in complex multiagent scenarios. IEEE Transactions on Neural Networks and Learning Systems. Advance online publication. https://doi.org/10.1109/tnnls.2024.3361166</w:t>
      </w:r>
    </w:p>
    <w:p>
      <w:pPr>
        <w:spacing w:after="80"/>
        <w:ind w:left="576" w:hanging="576"/>
      </w:pPr>
      <w:r>
        <w:rPr>
          <w:sz w:val="18"/>
        </w:rPr>
        <w:t>García-Ceberino, J. M., Gamero, M. G., Feu, S., &amp; Ibáñez, S. (2020). Differences in technical and tactical learning of football according to the teaching methodology: A study in an educational context. Sustainability, 12(16), 6554. https://doi.org/10.3390/su12166554</w:t>
      </w:r>
    </w:p>
    <w:p>
      <w:pPr>
        <w:spacing w:after="80"/>
        <w:ind w:left="576" w:hanging="576"/>
      </w:pPr>
      <w:r>
        <w:rPr>
          <w:sz w:val="18"/>
        </w:rPr>
        <w:t>Gaviria Alzate, S. J. O., Valencia-Sánchez, W., &amp; Arias Arias, E. A. (2024). The critical thinking approach to tactical development in team sports: A review of the work of Jean Francis Gréhaigne. Physical Education and Sport Pedagogy, 29(6), 1–18. https://doi.org/10.1080/17408989.2024.2432312</w:t>
      </w:r>
    </w:p>
    <w:p>
      <w:pPr>
        <w:spacing w:after="80"/>
        <w:ind w:left="576" w:hanging="576"/>
      </w:pPr>
      <w:r>
        <w:rPr>
          <w:sz w:val="18"/>
        </w:rPr>
        <w:t>Ghosh, I., Ramamurthy, S. R., Chakma, A., &amp; Roy, N. (2023). Sports analytics review: Artificial intelligence applications, emerging technologies, and algorithmic perspective. Wiley Interdisciplinary Reviews: Data Mining and Knowledge Discovery, 13(5), Article e1496. https://doi.org/10.1002/widm.1496</w:t>
      </w:r>
    </w:p>
    <w:p>
      <w:pPr>
        <w:spacing w:after="80"/>
        <w:ind w:left="576" w:hanging="576"/>
      </w:pPr>
      <w:r>
        <w:rPr>
          <w:sz w:val="18"/>
        </w:rPr>
        <w:t>Godbout, P., &amp; Gréhaigne, J. (2020). Regulation of tactical learning in team sports – The case of the tactical-decision learning model. Physical Education and Sport Pedagogy, 25(6), 1–15. https://doi.org/10.1080/17408989.2020.1861232</w:t>
      </w:r>
    </w:p>
    <w:p>
      <w:pPr>
        <w:spacing w:after="80"/>
        <w:ind w:left="576" w:hanging="576"/>
      </w:pPr>
      <w:r>
        <w:rPr>
          <w:sz w:val="18"/>
        </w:rPr>
        <w:t>Goes, F., Kempe, M., Van Norel, J., &amp; Lemmink, K. (2021). Modelling team performance in soccer using tactical features derived from position tracking data. IMA Journal of Management Mathematics, 32(4), 519–533. https://doi.org/10.1093/imaman/dpab006</w:t>
      </w:r>
    </w:p>
    <w:p>
      <w:pPr>
        <w:spacing w:after="80"/>
        <w:ind w:left="576" w:hanging="576"/>
      </w:pPr>
      <w:r>
        <w:rPr>
          <w:sz w:val="18"/>
        </w:rPr>
        <w:t>González-Valero, G., Ubago-Jiménez, J. L., Melguizo-Ibáñez, E., &amp; Fernández-García, R. (2024). Application of the teaching games for understanding model to improve decision-making in sport learning: A systematic review and meta-analysis. BMC Psychology, 12, Article 2307. https://doi.org/10.1186/s40359-024-02307-2</w:t>
      </w:r>
    </w:p>
    <w:p>
      <w:pPr>
        <w:spacing w:after="80"/>
        <w:ind w:left="576" w:hanging="576"/>
      </w:pPr>
      <w:r>
        <w:rPr>
          <w:sz w:val="18"/>
        </w:rPr>
        <w:t>Groom, S., Groom, M., Belo, F., Rice, A., Anderson, L., Darvariu, V.-A., &amp; Wang, S. (2026). Maximising the set-piece return: Optimising football corner tactics with graph reinforcement learning. arXiv. https://doi.org/10.48550/arxiv.2606.06353</w:t>
      </w:r>
    </w:p>
    <w:p>
      <w:pPr>
        <w:spacing w:after="80"/>
        <w:ind w:left="576" w:hanging="576"/>
      </w:pPr>
      <w:r>
        <w:rPr>
          <w:sz w:val="18"/>
        </w:rPr>
        <w:t>Groom, S., Wang, S., Belo, F., Rice, A., &amp; Anderson, L. (2026). A machine learning framework for off-ball defensive role and performance evaluation in football. arXiv. https://doi.org/10.48550/arxiv.2601.00748</w:t>
      </w:r>
    </w:p>
    <w:p>
      <w:pPr>
        <w:spacing w:after="80"/>
        <w:ind w:left="576" w:hanging="576"/>
      </w:pPr>
      <w:r>
        <w:rPr>
          <w:sz w:val="18"/>
        </w:rPr>
        <w:t>Gui, Y. (2026). A novel reinforcement learning approach for athlete training optimization using DQ-NAS. Discover Artificial Intelligence, 6, Article 1439. https://doi.org/10.1007/s44163-026-01439-1</w:t>
      </w:r>
    </w:p>
    <w:p>
      <w:pPr>
        <w:spacing w:after="80"/>
        <w:ind w:left="576" w:hanging="576"/>
      </w:pPr>
      <w:r>
        <w:rPr>
          <w:sz w:val="18"/>
        </w:rPr>
        <w:t>Guo, C., &amp; Xu, C. (2026). Research on multi-agent reinforcement learning optimization of personalized decision-making system for sports training. Discover Computing, 29, Article 10231. https://doi.org/10.1007/s10791-026-10231-9</w:t>
      </w:r>
    </w:p>
    <w:p>
      <w:pPr>
        <w:spacing w:after="80"/>
        <w:ind w:left="576" w:hanging="576"/>
      </w:pPr>
      <w:r>
        <w:rPr>
          <w:sz w:val="18"/>
        </w:rPr>
        <w:t>Haarnoja, T., Moran, B., Lever, G., Huang, S. H., Tirumala, D., Wulfmeier, M., Humplik, J., Tunyasuvunakool, S., Siegel, N., Hafner, R., Bloesch, M., Hartikainen, K., Byravan, A., Hasenclever, L., Tassa, Y., Sadeghi, F., Batchelor, N., Casarini, F., Saliceti, S., … Heess, N. (2023). Learning agile soccer skills for a bipedal robot with deep reinforcement learning. Science Robotics, 8(77), Article adi8022. https://doi.org/10.1126/scirobotics.adi8022</w:t>
      </w:r>
    </w:p>
    <w:p>
      <w:pPr>
        <w:spacing w:after="80"/>
        <w:ind w:left="576" w:hanging="576"/>
      </w:pPr>
      <w:r>
        <w:rPr>
          <w:sz w:val="18"/>
        </w:rPr>
        <w:t>Hoel, C., Driggs-Campbell, K., Wolff, K., Laine, L., &amp; Kochenderfer, M. J. (2019). Combining planning and deep reinforcement learning in tactical decision making for autonomous driving. IEEE Transactions on Intelligent Vehicles, 5(2), 294–305. https://doi.org/10.1109/tiv.2019.2955905</w:t>
      </w:r>
    </w:p>
    <w:p>
      <w:pPr>
        <w:spacing w:after="80"/>
        <w:ind w:left="576" w:hanging="576"/>
      </w:pPr>
      <w:r>
        <w:rPr>
          <w:sz w:val="18"/>
        </w:rPr>
        <w:t>Hoseinzadeh, Z., Eskandarnejad, M., &amp; Ghaderzadeh, M. (2026). Analysis of research structure and scientific trends in artificial intelligence, machine learning, and deep learning in football: A bibliometric approach. International Journal of Intelligent Computing and Cybernetics. Advance online publication. https://doi.org/10.1108/ijicc-07-2025-0411</w:t>
      </w:r>
    </w:p>
    <w:p>
      <w:pPr>
        <w:spacing w:after="80"/>
        <w:ind w:left="576" w:hanging="576"/>
      </w:pPr>
      <w:r>
        <w:rPr>
          <w:sz w:val="18"/>
        </w:rPr>
        <w:t>Howatt, B. C., &amp; Young, M. (2026). People can adaptively exploit model-free and model-based reinforcement learning in competitive games. Quarterly Journal of Experimental Psychology. Advance online publication. https://doi.org/10.1177/17470218261437211</w:t>
      </w:r>
    </w:p>
    <w:p>
      <w:pPr>
        <w:spacing w:after="80"/>
        <w:ind w:left="576" w:hanging="576"/>
      </w:pPr>
      <w:r>
        <w:rPr>
          <w:sz w:val="18"/>
        </w:rPr>
        <w:t>Huang, W., Wang, S., &amp; Li, P.-S. (2026). The application of deep learning in tactical analysis of football matches. Scientific Reports, 16, Article 48082. https://doi.org/10.1038/s41598-026-48082-5</w:t>
      </w:r>
    </w:p>
    <w:p>
      <w:pPr>
        <w:spacing w:after="80"/>
        <w:ind w:left="576" w:hanging="576"/>
      </w:pPr>
      <w:r>
        <w:rPr>
          <w:sz w:val="18"/>
        </w:rPr>
        <w:t>Hutsebaut-Buysse, M., Mets, K., &amp; Latré, S. (2022). Hierarchical reinforcement learning: A survey and open research challenges. Machine Learning and Knowledge Extraction, 4(1), 9. https://doi.org/10.3390/make4010009</w:t>
      </w:r>
    </w:p>
    <w:p>
      <w:pPr>
        <w:spacing w:after="80"/>
        <w:ind w:left="576" w:hanging="576"/>
      </w:pPr>
      <w:r>
        <w:rPr>
          <w:sz w:val="18"/>
        </w:rPr>
        <w:t>Ibrahim, M., &amp; Fayad, A. (2022). Hierarchical strategies for cooperative multi-agent reinforcement learning. arXiv. https://doi.org/10.48550/arxiv.2212.07397</w:t>
      </w:r>
    </w:p>
    <w:p>
      <w:pPr>
        <w:spacing w:after="80"/>
        <w:ind w:left="576" w:hanging="576"/>
      </w:pPr>
      <w:r>
        <w:rPr>
          <w:sz w:val="18"/>
        </w:rPr>
        <w:t>Ide, K., Someya, T., Kawaguchi, K., &amp; Fujii, K. (2025a). Expandable decision-making states for multi-agent deep reinforcement learning in soccer tactical analysis. arXiv. https://doi.org/10.48550/arxiv.2510.00480</w:t>
      </w:r>
    </w:p>
    <w:p>
      <w:pPr>
        <w:spacing w:after="80"/>
        <w:ind w:left="576" w:hanging="576"/>
      </w:pPr>
      <w:r>
        <w:rPr>
          <w:sz w:val="18"/>
        </w:rPr>
        <w:t>Ide, K., Someya, T., Kawaguchi, K., &amp; Fujii, K. (2025b). Interpretable low-dimensional modeling of spatiotemporal agent states for decision making in football tactics. arXiv. https://doi.org/10.48550/arxiv.2506.16696</w:t>
      </w:r>
    </w:p>
    <w:p>
      <w:pPr>
        <w:spacing w:after="80"/>
        <w:ind w:left="576" w:hanging="576"/>
      </w:pPr>
      <w:r>
        <w:rPr>
          <w:sz w:val="18"/>
        </w:rPr>
        <w:t>Jeon, J., Cho, M., &amp; Sung, Y. (2026). STAIRS-Former: Spatio-temporal attention with interleaved recursive structure transformer for offline multi-task multi-agent reinforcement learning. arXiv. https://doi.org/10.48550/arxiv.2603.11691</w:t>
      </w:r>
    </w:p>
    <w:p>
      <w:pPr>
        <w:spacing w:after="80"/>
        <w:ind w:left="576" w:hanging="576"/>
      </w:pPr>
      <w:r>
        <w:rPr>
          <w:sz w:val="18"/>
        </w:rPr>
        <w:t>Kandasamy, C., Harishjayaraj, S., Geetha, R., Kanimozhi, J., Loganathan, E., &amp; Prakash, N. (2025). Optimizing sports strategies: Achieving convergence using SARSA and Q-learning for dynamic decision-making. In 2025 5th International Conference on Pervasive Computing and Social Networking (ICPCSN) (pp. 1–6). IEEE. https://doi.org/10.1109/icpcsn65854.2025.11035647</w:t>
      </w:r>
    </w:p>
    <w:p>
      <w:pPr>
        <w:spacing w:after="80"/>
        <w:ind w:left="576" w:hanging="576"/>
      </w:pPr>
      <w:r>
        <w:rPr>
          <w:sz w:val="18"/>
        </w:rPr>
        <w:t>Karunasinghe, D. S. K. (2022). Markov chain based expected threat (xT) framework for valuing dynamic player actions in association football. Expert Systems with Applications, 192, Article 117215. https://doi.org/10.1016/j.eswa.2022.117215</w:t>
      </w:r>
    </w:p>
    <w:p>
      <w:pPr>
        <w:spacing w:after="80"/>
        <w:ind w:left="576" w:hanging="576"/>
      </w:pPr>
      <w:r>
        <w:rPr>
          <w:sz w:val="18"/>
        </w:rPr>
        <w:t>Kong, K., Liu, Z., Gao, Z., Dong, H.-F., &amp; Isleem, H. F. (2026). Hierarchical deep reinforcement learning for real-time tactical decision-making in team sports. Data Technologies and Applications. Advance online publication. https://doi.org/10.1108/dta-06-2025-0512</w:t>
      </w:r>
    </w:p>
    <w:p>
      <w:pPr>
        <w:spacing w:after="80"/>
        <w:ind w:left="576" w:hanging="576"/>
      </w:pPr>
      <w:r>
        <w:rPr>
          <w:sz w:val="18"/>
        </w:rPr>
        <w:t>Kranzinger, S., Halmich, C., Hofer, D. P., &amp; Kranzinger, C. (2025). A scoping review of explainable artificial intelligence in sports science. Discover Artificial Intelligence, 5, Article 709. https://doi.org/10.1007/s44163-025-00709-8</w:t>
      </w:r>
    </w:p>
    <w:p>
      <w:pPr>
        <w:spacing w:after="80"/>
        <w:ind w:left="576" w:hanging="576"/>
      </w:pPr>
      <w:r>
        <w:rPr>
          <w:sz w:val="18"/>
        </w:rPr>
        <w:t>Kurach, K., Raichuk, A., Stańczyk, P., Zajac, M., Bachem, O., Espeholt, L., Riquelme, C., Vincent, D., Michalski, M., Bousquet, O., &amp; Gelly, S. (2019). Google Research Football: A novel reinforcement learning environment. Proceedings of the AAAI Conference on Artificial Intelligence, 34(4), 4501–4510. https://doi.org/10.1609/aaai.v34i04.5878</w:t>
      </w:r>
    </w:p>
    <w:p>
      <w:pPr>
        <w:spacing w:after="80"/>
        <w:ind w:left="576" w:hanging="576"/>
      </w:pPr>
      <w:r>
        <w:rPr>
          <w:sz w:val="18"/>
        </w:rPr>
        <w:t>Labiosa, A., Wang, Z., Agarwal, S., Cong, W., Hemkumar, G., Harish, A., Hong, B., Kelle, J., Li, C., Li, Y., Shao, Z., Stone, P., &amp; Hanna, J. P. (2024). Reinforcement learning within the classical robotics stack: A case study in robot soccer. In 2025 IEEE International Conference on Robotics and Automation (ICRA) (pp. 1–8). IEEE. https://doi.org/10.1109/icra55743.2025.11128707</w:t>
      </w:r>
    </w:p>
    <w:p>
      <w:pPr>
        <w:spacing w:after="80"/>
        <w:ind w:left="576" w:hanging="576"/>
      </w:pPr>
      <w:r>
        <w:rPr>
          <w:sz w:val="18"/>
        </w:rPr>
        <w:t>Lai, Z., Isleem, H. F., Vairagade, V., Aluvalu, R., Tejani, G. G., &amp; Sharaf, M. (2026). Reinforcement learning strategies in game tactics and real time decision making for team sport. Journal of Big Data, 13, Article 1485. https://doi.org/10.1186/s40537-026-01485-7</w:t>
      </w:r>
    </w:p>
    <w:p>
      <w:pPr>
        <w:spacing w:after="80"/>
        <w:ind w:left="576" w:hanging="576"/>
      </w:pPr>
      <w:r>
        <w:rPr>
          <w:sz w:val="18"/>
        </w:rPr>
        <w:t>Lee, D., Lee, D., &amp; Zhang, A. (2026). A recipe for stable offline multi-agent reinforcement learning. arXiv. https://doi.org/10.48550/arxiv.2603.08399</w:t>
      </w:r>
    </w:p>
    <w:p>
      <w:pPr>
        <w:spacing w:after="80"/>
        <w:ind w:left="576" w:hanging="576"/>
      </w:pPr>
      <w:r>
        <w:rPr>
          <w:sz w:val="18"/>
        </w:rPr>
        <w:t>Lee, H., Kim, J., Park, J., &amp; Cho, K. (2025). Hierarchical multi-agent reinforcement learning method using energy field in sports games. IEEE Access, 13, 1–15. https://doi.org/10.1109/access.2025.3613359</w:t>
      </w:r>
    </w:p>
    <w:p>
      <w:pPr>
        <w:spacing w:after="80"/>
        <w:ind w:left="576" w:hanging="576"/>
      </w:pPr>
      <w:r>
        <w:rPr>
          <w:sz w:val="18"/>
        </w:rPr>
        <w:t>Lefhal, D., Ouacha, A., El Harraj, A., &amp; Ziti, S. (2026). Bibliometric analysis of artificial intelligence in team sports: Research trends, collaborations, and creative insights. Journal of Computational and Cognitive Engineering. Advance online publication. https://doi.org/10.47852/bonviewjcce62028489</w:t>
      </w:r>
    </w:p>
    <w:p>
      <w:pPr>
        <w:spacing w:after="80"/>
        <w:ind w:left="576" w:hanging="576"/>
      </w:pPr>
      <w:r>
        <w:rPr>
          <w:sz w:val="18"/>
        </w:rPr>
        <w:t>Li, A., Gong, X., Chen, B., Lu, Y., Ji, J., Wang, Y., Yang, Y., &amp; Li, W. (2026). ShuttleEnv: An interactive data-driven RL environment for badminton strategy modeling. arXiv. https://doi.org/10.48550/arxiv.2603.17324</w:t>
      </w:r>
    </w:p>
    <w:p>
      <w:pPr>
        <w:spacing w:after="80"/>
        <w:ind w:left="576" w:hanging="576"/>
      </w:pPr>
      <w:r>
        <w:rPr>
          <w:sz w:val="18"/>
        </w:rPr>
        <w:t>Li, C., Dong, W., He, L., Cai, M., &amp; Wang, D. (2025). Intelligent decision for joint operations based on improved proximal policy optimization. Scientific Reports, 15, Article 86229. https://doi.org/10.1038/s41598-025-86229-y</w:t>
      </w:r>
    </w:p>
    <w:p>
      <w:pPr>
        <w:spacing w:after="80"/>
        <w:ind w:left="576" w:hanging="576"/>
      </w:pPr>
      <w:r>
        <w:rPr>
          <w:sz w:val="18"/>
        </w:rPr>
        <w:t>Li, J. (2025). Machine learning-based analysis of defensive strategies in basketball using player movement data. Scientific Reports, 15, Article 98877. https://doi.org/10.1038/s41598-025-98877-1</w:t>
      </w:r>
    </w:p>
    <w:p>
      <w:pPr>
        <w:spacing w:after="80"/>
        <w:ind w:left="576" w:hanging="576"/>
      </w:pPr>
      <w:r>
        <w:rPr>
          <w:sz w:val="18"/>
        </w:rPr>
        <w:t>Li, J., Khishe, M., &amp; Ibrahim, B. F. (2025). Improving women football tactics analysis by using extreme learning and accumulated optimization algorithm. Scientific Reports, 15, Article 30218. https://doi.org/10.1038/s41598-025-30218-8</w:t>
      </w:r>
    </w:p>
    <w:p>
      <w:pPr>
        <w:spacing w:after="80"/>
        <w:ind w:left="576" w:hanging="576"/>
      </w:pPr>
      <w:r>
        <w:rPr>
          <w:sz w:val="18"/>
        </w:rPr>
        <w:t>Li, K. (2025). Optimizing competitive sports training strategies with adaptive deep reinforcement learning. In 2025 2nd International Conference on Intelligent Computing and Robotics (ICICR) (pp. 1–6). IEEE. https://doi.org/10.1109/icicr65456.2025.00060</w:t>
      </w:r>
    </w:p>
    <w:p>
      <w:pPr>
        <w:spacing w:after="80"/>
        <w:ind w:left="576" w:hanging="576"/>
      </w:pPr>
      <w:r>
        <w:rPr>
          <w:sz w:val="18"/>
        </w:rPr>
        <w:t>Li, Q. (2025). Deep learning algorithm for basketball offensive tactics optimization. In 2025 IEEE International Conference on Computation, Big-Data and Engineering (ICCBE) (pp. 1–6). IEEE. https://doi.org/10.1109/iccbe65177.2025.11255810</w:t>
      </w:r>
    </w:p>
    <w:p>
      <w:pPr>
        <w:spacing w:after="80"/>
        <w:ind w:left="576" w:hanging="576"/>
      </w:pPr>
      <w:r>
        <w:rPr>
          <w:sz w:val="18"/>
        </w:rPr>
        <w:t>Li, W., Hu, B., Song, A., &amp; Huang, K. (2025). HDMTK: Full integration of hierarchical decision-making and tactical knowledge in multiagent adversarial games. IEEE Transactions on Cognitive and Developmental Systems. Advance online publication. https://doi.org/10.1109/tcds.2024.3470068</w:t>
      </w:r>
    </w:p>
    <w:p>
      <w:pPr>
        <w:spacing w:after="80"/>
        <w:ind w:left="576" w:hanging="576"/>
      </w:pPr>
      <w:r>
        <w:rPr>
          <w:sz w:val="18"/>
        </w:rPr>
        <w:t>Li, Y., &amp; Link, D. (2026). Intention driven identification of in-possession match phases in association football through temporal graph learning. arXiv. https://doi.org/10.48550/arxiv.2606.09289</w:t>
      </w:r>
    </w:p>
    <w:p>
      <w:pPr>
        <w:spacing w:after="80"/>
        <w:ind w:left="576" w:hanging="576"/>
      </w:pPr>
      <w:r>
        <w:rPr>
          <w:sz w:val="18"/>
        </w:rPr>
        <w:t>Liang, Y., Guo, X., Zhang, J., &amp; Du, X. (2026). NeuroPlayNet: A multimodal AI framework for real-time cognitive-aware strategy optimization in professional basketball. Scientific Reports, 16, Article 41140. https://doi.org/10.1038/s41598-026-41140-y</w:t>
      </w:r>
    </w:p>
    <w:p>
      <w:pPr>
        <w:spacing w:after="80"/>
        <w:ind w:left="576" w:hanging="576"/>
      </w:pPr>
      <w:r>
        <w:rPr>
          <w:sz w:val="18"/>
        </w:rPr>
        <w:t>Liang, Z., Cao, J., Jiang, S., Saxena, D., &amp; Xu, H. (2022). Hierarchical reinforcement learning with opponent modeling for distributed multi-agent cooperation. In 2022 IEEE 42nd International Conference on Distributed Computing Systems (ICDCS) (pp. 1–10). IEEE. https://doi.org/10.1109/icdcs54860.2022.00090</w:t>
      </w:r>
    </w:p>
    <w:p>
      <w:pPr>
        <w:spacing w:after="80"/>
        <w:ind w:left="576" w:hanging="576"/>
      </w:pPr>
      <w:r>
        <w:rPr>
          <w:sz w:val="18"/>
        </w:rPr>
        <w:t>Lin, J., Chen, F., &amp; Liu, J. (2026). A graph-integrated reinforcement learning framework with graph neural networks for tactical decision modeling in professional football. Scientific Reports, 16, Article 50061. https://doi.org/10.1038/s41598-026-50061-9</w:t>
      </w:r>
    </w:p>
    <w:p>
      <w:pPr>
        <w:spacing w:after="80"/>
        <w:ind w:left="576" w:hanging="576"/>
      </w:pPr>
      <w:r>
        <w:rPr>
          <w:sz w:val="18"/>
        </w:rPr>
        <w:t>Liu, G., Luo, Y., Schulte, O., &amp; Kharrat, T. (2020). Deep soccer analytics: Learning an action-value function for evaluating soccer players. Data Mining and Knowledge Discovery, 34, 1531–1559. https://doi.org/10.1007/s10618-020-00705-9</w:t>
      </w:r>
    </w:p>
    <w:p>
      <w:pPr>
        <w:spacing w:after="80"/>
        <w:ind w:left="576" w:hanging="576"/>
      </w:pPr>
      <w:r>
        <w:rPr>
          <w:sz w:val="18"/>
        </w:rPr>
        <w:t>Liu, M., Tao, W., &amp; Huang, H. (2026). Offline reinforcement learning for badminton tactical decision-making. Engineering Applications of Artificial Intelligence, 149, Article 113395. https://doi.org/10.1016/j.engappai.2025.113395</w:t>
      </w:r>
    </w:p>
    <w:p>
      <w:pPr>
        <w:spacing w:after="80"/>
        <w:ind w:left="576" w:hanging="576"/>
      </w:pPr>
      <w:r>
        <w:rPr>
          <w:sz w:val="18"/>
        </w:rPr>
        <w:t>Liu, S., Lever, G., Wang, Z., Merel, J., Eslami, S., Hennes, D., Czarnecki, W. M., Tassa, Y., Omidshafiei, S., Abdolmaleki, A., Siegel, N., Hasenclever, L., Marris, L., Tunyasuvunakool, S., Song, H. F., Wulfmeier, M., Muller, P., Haarnoja, T., Tracey, B. D., … Heess, N. (2021). From motor control to team play in simulated humanoid football. Science Robotics, 6(58), Article abo0235. https://doi.org/10.1126/scirobotics.abo0235</w:t>
      </w:r>
    </w:p>
    <w:p>
      <w:pPr>
        <w:spacing w:after="80"/>
        <w:ind w:left="576" w:hanging="576"/>
      </w:pPr>
      <w:r>
        <w:rPr>
          <w:sz w:val="18"/>
        </w:rPr>
        <w:t>Liu, Z. (2026). Relational multi agent tactical learning for competitive football. Discover Artificial Intelligence, 6, Article 1900. https://doi.org/10.1007/s44163-026-01900-1</w:t>
      </w:r>
    </w:p>
    <w:p>
      <w:pPr>
        <w:spacing w:after="80"/>
        <w:ind w:left="576" w:hanging="576"/>
      </w:pPr>
      <w:r>
        <w:rPr>
          <w:sz w:val="18"/>
        </w:rPr>
        <w:t>Lv, X., Tao, Y., Zhang, Y.-F., &amp; Xue, Y. (2025). Design of an immersive basketball tactical training system based on digital twins and federated learning. Applied Sciences, 15(7), 3831. https://doi.org/10.3390/app15073831</w:t>
      </w:r>
    </w:p>
    <w:p>
      <w:pPr>
        <w:spacing w:after="80"/>
        <w:ind w:left="576" w:hanging="576"/>
      </w:pPr>
      <w:r>
        <w:rPr>
          <w:sz w:val="18"/>
        </w:rPr>
        <w:t>M. R., H. R., Anitha, C., Goyal, D., &amp; Dadheech, P. (2024). Optimizing game strategies with deep reinforcement learning: A framework for intelligent decision-making. In Proceedings of the 6th International Conference on Information Management &amp; Machine Intelligence (pp. 1–6). Association for Computing Machinery. https://doi.org/10.1145/3745812.3745844</w:t>
      </w:r>
    </w:p>
    <w:p>
      <w:pPr>
        <w:spacing w:after="80"/>
        <w:ind w:left="576" w:hanging="576"/>
      </w:pPr>
      <w:r>
        <w:rPr>
          <w:sz w:val="18"/>
        </w:rPr>
        <w:t>Magelssen, C., Gilgien, M., Tajet, S. L., Losnegard, T., Haugen, P., Reid, R., &amp; Frömer, R. (2025). Reinforcement learning enhances training efficiency in high-performance athletes. bioRxiv. https://doi.org/10.1101/2024.04.22.590558</w:t>
      </w:r>
    </w:p>
    <w:p>
      <w:pPr>
        <w:spacing w:after="80"/>
        <w:ind w:left="576" w:hanging="576"/>
      </w:pPr>
      <w:r>
        <w:rPr>
          <w:sz w:val="18"/>
        </w:rPr>
        <w:t>Midoul, K., El Mohajir, B. E., El Hichami, O., &amp; Souri, A. (2026). Methodological trends in machine learning for sport. Journal of Human Sport and Exercise, 21(1), 1–20. https://doi.org/10.55860/6ff7nv62</w:t>
      </w:r>
    </w:p>
    <w:p>
      <w:pPr>
        <w:spacing w:after="80"/>
        <w:ind w:left="576" w:hanging="576"/>
      </w:pPr>
      <w:r>
        <w:rPr>
          <w:sz w:val="18"/>
        </w:rPr>
        <w:t>Mo, X., Hu, B., Xu, C., &amp; Yang, Y. (2022). Research on virtual human swarm football collaboration technology based on reinforcement learning. In 2022 IEEE 21st International Conference on Ubiquitous Computing and Communications (IUCC/CIT/DSCI/SmartCNS) (pp. 1–6). IEEE. https://doi.org/10.1109/iucc-cit-dsci-smartcns57392.2022.00062</w:t>
      </w:r>
    </w:p>
    <w:p>
      <w:pPr>
        <w:spacing w:after="80"/>
        <w:ind w:left="576" w:hanging="576"/>
      </w:pPr>
      <w:r>
        <w:rPr>
          <w:sz w:val="18"/>
        </w:rPr>
        <w:t>Mohan, V. (2025). Learning tennis strategy through curriculum-based dueling double deep Q-networks. arXiv. https://doi.org/10.48550/arxiv.2512.22186</w:t>
      </w:r>
    </w:p>
    <w:p>
      <w:pPr>
        <w:spacing w:after="80"/>
        <w:ind w:left="576" w:hanging="576"/>
      </w:pPr>
      <w:r>
        <w:rPr>
          <w:sz w:val="18"/>
        </w:rPr>
        <w:t>Moya, D., Tipantuña, C., Villa, G., Calderón-Hinojosa, X., Rivadeneira, B., &amp; Álvarez, R. (2025). Machine learning applied to professional football: Performance improvement and results prediction. Machine Learning and Knowledge Extraction, 7(3), 85. https://doi.org/10.3390/make7030085</w:t>
      </w:r>
    </w:p>
    <w:p>
      <w:pPr>
        <w:spacing w:after="80"/>
        <w:ind w:left="576" w:hanging="576"/>
      </w:pPr>
      <w:r>
        <w:rPr>
          <w:sz w:val="18"/>
        </w:rPr>
        <w:t>Munikoti, S., Agarwal, D., Das, L., Halappanavar, M., &amp; Natarajan, B. (2022). Challenges and opportunities in deep reinforcement learning with graph neural networks: A comprehensive review of algorithms and applications. IEEE Transactions on Neural Networks and Learning Systems, 35(11), 1–21. https://doi.org/10.1109/tnnls.2023.3283523</w:t>
      </w:r>
    </w:p>
    <w:p>
      <w:pPr>
        <w:spacing w:after="80"/>
        <w:ind w:left="576" w:hanging="576"/>
      </w:pPr>
      <w:r>
        <w:rPr>
          <w:sz w:val="18"/>
        </w:rPr>
        <w:t>Murphy, K. (2024). Reinforcement learning: An overview. arXiv. https://doi.org/10.48550/arxiv.2412.05265</w:t>
      </w:r>
    </w:p>
    <w:p>
      <w:pPr>
        <w:spacing w:after="80"/>
        <w:ind w:left="576" w:hanging="576"/>
      </w:pPr>
      <w:r>
        <w:rPr>
          <w:sz w:val="18"/>
        </w:rPr>
        <w:t>Nakahara, H., Tsutsui, K., Takeda, K., &amp; Fujii, K. (2023). Action valuation of on- and off-ball soccer players based on multi-agent deep reinforcement learning. IEEE Access, 11, 133194–133205. https://doi.org/10.1109/access.2023.3336425</w:t>
      </w:r>
    </w:p>
    <w:p>
      <w:pPr>
        <w:spacing w:after="80"/>
        <w:ind w:left="576" w:hanging="576"/>
      </w:pPr>
      <w:r>
        <w:rPr>
          <w:sz w:val="18"/>
        </w:rPr>
        <w:t>Nambiar, M., Ghosh, S., Ong, P., Chan, Y., Bee, Y., &amp; Krishnaswamy, P. (2023). Deep offline reinforcement learning for real-world treatment optimization applications. In Proceedings of the 29th ACM SIGKDD Conference on Knowledge Discovery and Data Mining (pp. 1–11). Association for Computing Machinery. https://doi.org/10.1145/3580305.3599800</w:t>
      </w:r>
    </w:p>
    <w:p>
      <w:pPr>
        <w:spacing w:after="80"/>
        <w:ind w:left="576" w:hanging="576"/>
      </w:pPr>
      <w:r>
        <w:rPr>
          <w:sz w:val="18"/>
        </w:rPr>
        <w:t>Narvekar, S., Peng, B., Leonetti, M., Sinapov, J., Taylor, M. E., &amp; Stone, P. (2020). Curriculum learning for reinforcement learning domains: A framework and survey. arXiv. https://doi.org/10.48550/arxiv.2003.04960</w:t>
      </w:r>
    </w:p>
    <w:p>
      <w:pPr>
        <w:spacing w:after="80"/>
        <w:ind w:left="576" w:hanging="576"/>
      </w:pPr>
      <w:r>
        <w:rPr>
          <w:sz w:val="18"/>
        </w:rPr>
        <w:t>Ng, A. Y., Harada, D., &amp; Russell, S. (1999). Policy invariance under reward transformations: Theory and application to reward shaping. In Proceedings of the Sixteenth International Conference on Machine Learning (ICML) (pp. 278–287). Morgan Kaufmann. https://dl.acm.org/doi/10.5555/657696.657803</w:t>
      </w:r>
    </w:p>
    <w:p>
      <w:pPr>
        <w:spacing w:after="80"/>
        <w:ind w:left="576" w:hanging="576"/>
      </w:pPr>
      <w:r>
        <w:rPr>
          <w:sz w:val="18"/>
        </w:rPr>
        <w:t>Oberlin, P., Cederle, M., Karapetyan, A., Bolognani, S., Susto, G. A., &amp; Dörfler, F. (2026). Chess on ice: Curling tactical decision-making via backward induction and deep reinforcement learning. arXiv. https://doi.org/10.48550/arxiv.2608.02379</w:t>
      </w:r>
    </w:p>
    <w:p>
      <w:pPr>
        <w:spacing w:after="80"/>
        <w:ind w:left="576" w:hanging="576"/>
      </w:pPr>
      <w:r>
        <w:rPr>
          <w:sz w:val="18"/>
        </w:rPr>
        <w:t>Pan, L., Ma, T., &amp; Xu, H. (2021). Plan better amid conservatism: Offline multi-agent reinforcement learning with actor rectification. arXiv. https://doi.org/10.48550/arxiv.2111.11188</w:t>
      </w:r>
    </w:p>
    <w:p>
      <w:pPr>
        <w:spacing w:after="80"/>
        <w:ind w:left="576" w:hanging="576"/>
      </w:pPr>
      <w:r>
        <w:rPr>
          <w:sz w:val="18"/>
        </w:rPr>
        <w:t>Pan, Y., Pu, Z., Chen, M., Ren, W., Li, Y., &amp; Ming, Z. (2026). Offline multi-agent reinforcement learning for evaluating and optimizing football attacking strategies against low-block defences. Intelligent Sports and Health. Advance online publication. https://doi.org/10.1016/j.ish.2026.03.003</w:t>
      </w:r>
    </w:p>
    <w:p>
      <w:pPr>
        <w:spacing w:after="80"/>
        <w:ind w:left="576" w:hanging="576"/>
      </w:pPr>
      <w:r>
        <w:rPr>
          <w:sz w:val="18"/>
        </w:rPr>
        <w:t>Petiot, G. H., Bagatin, R., Aquino, R., &amp; Raab, M. (2021). Key characteristics of decision making in soccer and their implications. New Ideas in Psychology, 61, Article 100846. https://doi.org/10.1016/j.newideapsych.2020.100846</w:t>
      </w:r>
    </w:p>
    <w:p>
      <w:pPr>
        <w:spacing w:after="80"/>
        <w:ind w:left="576" w:hanging="576"/>
      </w:pPr>
      <w:r>
        <w:rPr>
          <w:sz w:val="18"/>
        </w:rPr>
        <w:t>Qiao, D., Li, W., Yang, S., Zha, H., &amp; Wang, B. (2025). Offline multi-agent reinforcement learning via sequential score decomposition. arXiv. https://doi.org/10.48550/arxiv.2505.05968</w:t>
      </w:r>
    </w:p>
    <w:p>
      <w:pPr>
        <w:spacing w:after="80"/>
        <w:ind w:left="576" w:hanging="576"/>
      </w:pPr>
      <w:r>
        <w:rPr>
          <w:sz w:val="18"/>
        </w:rPr>
        <w:t>Raabe, D., Nabben, R., &amp; Memmert, D. (2022). Graph representations for the analysis of multi-agent spatiotemporal sports data. Applied Intelligence, 53, 1–20. https://doi.org/10.1007/s10489-022-03631-z</w:t>
      </w:r>
    </w:p>
    <w:p>
      <w:pPr>
        <w:spacing w:after="80"/>
        <w:ind w:left="576" w:hanging="576"/>
      </w:pPr>
      <w:r>
        <w:rPr>
          <w:sz w:val="18"/>
        </w:rPr>
        <w:t>Rahimian, P., Mihalyi, B., &amp; Toka, L. (2024). In-game soccer outcome prediction with offline reinforcement learning. Machine Learning, 113, 1–24. https://doi.org/10.1007/s10994-024-06611-1</w:t>
      </w:r>
    </w:p>
    <w:p>
      <w:pPr>
        <w:spacing w:after="80"/>
        <w:ind w:left="576" w:hanging="576"/>
      </w:pPr>
      <w:r>
        <w:rPr>
          <w:sz w:val="18"/>
        </w:rPr>
        <w:t>Rahimian, P., Oroojlooy, A., &amp; Toka, L. (2021). Towards optimized actions in critical situations of soccer games with deep reinforcement learning. In 2021 IEEE 8th International Conference on Data Science and Advanced Analytics (DSAA) (pp. 1–6). IEEE. https://doi.org/10.1109/dsaa53316.2021.9564207</w:t>
      </w:r>
    </w:p>
    <w:p>
      <w:pPr>
        <w:spacing w:after="80"/>
        <w:ind w:left="576" w:hanging="576"/>
      </w:pPr>
      <w:r>
        <w:rPr>
          <w:sz w:val="18"/>
        </w:rPr>
        <w:t>Rahimian, P., &amp; Toka, L. (2022). Inferring the strategy of offensive and defensive play in soccer with inverse reinforcement learning. In Machine Learning and Data Mining for Sports Analytics (pp. 31–43). Springer. https://doi.org/10.1007/978-3-031-02044-5_3</w:t>
      </w:r>
    </w:p>
    <w:p>
      <w:pPr>
        <w:spacing w:after="80"/>
        <w:ind w:left="576" w:hanging="576"/>
      </w:pPr>
      <w:r>
        <w:rPr>
          <w:sz w:val="18"/>
        </w:rPr>
        <w:t>Rahimian, P., &amp; Toka, L. (2023). A data-driven approach to assist offensive and defensive players in optimal decision making. International Journal of Sports Science &amp; Coaching, 18(3), 1–15. https://doi.org/10.1177/17479541221149481</w:t>
      </w:r>
    </w:p>
    <w:p>
      <w:pPr>
        <w:spacing w:after="80"/>
        <w:ind w:left="576" w:hanging="576"/>
      </w:pPr>
      <w:r>
        <w:rPr>
          <w:sz w:val="18"/>
        </w:rPr>
        <w:t>Rai, B., &amp; Popović, M. (2026). From multi-agent reinforcement learning to agentic AI: A comprehensive literature review of algorithmic advances and decision-analytic implications (2020–2025). Applied Decision Analytics. Advance online publication. https://doi.org/10.66972/ada202734</w:t>
      </w:r>
    </w:p>
    <w:p>
      <w:pPr>
        <w:spacing w:after="80"/>
        <w:ind w:left="576" w:hanging="576"/>
      </w:pPr>
      <w:r>
        <w:rPr>
          <w:sz w:val="18"/>
        </w:rPr>
        <w:t>Rashid, T., Samvelyan, M., de Witt, C. S., Farquhar, G., Foerster, J., &amp; Whiteson, S. (2020). Monotonic value function factorisation for deep multi-agent reinforcement learning. arXiv. https://doi.org/10.48550/arxiv.2003.08839</w:t>
      </w:r>
    </w:p>
    <w:p>
      <w:pPr>
        <w:spacing w:after="80"/>
        <w:ind w:left="576" w:hanging="576"/>
      </w:pPr>
      <w:r>
        <w:rPr>
          <w:sz w:val="18"/>
        </w:rPr>
        <w:t>Richards, P., Robbins, M., &amp; Collins, D. (2025). Team decision-making: The integration of cognitive task analysis and video to accelerate the development of tactical shared mental models in an elite sports team. Frontiers in Sports and Active Living, 7, Article 1648137. https://doi.org/10.3389/fspor.2025.1648137</w:t>
      </w:r>
    </w:p>
    <w:p>
      <w:pPr>
        <w:spacing w:after="80"/>
        <w:ind w:left="576" w:hanging="576"/>
      </w:pPr>
      <w:r>
        <w:rPr>
          <w:sz w:val="18"/>
        </w:rPr>
        <w:t>Rico-González, M., Pino-Ortega, J., Méndez, A., Clemente, F., &amp; Baca, A. (2022). Machine learning application in soccer: A systematic review. Biology of Sport, 40(1), 249–263. https://doi.org/10.5114/biolsport.2023.112970</w:t>
      </w:r>
    </w:p>
    <w:p>
      <w:pPr>
        <w:spacing w:after="80"/>
        <w:ind w:left="576" w:hanging="576"/>
      </w:pPr>
      <w:r>
        <w:rPr>
          <w:sz w:val="18"/>
        </w:rPr>
        <w:t>Riedmiller, M. A., Merke, A., Meier, D., Hoffmann, A., Sinner, A., Thate, O., &amp; Ehrmann, R. (2001). Karlsruhe Brainstormers – A reinforcement learning approach to robotic soccer. In RoboCup 2000: Robot Soccer World Cup IV (pp. 435–440). Springer. https://doi.org/10.1007/3-540-45324-5_40</w:t>
      </w:r>
    </w:p>
    <w:p>
      <w:pPr>
        <w:spacing w:after="80"/>
        <w:ind w:left="576" w:hanging="576"/>
      </w:pPr>
      <w:r>
        <w:rPr>
          <w:sz w:val="18"/>
        </w:rPr>
        <w:t>Shakya, A., Pillai, G., &amp; Chakrabarty, S. (2023). Reinforcement learning algorithms: A brief survey. Expert Systems with Applications, 231, Article 120495. https://doi.org/10.1016/j.eswa.2023.120495</w:t>
      </w:r>
    </w:p>
    <w:p>
      <w:pPr>
        <w:spacing w:after="80"/>
        <w:ind w:left="576" w:hanging="576"/>
      </w:pPr>
      <w:r>
        <w:rPr>
          <w:sz w:val="18"/>
        </w:rPr>
        <w:t>Shao, D. (2026). Learning optimal and sample-efficient decision policies with guarantees. arXiv. https://doi.org/10.48550/arxiv.2602.17978</w:t>
      </w:r>
    </w:p>
    <w:p>
      <w:pPr>
        <w:spacing w:after="80"/>
        <w:ind w:left="576" w:hanging="576"/>
      </w:pPr>
      <w:r>
        <w:rPr>
          <w:sz w:val="18"/>
        </w:rPr>
        <w:t>Smit, A. P., Engelbrecht, H., Brink, W., &amp; Pretorius, A. (2023). Scaling multi-agent reinforcement learning to full 11 versus 11 simulated robotic football. Autonomous Agents and Multi-Agent Systems, 37, Article 96. https://doi.org/10.1007/s10458-023-09603-y</w:t>
      </w:r>
    </w:p>
    <w:p>
      <w:pPr>
        <w:spacing w:after="80"/>
        <w:ind w:left="576" w:hanging="576"/>
      </w:pPr>
      <w:r>
        <w:rPr>
          <w:sz w:val="18"/>
        </w:rPr>
        <w:t>Son, Y., Park, J., &amp; Jeon, B. (2026). Training agents for strategic curling through a unified reinforcement learning framework. Mathematics, 14(3), 403. https://doi.org/10.3390/math14030403</w:t>
      </w:r>
    </w:p>
    <w:p>
      <w:pPr>
        <w:spacing w:after="80"/>
        <w:ind w:left="576" w:hanging="576"/>
      </w:pPr>
      <w:r>
        <w:rPr>
          <w:sz w:val="18"/>
        </w:rPr>
        <w:t>Song, S., &amp; Qian, K. (2025). A study on the effect of deep reinforcement learning in cultivating athlete decision behavior and psychological resilience. Scalable Computing: Practice and Experience, 26(1), 3786. https://doi.org/10.12694/scpe.v26i1.3786</w:t>
      </w:r>
    </w:p>
    <w:p>
      <w:pPr>
        <w:spacing w:after="80"/>
        <w:ind w:left="576" w:hanging="576"/>
      </w:pPr>
      <w:r>
        <w:rPr>
          <w:sz w:val="18"/>
        </w:rPr>
        <w:t>Standen, M., Kim, J., &amp; Szabo, C. (2024). Adversarial machine learning attacks and defences in multi-agent reinforcement learning. ACM Computing Surveys, 57(4), Article 8320. https://doi.org/10.1145/3708320</w:t>
      </w:r>
    </w:p>
    <w:p>
      <w:pPr>
        <w:spacing w:after="80"/>
        <w:ind w:left="576" w:hanging="576"/>
      </w:pPr>
      <w:r>
        <w:rPr>
          <w:sz w:val="18"/>
        </w:rPr>
        <w:t>Su, J., &amp; Dong, S. (2025). Multi-objective optimization for dynamic logistics scheduling based on hierarchical deep reinforcement learning. Scientific Reports, 15, Article 18309. https://doi.org/10.1038/s41598-025-18309-y</w:t>
      </w:r>
    </w:p>
    <w:p>
      <w:pPr>
        <w:spacing w:after="80"/>
        <w:ind w:left="576" w:hanging="576"/>
      </w:pPr>
      <w:r>
        <w:rPr>
          <w:sz w:val="18"/>
        </w:rPr>
        <w:t>Sun, C., Shen, S., Hu, H., Zhou, W., &amp; Chen, C. (2025). Complex instruction following with diverse style policies in football games. arXiv. https://doi.org/10.48550/arxiv.2511.19885</w:t>
      </w:r>
    </w:p>
    <w:p>
      <w:pPr>
        <w:spacing w:after="80"/>
        <w:ind w:left="576" w:hanging="576"/>
      </w:pPr>
      <w:r>
        <w:rPr>
          <w:sz w:val="18"/>
        </w:rPr>
        <w:t>Suryawanshi, D., Singh, U., Vasave, P., Ganpatye, S., Dabhade, I., &amp; Agarwal, A. (2025). Strategic analysis of penalty kicks in football using game theoretic and reinforcement learning approaches. In 2025 7th International Conference on Information Systems and Computer Networks (ISCON) (pp. 1–6). IEEE. https://doi.org/10.1109/iscon65210.2025.11341135</w:t>
      </w:r>
    </w:p>
    <w:p>
      <w:pPr>
        <w:spacing w:after="80"/>
        <w:ind w:left="576" w:hanging="576"/>
      </w:pPr>
      <w:r>
        <w:rPr>
          <w:sz w:val="18"/>
        </w:rPr>
        <w:t>Takayanagi, R., Takahashi, K., &amp; Sogabe, T. (2022). AI-assisted decision-making and risk evaluation in uncertain environment using stochastic inverse reinforcement learning: American football as a case study. Mathematical Problems in Engineering, 2022, Article 4451427. https://doi.org/10.1155/2022/4451427</w:t>
      </w:r>
    </w:p>
    <w:p>
      <w:pPr>
        <w:spacing w:after="80"/>
        <w:ind w:left="576" w:hanging="576"/>
      </w:pPr>
      <w:r>
        <w:rPr>
          <w:sz w:val="18"/>
        </w:rPr>
        <w:t>Tao, W., Liu, M., Sun, W., &amp; Huang, H. (2025). Evaluating player performance and tactical decision-making in racket sports using deep reinforcement learning. In 2025 IEEE 19th International Conference on Control &amp; Automation (ICCA) (pp. 1–6). IEEE. https://doi.org/10.1109/icca65672.2025.11129712</w:t>
      </w:r>
    </w:p>
    <w:p>
      <w:pPr>
        <w:spacing w:after="80"/>
        <w:ind w:left="576" w:hanging="576"/>
      </w:pPr>
      <w:r>
        <w:rPr>
          <w:sz w:val="18"/>
        </w:rPr>
        <w:t>Taourirte, A., &amp; Mia, M. S. (2025). Multi-agent reinforcement learning and real-time decision-making in robotic soccer for virtual environments. arXiv. https://doi.org/10.48550/arxiv.2512.03166</w:t>
      </w:r>
    </w:p>
    <w:p>
      <w:pPr>
        <w:spacing w:after="80"/>
        <w:ind w:left="576" w:hanging="576"/>
      </w:pPr>
      <w:r>
        <w:rPr>
          <w:sz w:val="18"/>
        </w:rPr>
        <w:t>Teixeira, J., Maio, E., Afonso, P., Encarnação, S., Machado, G., Morgans, R., Barbosa, T. M., Monteiro, A. M., Forte, P., Ferraz, R., &amp; Branquinho, L. (2025). Mapping football tactical behavior and collective dynamics with artificial intelligence: A systematic review. Frontiers in Sports and Active Living, 7, Article 1569155. https://doi.org/10.3389/fspor.2025.1569155</w:t>
      </w:r>
    </w:p>
    <w:p>
      <w:pPr>
        <w:spacing w:after="80"/>
        <w:ind w:left="576" w:hanging="576"/>
      </w:pPr>
      <w:r>
        <w:rPr>
          <w:sz w:val="18"/>
        </w:rPr>
        <w:t>Thomas, D. W., Jiang, J., Kori, A., Russo, A., Winkler, S., Sale, S., McMillan, J., Belardinelli, F., &amp; Rago, A. (2026). Race strategy reinforcement learning: Optimising pitstop strategy with emergent tactics in Formula One. Machine Learning, 115, Article 7081. https://doi.org/10.1007/s10994-026-07081-3</w:t>
      </w:r>
    </w:p>
    <w:p>
      <w:pPr>
        <w:spacing w:after="80"/>
        <w:ind w:left="576" w:hanging="576"/>
      </w:pPr>
      <w:r>
        <w:rPr>
          <w:sz w:val="18"/>
        </w:rPr>
        <w:t>Truong, C., Ruffino, C., Crognier, A., Paizis, C., Crognier, L., &amp; Papaxanthis, C. (2023). Error-based and reinforcement learning in basketball free throw shooting. Scientific Reports, 13, Article 26568. https://doi.org/10.1038/s41598-022-26568-2</w:t>
      </w:r>
    </w:p>
    <w:p>
      <w:pPr>
        <w:spacing w:after="80"/>
        <w:ind w:left="576" w:hanging="576"/>
      </w:pPr>
      <w:r>
        <w:rPr>
          <w:sz w:val="18"/>
        </w:rPr>
        <w:t>Tuyls, K., Omidshafiei, S., Muller, P., Wang, Z., Connor, J. T., Hennes, D., Graham, I., Spearman, W., Waskett, T., Steele, D., Luc, P., Recasens, A., Galashov, A., Thornton, G., Élie, R., Sprechmann, P., Moreno, P., Cao, K., Garnelo, M., … Hassabis, D. (2020). Game plan: What AI can do for football, and what football can do for AI. arXiv. https://doi.org/10.1613/jair.1.12505</w:t>
      </w:r>
    </w:p>
    <w:p>
      <w:pPr>
        <w:spacing w:after="80"/>
        <w:ind w:left="576" w:hanging="576"/>
      </w:pPr>
      <w:r>
        <w:rPr>
          <w:sz w:val="18"/>
        </w:rPr>
        <w:t>Van Roy, M., Robberechts, P., Yang, W.-C., De Raedt, L., &amp; Davis, J. (2023). A Markov framework for learning and reasoning about strategies in professional soccer. Journal of Artificial Intelligence Research, 77, 1–38. https://doi.org/10.1613/jair.1.13934</w:t>
      </w:r>
    </w:p>
    <w:p>
      <w:pPr>
        <w:spacing w:after="80"/>
        <w:ind w:left="576" w:hanging="576"/>
      </w:pPr>
      <w:r>
        <w:rPr>
          <w:sz w:val="18"/>
        </w:rPr>
        <w:t>Wang, H.-X. (2025). Research on the application of intelligent computing methods in the analysis of sports competitive tactics in an interdisciplinary collaborative environment. International Journal of Computer Information Systems and Industrial Management Applications, 17, 255. https://doi.org/10.70917/ijcisim-2025-0255</w:t>
      </w:r>
    </w:p>
    <w:p>
      <w:pPr>
        <w:spacing w:after="80"/>
        <w:ind w:left="576" w:hanging="576"/>
      </w:pPr>
      <w:r>
        <w:rPr>
          <w:sz w:val="18"/>
        </w:rPr>
        <w:t>Wang, K.-D., Wang, W.-Y., Chen, Y.-T., Lin, Y.-H., &amp; Peng, W. (2024). The CoachAI badminton environment: A novel reinforcement learning environment with realistic opponents (Student Abstract). Proceedings of the AAAI Conference on Artificial Intelligence, 38(21), 23831–23833. https://doi.org/10.1609/aaai.v38i21.30523</w:t>
      </w:r>
    </w:p>
    <w:p>
      <w:pPr>
        <w:spacing w:after="80"/>
        <w:ind w:left="576" w:hanging="576"/>
      </w:pPr>
      <w:r>
        <w:rPr>
          <w:sz w:val="18"/>
        </w:rPr>
        <w:t>Wang, S., Pan, Y., Pu, Z., Yi, J., Liang, Y., &amp; Zhang, D. (2023). Heterogeneous-graph attention reinforcement learning for football matches. In 2023 International Joint Conference on Neural Networks (IJCNN) (pp. 1–8). IEEE. https://doi.org/10.1109/ijcnn54540.2023.10191648</w:t>
      </w:r>
    </w:p>
    <w:p>
      <w:pPr>
        <w:spacing w:after="80"/>
        <w:ind w:left="576" w:hanging="576"/>
      </w:pPr>
      <w:r>
        <w:rPr>
          <w:sz w:val="18"/>
        </w:rPr>
        <w:t>Wang, S., Pu, Z., Pan, Y., Liu, B., Ma, H., &amp; Yi, J. (2024). Long-term and short-term opponent intention inference for football multiplayer policy learning. IEEE Transactions on Cognitive and Developmental Systems. Advance online publication. https://doi.org/10.1109/tcds.2024.3404061</w:t>
      </w:r>
    </w:p>
    <w:p>
      <w:pPr>
        <w:spacing w:after="80"/>
        <w:ind w:left="576" w:hanging="576"/>
      </w:pPr>
      <w:r>
        <w:rPr>
          <w:sz w:val="18"/>
        </w:rPr>
        <w:t>Wang, Y. (2025). Using reinforcement learning to identify the key factors for players to win games. ITM Web of Conferences, 78, Article 01007. https://doi.org/10.1051/itmconf/20257801007</w:t>
      </w:r>
    </w:p>
    <w:p>
      <w:pPr>
        <w:spacing w:after="80"/>
        <w:ind w:left="576" w:hanging="576"/>
      </w:pPr>
      <w:r>
        <w:rPr>
          <w:sz w:val="18"/>
        </w:rPr>
        <w:t>Wang, Y., Wang, Y., Tian, F., Ma, J., &amp; Jin, Q. (2025). Intelligent games meeting with multi-agent deep reinforcement learning: A comprehensive review. Artificial Intelligence Review, 58, Article 11166. https://doi.org/10.1007/s10462-025-11166-1</w:t>
      </w:r>
    </w:p>
    <w:p>
      <w:pPr>
        <w:spacing w:after="80"/>
        <w:ind w:left="576" w:hanging="576"/>
      </w:pPr>
      <w:r>
        <w:rPr>
          <w:sz w:val="18"/>
        </w:rPr>
        <w:t>Wang, Z., Veličković, P., Hennes, D., Tomašev, N., Prince, L., Kaisers, M., Bachrach, Y., Élie, R., Piccinini, F., Spearman, W., Graham, I., Connor, J. T., Yang, Y., Recasens, A., Khan, M., Beauguerlange, N., Sprechmann, P., Moreno, P., Heess, N., … Tuyls, K. (2023). TacticAI: An AI assistant for football tactics. Nature Communications, 15, Article 45965. https://doi.org/10.1038/s41467-024-45965-x</w:t>
      </w:r>
    </w:p>
    <w:p>
      <w:pPr>
        <w:spacing w:after="80"/>
        <w:ind w:left="576" w:hanging="576"/>
      </w:pPr>
      <w:r>
        <w:rPr>
          <w:sz w:val="18"/>
        </w:rPr>
        <w:t>Watson, N., Hendricks, S., Stewart, T., &amp; Durbach, I. (2020). Integrating machine learning and decision support in tactical decision-making in rugby union. Journal of the Operational Research Society, 71(12), 1–12. https://doi.org/10.1080/01605682.2020.1779624</w:t>
      </w:r>
    </w:p>
    <w:p>
      <w:pPr>
        <w:spacing w:after="80"/>
        <w:ind w:left="576" w:hanging="576"/>
      </w:pPr>
      <w:r>
        <w:rPr>
          <w:sz w:val="18"/>
        </w:rPr>
        <w:t>Wei, J., Xu, X., Lan, Y., Liu, T., &amp; Wang, Y. (2025). AGT: Efficient offline reinforcement learning with advantage-guided transformer. CAAI Transactions on Intelligence Technology. Advance online publication. https://doi.org/10.1049/cit2.70094</w:t>
      </w:r>
    </w:p>
    <w:p>
      <w:pPr>
        <w:spacing w:after="80"/>
        <w:ind w:left="576" w:hanging="576"/>
      </w:pPr>
      <w:r>
        <w:rPr>
          <w:sz w:val="18"/>
        </w:rPr>
        <w:t>Won, J., Gopinath, D., &amp; Hodgins, J. (2021). Control strategies for physically simulated characters performing two-player competitive sports. ACM Transactions on Graphics, 40(4), Article 146. https://doi.org/10.1145/3476576.3476725</w:t>
      </w:r>
    </w:p>
    <w:p>
      <w:pPr>
        <w:spacing w:after="80"/>
        <w:ind w:left="576" w:hanging="576"/>
      </w:pPr>
      <w:r>
        <w:rPr>
          <w:sz w:val="18"/>
        </w:rPr>
        <w:t>Wu, J. (2025). DDPG-LSTM framework for personalized athlete training plan optimization and competition strategy generation. Informatica (Slovenia), 48(33), 8820. https://doi.org/10.31449/inf.v48i33.8820</w:t>
      </w:r>
    </w:p>
    <w:p>
      <w:pPr>
        <w:spacing w:after="80"/>
        <w:ind w:left="576" w:hanging="576"/>
      </w:pPr>
      <w:r>
        <w:rPr>
          <w:sz w:val="18"/>
        </w:rPr>
        <w:t>Wurman, P. R., Barrett, S., Kawamoto, K., MacGlashan, J., Subramanian, K., Walsh, T. J., Capobianco, R., Devlic, A., Eckert, F., Fuchs, F., Gilpin, L., Khandelwal, P., Kompella, V., Lin, H., MacAlpine, P., Oller, D., Seno, T., Sherstan, C., Thomure, M. D., … Kitano, H. (2022). Outracing champion Gran Turismo drivers with deep reinforcement learning. Nature, 602(7896), 223–228. https://doi.org/10.1038/s41586-021-04357-7</w:t>
      </w:r>
    </w:p>
    <w:p>
      <w:pPr>
        <w:spacing w:after="80"/>
        <w:ind w:left="576" w:hanging="576"/>
      </w:pPr>
      <w:r>
        <w:rPr>
          <w:sz w:val="18"/>
        </w:rPr>
        <w:t>Xia, X., Chen, Q., &amp; Wang, Z. (2025). Deep reinforcement learning-driven personalized training load control algorithm for competitive sports performance optimization. Scientific Reports, 15, Article 30453. https://doi.org/10.1038/s41598-025-30453-z</w:t>
      </w:r>
    </w:p>
    <w:p>
      <w:pPr>
        <w:spacing w:after="80"/>
        <w:ind w:left="576" w:hanging="576"/>
      </w:pPr>
      <w:r>
        <w:rPr>
          <w:sz w:val="18"/>
        </w:rPr>
        <w:t>Xu, C., &amp; Wang, Y. (2024). Tactical intelligent decision modelling in sports competitions based on reinforcement learning algorithms. Journal of Electrical Systems, 20(3), 3124. https://doi.org/10.52783/jes.3124</w:t>
      </w:r>
    </w:p>
    <w:p>
      <w:pPr>
        <w:spacing w:after="80"/>
        <w:ind w:left="576" w:hanging="576"/>
      </w:pPr>
      <w:r>
        <w:rPr>
          <w:sz w:val="18"/>
        </w:rPr>
        <w:t>Xu, H., Lin, B., &amp; Liu, L. (2025). Design of intelligent optimization of sports strategy and training decision support system based on deep reinforcement learning. Discover Artificial Intelligence, 5, Article 473. https://doi.org/10.1007/s44163-025-00473-9</w:t>
      </w:r>
    </w:p>
    <w:p>
      <w:pPr>
        <w:spacing w:after="80"/>
        <w:ind w:left="576" w:hanging="576"/>
      </w:pPr>
      <w:r>
        <w:rPr>
          <w:sz w:val="18"/>
        </w:rPr>
        <w:t>Xu, Q., &amp; He, X. (2022). Football training evaluation using machine learning and decision support system. Soft Computing, 26, 1–12. https://doi.org/10.1007/s00500-022-07210-9</w:t>
      </w:r>
    </w:p>
    <w:p>
      <w:pPr>
        <w:spacing w:after="80"/>
        <w:ind w:left="576" w:hanging="576"/>
      </w:pPr>
      <w:r>
        <w:rPr>
          <w:sz w:val="18"/>
        </w:rPr>
        <w:t>Xu, S., Liu, G., Kharrat, T., Luo, Y., Aloulou, M., Peña, J., Sofeikov, K. I., Reid, A. C., Roberts, P. M., Spencer, S., Carnall, J., McHale, I. G., Schulte, O., Zha, H., &amp; Zheng, W. (2026). TacticGen: Grounding adaptable and scalable generation of football tactics. arXiv. https://doi.org/10.48550/arxiv.2604.18210</w:t>
      </w:r>
    </w:p>
    <w:p>
      <w:pPr>
        <w:spacing w:after="80"/>
        <w:ind w:left="576" w:hanging="576"/>
      </w:pPr>
      <w:r>
        <w:rPr>
          <w:sz w:val="18"/>
        </w:rPr>
        <w:t>Xu, Z. (2024). Decision support system for optimizing tactics and strategies of sports competition using reinforcement learning algorithm. Journal of Electrical Systems, 20(3), 1304. https://doi.org/10.52783/jes.1304</w:t>
      </w:r>
    </w:p>
    <w:p>
      <w:pPr>
        <w:spacing w:after="80"/>
        <w:ind w:left="576" w:hanging="576"/>
      </w:pPr>
      <w:r>
        <w:rPr>
          <w:sz w:val="18"/>
        </w:rPr>
        <w:t>Xu, Z., Bai, Y., Zhang, B., Li, D., &amp; Fan, G. (2021). HAVEN: Hierarchical cooperative multi-agent reinforcement learning with dual coordination mechanism. Proceedings of the AAAI Conference on Artificial Intelligence, 37(10), 11735–11743. https://doi.org/10.1609/aaai.v37i10.26386</w:t>
      </w:r>
    </w:p>
    <w:p>
      <w:pPr>
        <w:spacing w:after="80"/>
        <w:ind w:left="576" w:hanging="576"/>
      </w:pPr>
      <w:r>
        <w:rPr>
          <w:sz w:val="18"/>
        </w:rPr>
        <w:t>Xue, T., Zhao, Y., &amp; Dong, Y. (2026). Autonomous tactical decision-making for multi-aircraft via reinforcement learning. Guidance, Navigation and Control. Advance online publication. https://doi.org/10.1142/s273748072650010x</w:t>
      </w:r>
    </w:p>
    <w:p>
      <w:pPr>
        <w:spacing w:after="80"/>
        <w:ind w:left="576" w:hanging="576"/>
      </w:pPr>
      <w:r>
        <w:rPr>
          <w:sz w:val="18"/>
        </w:rPr>
        <w:t>Yanai, C., Solomon, A., Katz, G., Shapira, B., &amp; Rokach, L. (2022). Q-Ball: Modeling basketball games using deep reinforcement learning. Proceedings of the AAAI Conference on Artificial Intelligence, 36(8), 8806–8813. https://doi.org/10.1609/aaai.v36i8.20861</w:t>
      </w:r>
    </w:p>
    <w:p>
      <w:pPr>
        <w:spacing w:after="80"/>
        <w:ind w:left="576" w:hanging="576"/>
      </w:pPr>
      <w:r>
        <w:rPr>
          <w:sz w:val="18"/>
        </w:rPr>
        <w:t>Yang, J., Ge, H., &amp; Cui, Y. (2025). An AI framework for counterattack detection and decision-making evaluation in football. Journal of Big Data, 12, Article 1128. https://doi.org/10.1186/s40537-025-01128-3</w:t>
      </w:r>
    </w:p>
    <w:p>
      <w:pPr>
        <w:spacing w:after="80"/>
        <w:ind w:left="576" w:hanging="576"/>
      </w:pPr>
      <w:r>
        <w:rPr>
          <w:sz w:val="18"/>
        </w:rPr>
        <w:t>Yang, L., Zhou, C., &amp; Sang, B. (2026). Domain-specific contexts promote model-based decision making for basketball players. Scientific Reports, 16, Article 54649. https://doi.org/10.1038/s41598-026-54649-z</w:t>
      </w:r>
    </w:p>
    <w:p>
      <w:pPr>
        <w:spacing w:after="80"/>
        <w:ind w:left="576" w:hanging="576"/>
      </w:pPr>
      <w:r>
        <w:rPr>
          <w:sz w:val="18"/>
        </w:rPr>
        <w:t>Yang, Y., Li, F., &amp; Chang, H. (2023). Enhancing short track speed skating performance through improved DDQN tactical decision model. Sensors, 23(24), 9904. https://doi.org/10.3390/s23249904</w:t>
      </w:r>
    </w:p>
    <w:p>
      <w:pPr>
        <w:spacing w:after="80"/>
        <w:ind w:left="576" w:hanging="576"/>
      </w:pPr>
      <w:r>
        <w:rPr>
          <w:sz w:val="18"/>
        </w:rPr>
        <w:t>Yu, Q. (2025). Multi modal hierarchical reinforcement learning framework for dynamic sports sponsorship optimization. Scientific Reports, 15, Article 27915. https://doi.org/10.1038/s41598-025-27915-9</w:t>
      </w:r>
    </w:p>
    <w:p>
      <w:pPr>
        <w:spacing w:after="80"/>
        <w:ind w:left="576" w:hanging="576"/>
      </w:pPr>
      <w:r>
        <w:rPr>
          <w:sz w:val="18"/>
        </w:rPr>
        <w:t>Yu, X., Lin, Y., Wang, X., Han, S., &amp; Lv, K. (2023). GHQ: Grouped hybrid Q-learning for cooperative heterogeneous multi-agent reinforcement learning. Complex &amp; Intelligent Systems, 10, 1–18. https://doi.org/10.1007/s40747-024-01415-1</w:t>
      </w:r>
    </w:p>
    <w:p>
      <w:pPr>
        <w:spacing w:after="80"/>
        <w:ind w:left="576" w:hanging="576"/>
      </w:pPr>
      <w:r>
        <w:rPr>
          <w:sz w:val="18"/>
        </w:rPr>
        <w:t>Yuan, C., Al Forhad, M. A., Bansal, R., Sidorova, A., &amp; Albert, M. V. (2024). Multi-agent dual level reinforcement learning of strategy and tactics in competitive games. Results in Control and Optimization, 15, Article 100471. https://doi.org/10.1016/j.rico.2024.100471</w:t>
      </w:r>
    </w:p>
    <w:p>
      <w:pPr>
        <w:spacing w:after="80"/>
        <w:ind w:left="576" w:hanging="576"/>
      </w:pPr>
      <w:r>
        <w:rPr>
          <w:sz w:val="18"/>
        </w:rPr>
        <w:t>Zhang, B. (2025). Adaptive tactical decision making in ice hockey: Integrating multi-agent reinforcement learning framework with advanced computer vision techniques. ECE Official Conference Proceedings, 21. https://doi.org/10.22492/issn.2188-1162.2025.21</w:t>
      </w:r>
    </w:p>
    <w:p>
      <w:pPr>
        <w:spacing w:after="80"/>
        <w:ind w:left="576" w:hanging="576"/>
      </w:pPr>
      <w:r>
        <w:rPr>
          <w:sz w:val="18"/>
        </w:rPr>
        <w:t>Zhang, D., Yuan, Q., Meng, L., Xia, R., Liu, W., &amp; Qin, C. (2025). Reinforcement learning for single-agent to multi-agent systems: From basic theory to industrial application progress, a survey. Artificial Intelligence Review, 58, Article 11439. https://doi.org/10.1007/s10462-025-11439-9</w:t>
      </w:r>
    </w:p>
    <w:p>
      <w:pPr>
        <w:spacing w:after="80"/>
        <w:ind w:left="576" w:hanging="576"/>
      </w:pPr>
      <w:r>
        <w:rPr>
          <w:sz w:val="18"/>
        </w:rPr>
        <w:t>Zhang, J., Shi, E., Niyato, D., Ai, B., &amp; Shen, X. (2024). Graph neural network meets multi-agent reinforcement learning: Fundamentals, applications, and future directions. IEEE Wireless Communications, 31(6), 1–8. https://doi.org/10.1109/mwc.015.2300595</w:t>
      </w:r>
    </w:p>
    <w:p>
      <w:pPr>
        <w:spacing w:after="80"/>
        <w:ind w:left="576" w:hanging="576"/>
      </w:pPr>
      <w:r>
        <w:rPr>
          <w:sz w:val="18"/>
        </w:rPr>
        <w:t>Zhang, J., &amp; Tao, D. (2023). Research on deep reinforcement learning basketball robot shooting skills improvement based on end to end architecture and multi-modal perception. Frontiers in Neurorobotics, 17, Article 1274543. https://doi.org/10.3389/fnbot.2023.1274543</w:t>
      </w:r>
    </w:p>
    <w:p>
      <w:pPr>
        <w:spacing w:after="80"/>
        <w:ind w:left="576" w:hanging="576"/>
      </w:pPr>
      <w:r>
        <w:rPr>
          <w:sz w:val="18"/>
        </w:rPr>
        <w:t>Zhang, J., &amp; Xue, Q. (2020). Actor–critic-based decision-making method for the artificial intelligence commander in tactical wargames. The Journal of Defense Modeling and Simulation: Applications, Methodology, Technology, 17(4), 1–12. https://doi.org/10.1177/1548512920954542</w:t>
      </w:r>
    </w:p>
    <w:p>
      <w:pPr>
        <w:spacing w:after="80"/>
        <w:ind w:left="576" w:hanging="576"/>
      </w:pPr>
      <w:r>
        <w:rPr>
          <w:sz w:val="18"/>
        </w:rPr>
        <w:t>Zhang, Q., Wang, Q., &amp; Niu, Y. (2026). Adaptive training load optimization for track and field athletes: A reinforcement learning approach. Scientific Reports, 16, Article 41946. https://doi.org/10.1038/s41598-026-41946-w</w:t>
      </w:r>
    </w:p>
    <w:p>
      <w:pPr>
        <w:spacing w:after="80"/>
        <w:ind w:left="576" w:hanging="576"/>
      </w:pPr>
      <w:r>
        <w:rPr>
          <w:sz w:val="18"/>
        </w:rPr>
        <w:t>Zhao, J., Lin, J., Zhang, X., Li, Y., Zhou, X., &amp; Sun, Y. (2024). From mimic to counteract: A two-stage reinforcement learning algorithm for Google research football. Neural Computing and Applications, 36, 1–16. https://doi.org/10.1007/s00521-024-09455-x</w:t>
      </w:r>
    </w:p>
    <w:p>
      <w:pPr>
        <w:spacing w:after="80"/>
        <w:ind w:left="576" w:hanging="576"/>
      </w:pPr>
      <w:r>
        <w:rPr>
          <w:sz w:val="18"/>
        </w:rPr>
        <w:t>Zhao, S., Ma, H., Pu, Z., Huang, J., Pan, Y., Wang, S., &amp; Ming, Z. (2025). TacEleven: Generative tactic discovery for football open play. arXiv. https://doi.org/10.48550/arxiv.2511.13326</w:t>
      </w:r>
    </w:p>
    <w:p>
      <w:pPr>
        <w:spacing w:after="80"/>
        <w:ind w:left="576" w:hanging="576"/>
      </w:pPr>
      <w:r>
        <w:rPr>
          <w:sz w:val="18"/>
        </w:rPr>
        <w:t>Zhao, T., Chen, T., &amp; Zhang, B. (2025). QMIX-GNN: A graph neural network-based heterogeneous multi-agent reinforcement learning model for improved collaboration and decision-making. Applied Sciences, 15(7), 3794. https://doi.org/10.3390/app15073794</w:t>
      </w:r>
    </w:p>
    <w:p>
      <w:pPr>
        <w:spacing w:after="80"/>
        <w:ind w:left="576" w:hanging="576"/>
      </w:pPr>
      <w:r>
        <w:rPr>
          <w:sz w:val="18"/>
        </w:rPr>
        <w:t>Zhao, Z., Chai, W., Hao, S., Hu, W., Wang, G., Cao, S., Song, M.-G., Hwang, J.-N., &amp; Wang, G. (2023). A survey of deep learning in sports applications: Perception, comprehension, and decision. IEEE Transactions on Visualization and Computer Graphics. Advance online publication. https://doi.org/10.1109/tvcg.2025.3554801</w:t>
      </w:r>
    </w:p>
    <w:p>
      <w:pPr>
        <w:spacing w:after="80"/>
        <w:ind w:left="576" w:hanging="576"/>
      </w:pPr>
      <w:r>
        <w:rPr>
          <w:sz w:val="18"/>
        </w:rPr>
        <w:t>Zhou, S.-Y., &amp; Zhu, M. (2025). Enhancing athlete performance using deep learning techniques in sports analytics. IEEE Access, 13, 1–15. https://doi.org/10.1109/access.2025.3631851</w:t>
      </w:r>
    </w:p>
    <w:p>
      <w:pPr>
        <w:spacing w:after="80"/>
        <w:ind w:left="576" w:hanging="576"/>
      </w:pPr>
      <w:r>
        <w:rPr>
          <w:sz w:val="18"/>
        </w:rPr>
        <w:t>Zhu, C. (2025). Research on reinforcement learning algorithm for sports club participation prediction and optimization. In 2025 IEEE 3rd International Conference on Control, Electronics and Computer Technology (ICCECT) (pp. 1–6). IEEE. https://doi.org/10.1109/iccect64621.2025.11339670</w:t>
      </w:r>
    </w:p>
    <w:p>
      <w:pPr>
        <w:spacing w:after="80"/>
        <w:ind w:left="576" w:hanging="576"/>
      </w:pPr>
      <w:r>
        <w:rPr>
          <w:sz w:val="18"/>
        </w:rPr>
        <w:t>Ziyi, Z., Bunker, R., Takeda, K., &amp; Fujii, K. (2023). Multi-agent deep-learning based comparative analysis of team sport trajectories. IEEE Access, 11, 41646–41656. https://doi.org/10.1109/access.2023.3269287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