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F172A"/>
          <w:sz w:val="36"/>
        </w:rPr>
        <w:t>EXPERIMENTAL RESULTS, DISCUSSION, AND FINDINGS</w:t>
        <w:br/>
      </w:r>
    </w:p>
    <w:p>
      <w:pPr>
        <w:jc w:val="center"/>
      </w:pPr>
      <w:r>
        <w:rPr>
          <w:rFonts w:ascii="Times New Roman" w:hAnsi="Times New Roman"/>
          <w:i/>
          <w:color w:val="334155"/>
          <w:sz w:val="26"/>
        </w:rPr>
        <w:t>Optimizing Tactical Decision-Making in Multi-Agent Reinforcement Learning via Semantic State Representations and Potential-Based Tactical Reward Shaping</w:t>
        <w:br/>
      </w:r>
    </w:p>
    <w:p>
      <w:pPr>
        <w:jc w:val="center"/>
      </w:pPr>
      <w:r>
        <w:rPr>
          <w:color w:val="64748B"/>
          <w:sz w:val="19"/>
        </w:rPr>
        <w:t>Target Venues: IEEE Transactions on Games / ACM TIST / Expert Systems with Applications</w:t>
        <w:br/>
        <w:t>Evaluation Baseline: Google Research Football (GRF) Environment | 5 Independent Random Seeds (N = 1,000 Matches/Condition)</w:t>
      </w:r>
    </w:p>
    <w:p>
      <w:pPr>
        <w:spacing w:after="240"/>
      </w:pPr>
    </w:p>
    <w:tbl>
      <w:tblPr>
        <w:tblW w:type="auto" w:w="0"/>
        <w:jc w:val="center"/>
        <w:tblLook w:firstColumn="1" w:firstRow="1" w:lastColumn="0" w:lastRow="0" w:noHBand="0" w:noVBand="1" w:val="04A0"/>
      </w:tblPr>
      <w:tblGrid>
        <w:gridCol w:w="9360"/>
      </w:tblGrid>
      <w:tr>
        <w:tc>
          <w:tcPr>
            <w:tcW w:type="dxa" w:w="9360"/>
            <w:shd w:val="clear" w:color="auto" w:fill="F1F5F9"/>
            <w:tcMar>
              <w:top w:w="140" w:type="dxa"/>
              <w:bottom w:w="140" w:type="dxa"/>
              <w:left w:w="200" w:type="dxa"/>
              <w:right w:w="200" w:type="dxa"/>
            </w:tcMar>
          </w:tcPr>
          <w:p>
            <w:pPr>
              <w:spacing w:after="0"/>
            </w:pPr>
            <w:r>
              <w:rPr>
                <w:b/>
                <w:color w:val="0F172A"/>
                <w:sz w:val="20"/>
              </w:rPr>
              <w:t xml:space="preserve">EXECUTIVE SUMMARY OF FINDINGS: </w:t>
            </w:r>
            <w:r>
              <w:rPr>
                <w:color w:val="1E293B"/>
                <w:sz w:val="20"/>
              </w:rPr>
              <w:t>This empirical report establishes that integrating semantic tactical feature representations with Potential-Based Reward Shaping (PBRS) conclusively resolves the long-standing 'tactical blindness' and 'policy invariance' dilemmas in sports Multi-Agent Reinforcement Learning (MARL). The proposed unified model (M4) elevates match win rates from 44.5% (sparse control baseline) to 89.6% (Welch's t = 29.002, p = 2.35e-9, Cohen's d = 18.34). Crucially, the results reveal a super-additive synergy (+45.1% total gain vs. +42.7% expected linear sum), achieve 89.9% Tactical Pattern Consistency (TPCA), and unlock game-theoretic contextual risk adaptation (+19.6% through-ball surge when trailing).</w:t>
            </w:r>
          </w:p>
        </w:tc>
      </w:tr>
    </w:tbl>
    <w:p>
      <w:pPr>
        <w:spacing w:after="240"/>
      </w:pPr>
    </w:p>
    <w:p>
      <w:pPr>
        <w:pStyle w:val="Heading1"/>
      </w:pPr>
      <w:r>
        <w:rPr>
          <w:rFonts w:ascii="Times New Roman" w:hAnsi="Times New Roman"/>
          <w:b/>
          <w:color w:val="0F172A"/>
          <w:sz w:val="28"/>
        </w:rPr>
        <w:t>1. System Architecture and Methodological Foundations</w:t>
      </w:r>
    </w:p>
    <w:p>
      <w:r>
        <w:t>To establish rigorous tactical decision-making in the Google Research Football (GRF) environment, the methodology implements a Decentralized Partially Observable Markov Decision Process (Dec-POMDP) within the Centralized Training with Decentralized Execution (CTDE) paradigm using Multi-Agent PPO (MAPPO). Each agent executes decisions based solely on local partial observations while the critic optimizes joint value functions during training.</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669280" cy="2834640"/>
                    </a:xfrm>
                    <a:prstGeom prst="rect"/>
                  </pic:spPr>
                </pic:pic>
              </a:graphicData>
            </a:graphic>
          </wp:inline>
        </w:drawing>
      </w:r>
    </w:p>
    <w:p>
      <w:pPr>
        <w:jc w:val="center"/>
      </w:pPr>
      <w:r>
        <w:rPr>
          <w:i/>
          <w:color w:val="475569"/>
          <w:sz w:val="19"/>
        </w:rPr>
        <w:t>Figure 1: CTDE MAPPO Decentralized Execution Framework with Tactical Observation and Centralized Critic Topology.</w:t>
      </w:r>
    </w:p>
    <w:p>
      <w:r>
        <w:t>Standard multi-agent reinforcement learning algorithms frequently fail in competitive sports due to severe state blindness. Raw Euclidean coordinates do not expose defensive interceptability or passing viability. As formulated in our methodology protocol, the Tactical Feature Engine computes continuous Gaussian dynamic corridor interception risk P_intercept and receiver attractiveness S(j) in real time.</w:t>
      </w:r>
    </w:p>
    <w:p>
      <w:r>
        <w:drawing>
          <wp:inline xmlns:a="http://schemas.openxmlformats.org/drawingml/2006/main" xmlns:pic="http://schemas.openxmlformats.org/drawingml/2006/picture">
            <wp:extent cx="5303520" cy="2651760"/>
            <wp:docPr id="2" name="Picture 2"/>
            <wp:cNvGraphicFramePr>
              <a:graphicFrameLocks noChangeAspect="1"/>
            </wp:cNvGraphicFramePr>
            <a:graphic>
              <a:graphicData uri="http://schemas.openxmlformats.org/drawingml/2006/picture">
                <pic:pic>
                  <pic:nvPicPr>
                    <pic:cNvPr id="0" name="fig2_geometric_corridor.png"/>
                    <pic:cNvPicPr/>
                  </pic:nvPicPr>
                  <pic:blipFill>
                    <a:blip r:embed="rId10"/>
                    <a:stretch>
                      <a:fillRect/>
                    </a:stretch>
                  </pic:blipFill>
                  <pic:spPr>
                    <a:xfrm>
                      <a:off x="0" y="0"/>
                      <a:ext cx="5303520" cy="2651760"/>
                    </a:xfrm>
                    <a:prstGeom prst="rect"/>
                  </pic:spPr>
                </pic:pic>
              </a:graphicData>
            </a:graphic>
          </wp:inline>
        </w:drawing>
      </w:r>
    </w:p>
    <w:p>
      <w:pPr>
        <w:jc w:val="center"/>
      </w:pPr>
      <w:r>
        <w:rPr>
          <w:i/>
          <w:color w:val="475569"/>
          <w:sz w:val="19"/>
        </w:rPr>
        <w:t>Figure 2: Dynamic Geometric Passing Corridor with Perpendicular Euclidean Clamping and Gaussian Interception Decay.</w:t>
      </w:r>
    </w:p>
    <w:p>
      <w:r>
        <w:t>Simultaneously, the environment incorporates Potential-Based Reward Shaping (PBRS), mathematically formulated as F(s, s') = gamma * Phi(s') - Phi(s). The potential function Phi(s) is anchored directly to an empirical 16x12 Expected Threat (xT) transition matrix derived from professional match event data, thereby eliminating step-farming and cycle-passing while guaranteeing absolute policy invariance (Ng et al., 1999).</w:t>
      </w:r>
    </w:p>
    <w:p>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fig3_xt_grid_heatmap.png"/>
                    <pic:cNvPicPr/>
                  </pic:nvPicPr>
                  <pic:blipFill>
                    <a:blip r:embed="rId11"/>
                    <a:stretch>
                      <a:fillRect/>
                    </a:stretch>
                  </pic:blipFill>
                  <pic:spPr>
                    <a:xfrm>
                      <a:off x="0" y="0"/>
                      <a:ext cx="5029200" cy="2514600"/>
                    </a:xfrm>
                    <a:prstGeom prst="rect"/>
                  </pic:spPr>
                </pic:pic>
              </a:graphicData>
            </a:graphic>
          </wp:inline>
        </w:drawing>
      </w:r>
    </w:p>
    <w:p>
      <w:pPr>
        <w:jc w:val="center"/>
      </w:pPr>
      <w:r>
        <w:rPr>
          <w:i/>
          <w:color w:val="475569"/>
          <w:sz w:val="19"/>
        </w:rPr>
        <w:t>Figure 3: Empirical 16x12 Expected Threat (xT) Valuation Surface Derived from Spatial Event Tracking Discretization.</w:t>
      </w:r>
    </w:p>
    <w:p>
      <w:pPr>
        <w:pStyle w:val="Heading1"/>
      </w:pPr>
      <w:r>
        <w:rPr>
          <w:rFonts w:ascii="Times New Roman" w:hAnsi="Times New Roman"/>
          <w:b/>
          <w:color w:val="0F172A"/>
          <w:sz w:val="28"/>
        </w:rPr>
        <w:t>2. Quantitative Results and 2x2 Factorial Ablation Analysis</w:t>
      </w:r>
    </w:p>
    <w:p>
      <w:r>
        <w:t>To rigorously isolate the individual and interaction effects of semantic state representations versus tactical reward shaping, we executed a full 2x2 factorial ablation matrix across five independent random seeds (N = 1,000 matches per condition). Table 1 reports the quantitative evaluation metrics, standard deviations, and contextual risk modulations.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F172A"/>
            <w:tcMar>
              <w:top w:w="120" w:type="dxa"/>
              <w:bottom w:w="120" w:type="dxa"/>
              <w:left w:w="100" w:type="dxa"/>
              <w:right w:w="100" w:type="dxa"/>
            </w:tcMar>
          </w:tcPr>
          <w:p>
            <w:pPr>
              <w:jc w:val="center"/>
            </w:pPr>
            <w:r>
              <w:rPr>
                <w:b/>
                <w:color w:val="FFFFFF"/>
                <w:sz w:val="19"/>
              </w:rPr>
              <w:t>Model Configuration</w:t>
            </w:r>
          </w:p>
        </w:tc>
        <w:tc>
          <w:tcPr>
            <w:tcW w:type="dxa" w:w="1560"/>
            <w:shd w:val="clear" w:color="auto" w:fill="0F172A"/>
            <w:tcMar>
              <w:top w:w="120" w:type="dxa"/>
              <w:bottom w:w="120" w:type="dxa"/>
              <w:left w:w="100" w:type="dxa"/>
              <w:right w:w="100" w:type="dxa"/>
            </w:tcMar>
          </w:tcPr>
          <w:p>
            <w:pPr>
              <w:jc w:val="center"/>
            </w:pPr>
            <w:r>
              <w:rPr>
                <w:b/>
                <w:color w:val="FFFFFF"/>
                <w:sz w:val="19"/>
              </w:rPr>
              <w:t>Win Rate (%)</w:t>
            </w:r>
          </w:p>
        </w:tc>
        <w:tc>
          <w:tcPr>
            <w:tcW w:type="dxa" w:w="1560"/>
            <w:shd w:val="clear" w:color="auto" w:fill="0F172A"/>
            <w:tcMar>
              <w:top w:w="120" w:type="dxa"/>
              <w:bottom w:w="120" w:type="dxa"/>
              <w:left w:w="100" w:type="dxa"/>
              <w:right w:w="100" w:type="dxa"/>
            </w:tcMar>
          </w:tcPr>
          <w:p>
            <w:pPr>
              <w:jc w:val="center"/>
            </w:pPr>
            <w:r>
              <w:rPr>
                <w:b/>
                <w:color w:val="FFFFFF"/>
                <w:sz w:val="19"/>
              </w:rPr>
              <w:t>TPCA (%)</w:t>
            </w:r>
          </w:p>
        </w:tc>
        <w:tc>
          <w:tcPr>
            <w:tcW w:type="dxa" w:w="1560"/>
            <w:shd w:val="clear" w:color="auto" w:fill="0F172A"/>
            <w:tcMar>
              <w:top w:w="120" w:type="dxa"/>
              <w:bottom w:w="120" w:type="dxa"/>
              <w:left w:w="100" w:type="dxa"/>
              <w:right w:w="100" w:type="dxa"/>
            </w:tcMar>
          </w:tcPr>
          <w:p>
            <w:pPr>
              <w:jc w:val="center"/>
            </w:pPr>
            <w:r>
              <w:rPr>
                <w:b/>
                <w:color w:val="FFFFFF"/>
                <w:sz w:val="19"/>
              </w:rPr>
              <w:t>OBMQ Score</w:t>
            </w:r>
          </w:p>
        </w:tc>
        <w:tc>
          <w:tcPr>
            <w:tcW w:type="dxa" w:w="1560"/>
            <w:shd w:val="clear" w:color="auto" w:fill="0F172A"/>
            <w:tcMar>
              <w:top w:w="120" w:type="dxa"/>
              <w:bottom w:w="120" w:type="dxa"/>
              <w:left w:w="100" w:type="dxa"/>
              <w:right w:w="100" w:type="dxa"/>
            </w:tcMar>
          </w:tcPr>
          <w:p>
            <w:pPr>
              <w:jc w:val="center"/>
            </w:pPr>
            <w:r>
              <w:rPr>
                <w:b/>
                <w:color w:val="FFFFFF"/>
                <w:sz w:val="19"/>
              </w:rPr>
              <w:t>Cohen's κ</w:t>
            </w:r>
          </w:p>
        </w:tc>
        <w:tc>
          <w:tcPr>
            <w:tcW w:type="dxa" w:w="1560"/>
            <w:shd w:val="clear" w:color="auto" w:fill="0F172A"/>
            <w:tcMar>
              <w:top w:w="120" w:type="dxa"/>
              <w:bottom w:w="120" w:type="dxa"/>
              <w:left w:w="100" w:type="dxa"/>
              <w:right w:w="100" w:type="dxa"/>
            </w:tcMar>
          </w:tcPr>
          <w:p>
            <w:pPr>
              <w:jc w:val="center"/>
            </w:pPr>
            <w:r>
              <w:rPr>
                <w:b/>
                <w:color w:val="FFFFFF"/>
                <w:sz w:val="19"/>
              </w:rPr>
              <w:t>Δ Risk (Trail - Lead)</w:t>
            </w:r>
          </w:p>
        </w:tc>
      </w:tr>
      <w:tr>
        <w:tc>
          <w:tcPr>
            <w:tcW w:type="dxa" w:w="1560"/>
            <w:shd w:val="clear" w:color="auto" w:fill="F8FAFC"/>
            <w:tcMar>
              <w:top w:w="80" w:type="dxa"/>
              <w:bottom w:w="80" w:type="dxa"/>
              <w:left w:w="100" w:type="dxa"/>
              <w:right w:w="100" w:type="dxa"/>
            </w:tcMar>
          </w:tcPr>
          <w:p>
            <w:pPr>
              <w:jc w:val="left"/>
            </w:pPr>
            <w:r>
              <w:rPr>
                <w:sz w:val="19"/>
              </w:rPr>
              <w:t>M1: Control Baseline (Raw + Sparse)</w:t>
            </w:r>
          </w:p>
        </w:tc>
        <w:tc>
          <w:tcPr>
            <w:tcW w:type="dxa" w:w="1560"/>
            <w:shd w:val="clear" w:color="auto" w:fill="F8FAFC"/>
            <w:tcMar>
              <w:top w:w="80" w:type="dxa"/>
              <w:bottom w:w="80" w:type="dxa"/>
              <w:left w:w="100" w:type="dxa"/>
              <w:right w:w="100" w:type="dxa"/>
            </w:tcMar>
          </w:tcPr>
          <w:p>
            <w:pPr>
              <w:jc w:val="center"/>
            </w:pPr>
            <w:r>
              <w:rPr>
                <w:sz w:val="19"/>
              </w:rPr>
              <w:t>44.5 ± 2.4</w:t>
            </w:r>
          </w:p>
        </w:tc>
        <w:tc>
          <w:tcPr>
            <w:tcW w:type="dxa" w:w="1560"/>
            <w:shd w:val="clear" w:color="auto" w:fill="F8FAFC"/>
            <w:tcMar>
              <w:top w:w="80" w:type="dxa"/>
              <w:bottom w:w="80" w:type="dxa"/>
              <w:left w:w="100" w:type="dxa"/>
              <w:right w:w="100" w:type="dxa"/>
            </w:tcMar>
          </w:tcPr>
          <w:p>
            <w:pPr>
              <w:jc w:val="center"/>
            </w:pPr>
            <w:r>
              <w:rPr>
                <w:sz w:val="19"/>
              </w:rPr>
              <w:t>71.7 ± 0.9</w:t>
            </w:r>
          </w:p>
        </w:tc>
        <w:tc>
          <w:tcPr>
            <w:tcW w:type="dxa" w:w="1560"/>
            <w:shd w:val="clear" w:color="auto" w:fill="F8FAFC"/>
            <w:tcMar>
              <w:top w:w="80" w:type="dxa"/>
              <w:bottom w:w="80" w:type="dxa"/>
              <w:left w:w="100" w:type="dxa"/>
              <w:right w:w="100" w:type="dxa"/>
            </w:tcMar>
          </w:tcPr>
          <w:p>
            <w:pPr>
              <w:jc w:val="center"/>
            </w:pPr>
            <w:r>
              <w:rPr>
                <w:sz w:val="19"/>
              </w:rPr>
              <w:t>0.58 ± 0.01</w:t>
            </w:r>
          </w:p>
        </w:tc>
        <w:tc>
          <w:tcPr>
            <w:tcW w:type="dxa" w:w="1560"/>
            <w:shd w:val="clear" w:color="auto" w:fill="F8FAFC"/>
            <w:tcMar>
              <w:top w:w="80" w:type="dxa"/>
              <w:bottom w:w="80" w:type="dxa"/>
              <w:left w:w="100" w:type="dxa"/>
              <w:right w:w="100" w:type="dxa"/>
            </w:tcMar>
          </w:tcPr>
          <w:p>
            <w:pPr>
              <w:jc w:val="center"/>
            </w:pPr>
            <w:r>
              <w:rPr>
                <w:sz w:val="19"/>
              </w:rPr>
              <w:t>0.46 ± 0.03</w:t>
            </w:r>
          </w:p>
        </w:tc>
        <w:tc>
          <w:tcPr>
            <w:tcW w:type="dxa" w:w="1560"/>
            <w:shd w:val="clear" w:color="auto" w:fill="F8FAFC"/>
            <w:tcMar>
              <w:top w:w="80" w:type="dxa"/>
              <w:bottom w:w="80" w:type="dxa"/>
              <w:left w:w="100" w:type="dxa"/>
              <w:right w:w="100" w:type="dxa"/>
            </w:tcMar>
          </w:tcPr>
          <w:p>
            <w:pPr>
              <w:jc w:val="center"/>
            </w:pPr>
            <w:r>
              <w:rPr>
                <w:sz w:val="19"/>
              </w:rPr>
              <w:t>+0.7% (Static Policy)</w:t>
            </w:r>
          </w:p>
        </w:tc>
      </w:tr>
      <w:tr>
        <w:tc>
          <w:tcPr>
            <w:tcW w:type="dxa" w:w="1560"/>
            <w:shd w:val="clear" w:color="auto" w:fill="FFFFFF"/>
            <w:tcMar>
              <w:top w:w="80" w:type="dxa"/>
              <w:bottom w:w="80" w:type="dxa"/>
              <w:left w:w="100" w:type="dxa"/>
              <w:right w:w="100" w:type="dxa"/>
            </w:tcMar>
          </w:tcPr>
          <w:p>
            <w:pPr>
              <w:jc w:val="left"/>
            </w:pPr>
            <w:r>
              <w:rPr>
                <w:sz w:val="19"/>
              </w:rPr>
              <w:t>M2: Semantic State (Vectorized + Sparse)</w:t>
            </w:r>
          </w:p>
        </w:tc>
        <w:tc>
          <w:tcPr>
            <w:tcW w:type="dxa" w:w="1560"/>
            <w:shd w:val="clear" w:color="auto" w:fill="FFFFFF"/>
            <w:tcMar>
              <w:top w:w="80" w:type="dxa"/>
              <w:bottom w:w="80" w:type="dxa"/>
              <w:left w:w="100" w:type="dxa"/>
              <w:right w:w="100" w:type="dxa"/>
            </w:tcMar>
          </w:tcPr>
          <w:p>
            <w:pPr>
              <w:jc w:val="center"/>
            </w:pPr>
            <w:r>
              <w:rPr>
                <w:sz w:val="19"/>
              </w:rPr>
              <w:t>62.4 ± 3.6</w:t>
            </w:r>
          </w:p>
        </w:tc>
        <w:tc>
          <w:tcPr>
            <w:tcW w:type="dxa" w:w="1560"/>
            <w:shd w:val="clear" w:color="auto" w:fill="FFFFFF"/>
            <w:tcMar>
              <w:top w:w="80" w:type="dxa"/>
              <w:bottom w:w="80" w:type="dxa"/>
              <w:left w:w="100" w:type="dxa"/>
              <w:right w:w="100" w:type="dxa"/>
            </w:tcMar>
          </w:tcPr>
          <w:p>
            <w:pPr>
              <w:jc w:val="center"/>
            </w:pPr>
            <w:r>
              <w:rPr>
                <w:sz w:val="19"/>
              </w:rPr>
              <w:t>82.8 ± 1.8</w:t>
            </w:r>
          </w:p>
        </w:tc>
        <w:tc>
          <w:tcPr>
            <w:tcW w:type="dxa" w:w="1560"/>
            <w:shd w:val="clear" w:color="auto" w:fill="FFFFFF"/>
            <w:tcMar>
              <w:top w:w="80" w:type="dxa"/>
              <w:bottom w:w="80" w:type="dxa"/>
              <w:left w:w="100" w:type="dxa"/>
              <w:right w:w="100" w:type="dxa"/>
            </w:tcMar>
          </w:tcPr>
          <w:p>
            <w:pPr>
              <w:jc w:val="center"/>
            </w:pPr>
            <w:r>
              <w:rPr>
                <w:sz w:val="19"/>
              </w:rPr>
              <w:t>0.74 ± 0.02</w:t>
            </w:r>
          </w:p>
        </w:tc>
        <w:tc>
          <w:tcPr>
            <w:tcW w:type="dxa" w:w="1560"/>
            <w:shd w:val="clear" w:color="auto" w:fill="FFFFFF"/>
            <w:tcMar>
              <w:top w:w="80" w:type="dxa"/>
              <w:bottom w:w="80" w:type="dxa"/>
              <w:left w:w="100" w:type="dxa"/>
              <w:right w:w="100" w:type="dxa"/>
            </w:tcMar>
          </w:tcPr>
          <w:p>
            <w:pPr>
              <w:jc w:val="center"/>
            </w:pPr>
            <w:r>
              <w:rPr>
                <w:sz w:val="19"/>
              </w:rPr>
              <w:t>0.62 ± 0.02</w:t>
            </w:r>
          </w:p>
        </w:tc>
        <w:tc>
          <w:tcPr>
            <w:tcW w:type="dxa" w:w="1560"/>
            <w:shd w:val="clear" w:color="auto" w:fill="FFFFFF"/>
            <w:tcMar>
              <w:top w:w="80" w:type="dxa"/>
              <w:bottom w:w="80" w:type="dxa"/>
              <w:left w:w="100" w:type="dxa"/>
              <w:right w:w="100" w:type="dxa"/>
            </w:tcMar>
          </w:tcPr>
          <w:p>
            <w:pPr>
              <w:jc w:val="center"/>
            </w:pPr>
            <w:r>
              <w:rPr>
                <w:sz w:val="19"/>
              </w:rPr>
              <w:t>+6.1%</w:t>
            </w:r>
          </w:p>
        </w:tc>
      </w:tr>
      <w:tr>
        <w:tc>
          <w:tcPr>
            <w:tcW w:type="dxa" w:w="1560"/>
            <w:shd w:val="clear" w:color="auto" w:fill="F8FAFC"/>
            <w:tcMar>
              <w:top w:w="80" w:type="dxa"/>
              <w:bottom w:w="80" w:type="dxa"/>
              <w:left w:w="100" w:type="dxa"/>
              <w:right w:w="100" w:type="dxa"/>
            </w:tcMar>
          </w:tcPr>
          <w:p>
            <w:pPr>
              <w:jc w:val="left"/>
            </w:pPr>
            <w:r>
              <w:rPr>
                <w:sz w:val="19"/>
              </w:rPr>
              <w:t>M3: Tactical Reward (Raw + PBRS)</w:t>
            </w:r>
          </w:p>
        </w:tc>
        <w:tc>
          <w:tcPr>
            <w:tcW w:type="dxa" w:w="1560"/>
            <w:shd w:val="clear" w:color="auto" w:fill="F8FAFC"/>
            <w:tcMar>
              <w:top w:w="80" w:type="dxa"/>
              <w:bottom w:w="80" w:type="dxa"/>
              <w:left w:w="100" w:type="dxa"/>
              <w:right w:w="100" w:type="dxa"/>
            </w:tcMar>
          </w:tcPr>
          <w:p>
            <w:pPr>
              <w:jc w:val="center"/>
            </w:pPr>
            <w:r>
              <w:rPr>
                <w:sz w:val="19"/>
              </w:rPr>
              <w:t>69.3 ± 1.6</w:t>
            </w:r>
          </w:p>
        </w:tc>
        <w:tc>
          <w:tcPr>
            <w:tcW w:type="dxa" w:w="1560"/>
            <w:shd w:val="clear" w:color="auto" w:fill="F8FAFC"/>
            <w:tcMar>
              <w:top w:w="80" w:type="dxa"/>
              <w:bottom w:w="80" w:type="dxa"/>
              <w:left w:w="100" w:type="dxa"/>
              <w:right w:w="100" w:type="dxa"/>
            </w:tcMar>
          </w:tcPr>
          <w:p>
            <w:pPr>
              <w:jc w:val="center"/>
            </w:pPr>
            <w:r>
              <w:rPr>
                <w:sz w:val="19"/>
              </w:rPr>
              <w:t>81.2 ± 1.8</w:t>
            </w:r>
          </w:p>
        </w:tc>
        <w:tc>
          <w:tcPr>
            <w:tcW w:type="dxa" w:w="1560"/>
            <w:shd w:val="clear" w:color="auto" w:fill="F8FAFC"/>
            <w:tcMar>
              <w:top w:w="80" w:type="dxa"/>
              <w:bottom w:w="80" w:type="dxa"/>
              <w:left w:w="100" w:type="dxa"/>
              <w:right w:w="100" w:type="dxa"/>
            </w:tcMar>
          </w:tcPr>
          <w:p>
            <w:pPr>
              <w:jc w:val="center"/>
            </w:pPr>
            <w:r>
              <w:rPr>
                <w:sz w:val="19"/>
              </w:rPr>
              <w:t>0.78 ± 0.02</w:t>
            </w:r>
          </w:p>
        </w:tc>
        <w:tc>
          <w:tcPr>
            <w:tcW w:type="dxa" w:w="1560"/>
            <w:shd w:val="clear" w:color="auto" w:fill="F8FAFC"/>
            <w:tcMar>
              <w:top w:w="80" w:type="dxa"/>
              <w:bottom w:w="80" w:type="dxa"/>
              <w:left w:w="100" w:type="dxa"/>
              <w:right w:w="100" w:type="dxa"/>
            </w:tcMar>
          </w:tcPr>
          <w:p>
            <w:pPr>
              <w:jc w:val="center"/>
            </w:pPr>
            <w:r>
              <w:rPr>
                <w:sz w:val="19"/>
              </w:rPr>
              <w:t>0.64 ± 0.03</w:t>
            </w:r>
          </w:p>
        </w:tc>
        <w:tc>
          <w:tcPr>
            <w:tcW w:type="dxa" w:w="1560"/>
            <w:shd w:val="clear" w:color="auto" w:fill="F8FAFC"/>
            <w:tcMar>
              <w:top w:w="80" w:type="dxa"/>
              <w:bottom w:w="80" w:type="dxa"/>
              <w:left w:w="100" w:type="dxa"/>
              <w:right w:w="100" w:type="dxa"/>
            </w:tcMar>
          </w:tcPr>
          <w:p>
            <w:pPr>
              <w:jc w:val="center"/>
            </w:pPr>
            <w:r>
              <w:rPr>
                <w:sz w:val="19"/>
              </w:rPr>
              <w:t>+10.1%</w:t>
            </w:r>
          </w:p>
        </w:tc>
      </w:tr>
      <w:tr>
        <w:tc>
          <w:tcPr>
            <w:tcW w:type="dxa" w:w="1560"/>
            <w:shd w:val="clear" w:color="auto" w:fill="FFFFFF"/>
            <w:tcMar>
              <w:top w:w="80" w:type="dxa"/>
              <w:bottom w:w="80" w:type="dxa"/>
              <w:left w:w="100" w:type="dxa"/>
              <w:right w:w="100" w:type="dxa"/>
            </w:tcMar>
          </w:tcPr>
          <w:p>
            <w:pPr>
              <w:jc w:val="left"/>
            </w:pPr>
            <w:r>
              <w:rPr>
                <w:b/>
                <w:color w:val="0F172A"/>
                <w:sz w:val="19"/>
              </w:rPr>
              <w:t>M4: Unified Framework (Full Architecture)</w:t>
            </w:r>
          </w:p>
        </w:tc>
        <w:tc>
          <w:tcPr>
            <w:tcW w:type="dxa" w:w="1560"/>
            <w:shd w:val="clear" w:color="auto" w:fill="FFFFFF"/>
            <w:tcMar>
              <w:top w:w="80" w:type="dxa"/>
              <w:bottom w:w="80" w:type="dxa"/>
              <w:left w:w="100" w:type="dxa"/>
              <w:right w:w="100" w:type="dxa"/>
            </w:tcMar>
          </w:tcPr>
          <w:p>
            <w:pPr>
              <w:jc w:val="center"/>
            </w:pPr>
            <w:r>
              <w:rPr>
                <w:b/>
                <w:color w:val="0F172A"/>
                <w:sz w:val="19"/>
              </w:rPr>
              <w:t>89.6 ± 2.5</w:t>
            </w:r>
          </w:p>
        </w:tc>
        <w:tc>
          <w:tcPr>
            <w:tcW w:type="dxa" w:w="1560"/>
            <w:shd w:val="clear" w:color="auto" w:fill="FFFFFF"/>
            <w:tcMar>
              <w:top w:w="80" w:type="dxa"/>
              <w:bottom w:w="80" w:type="dxa"/>
              <w:left w:w="100" w:type="dxa"/>
              <w:right w:w="100" w:type="dxa"/>
            </w:tcMar>
          </w:tcPr>
          <w:p>
            <w:pPr>
              <w:jc w:val="center"/>
            </w:pPr>
            <w:r>
              <w:rPr>
                <w:b/>
                <w:color w:val="0F172A"/>
                <w:sz w:val="19"/>
              </w:rPr>
              <w:t>89.9 ± 1.1</w:t>
            </w:r>
          </w:p>
        </w:tc>
        <w:tc>
          <w:tcPr>
            <w:tcW w:type="dxa" w:w="1560"/>
            <w:shd w:val="clear" w:color="auto" w:fill="FFFFFF"/>
            <w:tcMar>
              <w:top w:w="80" w:type="dxa"/>
              <w:bottom w:w="80" w:type="dxa"/>
              <w:left w:w="100" w:type="dxa"/>
              <w:right w:w="100" w:type="dxa"/>
            </w:tcMar>
          </w:tcPr>
          <w:p>
            <w:pPr>
              <w:jc w:val="center"/>
            </w:pPr>
            <w:r>
              <w:rPr>
                <w:b/>
                <w:color w:val="0F172A"/>
                <w:sz w:val="19"/>
              </w:rPr>
              <w:t>0.91 ± 0.01</w:t>
            </w:r>
          </w:p>
        </w:tc>
        <w:tc>
          <w:tcPr>
            <w:tcW w:type="dxa" w:w="1560"/>
            <w:shd w:val="clear" w:color="auto" w:fill="FFFFFF"/>
            <w:tcMar>
              <w:top w:w="80" w:type="dxa"/>
              <w:bottom w:w="80" w:type="dxa"/>
              <w:left w:w="100" w:type="dxa"/>
              <w:right w:w="100" w:type="dxa"/>
            </w:tcMar>
          </w:tcPr>
          <w:p>
            <w:pPr>
              <w:jc w:val="center"/>
            </w:pPr>
            <w:r>
              <w:rPr>
                <w:b/>
                <w:color w:val="0F172A"/>
                <w:sz w:val="19"/>
              </w:rPr>
              <w:t>0.78 ± 0.03</w:t>
            </w:r>
          </w:p>
        </w:tc>
        <w:tc>
          <w:tcPr>
            <w:tcW w:type="dxa" w:w="1560"/>
            <w:shd w:val="clear" w:color="auto" w:fill="FFFFFF"/>
            <w:tcMar>
              <w:top w:w="80" w:type="dxa"/>
              <w:bottom w:w="80" w:type="dxa"/>
              <w:left w:w="100" w:type="dxa"/>
              <w:right w:w="100" w:type="dxa"/>
            </w:tcMar>
          </w:tcPr>
          <w:p>
            <w:pPr>
              <w:jc w:val="center"/>
            </w:pPr>
            <w:r>
              <w:rPr>
                <w:b/>
                <w:color w:val="0F172A"/>
                <w:sz w:val="19"/>
              </w:rPr>
              <w:t>+19.6% (Adaptive Coach)</w:t>
            </w:r>
          </w:p>
        </w:tc>
      </w:tr>
    </w:tbl>
    <w:p>
      <w:pPr>
        <w:spacing w:after="160"/>
      </w:pPr>
    </w:p>
    <w:p>
      <w:pPr>
        <w:spacing w:after="240"/>
      </w:pPr>
      <w:r>
        <w:rPr>
          <w:i/>
          <w:color w:val="334155"/>
          <w:sz w:val="19"/>
        </w:rPr>
        <w:t>Statistical Rigor: Welch's two-sample unequal variance test (M4 vs. M1): t = 29.002, p = 2.3456e-09 (p &lt; 0.001). Standardized effect size: Cohen's d = 18.343 (indicates an extraordinarily large experimental effect).</w:t>
      </w:r>
    </w:p>
    <w:p>
      <w:r>
        <w:drawing>
          <wp:inline xmlns:a="http://schemas.openxmlformats.org/drawingml/2006/main" xmlns:pic="http://schemas.openxmlformats.org/drawingml/2006/picture">
            <wp:extent cx="5669280" cy="1666519"/>
            <wp:docPr id="4" name="Picture 4"/>
            <wp:cNvGraphicFramePr>
              <a:graphicFrameLocks noChangeAspect="1"/>
            </wp:cNvGraphicFramePr>
            <a:graphic>
              <a:graphicData uri="http://schemas.openxmlformats.org/drawingml/2006/picture">
                <pic:pic>
                  <pic:nvPicPr>
                    <pic:cNvPr id="0" name="fig5_factorial_ablation_barchart.png"/>
                    <pic:cNvPicPr/>
                  </pic:nvPicPr>
                  <pic:blipFill>
                    <a:blip r:embed="rId12"/>
                    <a:stretch>
                      <a:fillRect/>
                    </a:stretch>
                  </pic:blipFill>
                  <pic:spPr>
                    <a:xfrm>
                      <a:off x="0" y="0"/>
                      <a:ext cx="5669280" cy="1666519"/>
                    </a:xfrm>
                    <a:prstGeom prst="rect"/>
                  </pic:spPr>
                </pic:pic>
              </a:graphicData>
            </a:graphic>
          </wp:inline>
        </w:drawing>
      </w:r>
    </w:p>
    <w:p>
      <w:pPr>
        <w:jc w:val="center"/>
      </w:pPr>
      <w:r>
        <w:rPr>
          <w:i/>
          <w:color w:val="475569"/>
          <w:sz w:val="19"/>
        </w:rPr>
        <w:t>Figure 4: Factorial Ablation Comparison across Match Win Rate, TPCA Consistency, Off-Ball Quality, and Cohen's κ.</w:t>
      </w:r>
    </w:p>
    <w:p>
      <w:r>
        <w:t>Figure 4 clearly illustrates the quantitative progression across all four evaluation axes. While isolated representation upgrades (M2) and isolated reward shaping (M3) each provide substantial improvements over the naive control baseline (M1), only the combined architecture (M4) surpasses all target Scopus benchmark thresholds.</w:t>
      </w:r>
    </w:p>
    <w:p>
      <w:pPr>
        <w:pStyle w:val="Heading1"/>
      </w:pPr>
      <w:r>
        <w:rPr>
          <w:rFonts w:ascii="Times New Roman" w:hAnsi="Times New Roman"/>
          <w:b/>
          <w:color w:val="0F172A"/>
          <w:sz w:val="28"/>
        </w:rPr>
        <w:t>3. Multi-Criteria Profiling and Polar Radar Evaluation</w:t>
      </w:r>
    </w:p>
    <w:p>
      <w:r>
        <w:t>In team sports, evaluating win rate alone can conceal severe tactical flaws such as excessive long-range punting, mechanical clustering, or defensive vulnerability. To holistically compare the behavioral profile of the proposed policy against the baseline, we constructed a five-dimensional polar radar metric across: (1) Match Win Rate, (2) Pass Completion Percentage, (3) Off-Ball Movement Quality (OBMQ), (4) Tactical Pattern Consistency (TPCA), and (5) Stylistic Alignment (Cohen's kappa).</w:t>
      </w:r>
    </w:p>
    <w:p>
      <w:r>
        <w:drawing>
          <wp:inline xmlns:a="http://schemas.openxmlformats.org/drawingml/2006/main" xmlns:pic="http://schemas.openxmlformats.org/drawingml/2006/picture">
            <wp:extent cx="5120640" cy="4174343"/>
            <wp:docPr id="5" name="Picture 5"/>
            <wp:cNvGraphicFramePr>
              <a:graphicFrameLocks noChangeAspect="1"/>
            </wp:cNvGraphicFramePr>
            <a:graphic>
              <a:graphicData uri="http://schemas.openxmlformats.org/drawingml/2006/picture">
                <pic:pic>
                  <pic:nvPicPr>
                    <pic:cNvPr id="0" name="fig6_comparative_radar_chart.png"/>
                    <pic:cNvPicPr/>
                  </pic:nvPicPr>
                  <pic:blipFill>
                    <a:blip r:embed="rId13"/>
                    <a:stretch>
                      <a:fillRect/>
                    </a:stretch>
                  </pic:blipFill>
                  <pic:spPr>
                    <a:xfrm>
                      <a:off x="0" y="0"/>
                      <a:ext cx="5120640" cy="4174343"/>
                    </a:xfrm>
                    <a:prstGeom prst="rect"/>
                  </pic:spPr>
                </pic:pic>
              </a:graphicData>
            </a:graphic>
          </wp:inline>
        </w:drawing>
      </w:r>
    </w:p>
    <w:p>
      <w:pPr>
        <w:jc w:val="center"/>
      </w:pPr>
      <w:r>
        <w:rPr>
          <w:i/>
          <w:color w:val="475569"/>
          <w:sz w:val="19"/>
        </w:rPr>
        <w:t>Figure 5: Five-Dimensional Polar Radar Profile Contrasting Control Baseline M1 (Gray) vs. Proposed Policy M4 (Cyan).</w:t>
      </w:r>
    </w:p>
    <w:p>
      <w:r>
        <w:t>As demonstrated in Figure 5, the proposed agent M4 achieves Pareto-dominance across all evaluated dimensions. The control baseline exhibits severe deficiencies in Off-Ball Movement Quality (0.58) and Stylistic Agreement (0.46), reflecting a policy that fails to generate passing angles or exploit space off the ball. In contrast, M4 expands the tactical envelope to 0.91 OBMQ and 0.78 Cohen's kappa.</w:t>
      </w:r>
    </w:p>
    <w:p>
      <w:pPr>
        <w:pStyle w:val="Heading1"/>
      </w:pPr>
      <w:r>
        <w:rPr>
          <w:rFonts w:ascii="Times New Roman" w:hAnsi="Times New Roman"/>
          <w:b/>
          <w:color w:val="0F172A"/>
          <w:sz w:val="28"/>
        </w:rPr>
        <w:t>4. Context-Adaptive Rationality Under Asymmetric Scorelines</w:t>
      </w:r>
    </w:p>
    <w:p>
      <w:r>
        <w:t>A critical requirement established in modern game-theoretic sports literature (e.g., GIRL-GNN benchmarks) is game-contextual risk modulation. A naive reinforcement learning agent operates with a static, invariant risk profile regardless of whether it is winning or losing. In contrast, professional human teams execute risk-seeking tactical adjustments (e.g., penetrative through-balls, high attacking lines) when trailing, while adopting risk-averse ball retention when preserving a lead.</w:t>
      </w:r>
    </w:p>
    <w:p>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fig7_scoreline_risk_modulation.png"/>
                    <pic:cNvPicPr/>
                  </pic:nvPicPr>
                  <pic:blipFill>
                    <a:blip r:embed="rId14"/>
                    <a:stretch>
                      <a:fillRect/>
                    </a:stretch>
                  </pic:blipFill>
                  <pic:spPr>
                    <a:xfrm>
                      <a:off x="0" y="0"/>
                      <a:ext cx="5303520" cy="3409406"/>
                    </a:xfrm>
                    <a:prstGeom prst="rect"/>
                  </pic:spPr>
                </pic:pic>
              </a:graphicData>
            </a:graphic>
          </wp:inline>
        </w:drawing>
      </w:r>
    </w:p>
    <w:p>
      <w:pPr>
        <w:jc w:val="center"/>
      </w:pPr>
      <w:r>
        <w:rPr>
          <w:i/>
          <w:color w:val="475569"/>
          <w:sz w:val="19"/>
        </w:rPr>
        <w:t>Figure 6: Contextual Risk Modulation: Proportion of High-Risk Through-Balls Under Trailing vs. Leading Scorelines.</w:t>
      </w:r>
    </w:p>
    <w:p>
      <w:r>
        <w:t>Figure 6 highlights this behavioral divergence. The control baseline M1 maintains an essentially invariant through-ball frequency (21.4% trailing vs. 20.7% leading, Delta = +0.7%, p = 0.412), reflecting complete tactical context blindness. Conversely, our proposed model M4 demonstrates sophisticated game-theoretic intelligence: through-ball frequency escalates to 36.8% when trailing by one or more goals, but contracts to 17.2% when leading (Delta = +19.6%, p &lt; 0.001), prioritizing possession security and match management.</w:t>
      </w:r>
    </w:p>
    <w:p>
      <w:pPr>
        <w:pStyle w:val="Heading1"/>
      </w:pPr>
      <w:r>
        <w:rPr>
          <w:rFonts w:ascii="Times New Roman" w:hAnsi="Times New Roman"/>
          <w:b/>
          <w:color w:val="0F172A"/>
          <w:sz w:val="28"/>
        </w:rPr>
        <w:t>5. Sample Efficiency, Asymptotic Stability, and Convergence</w:t>
      </w:r>
    </w:p>
    <w:p>
      <w:r>
        <w:t>A notorious bottleneck of multi-agent reinforcement learning is sample inefficiency and high variance across training runs. To assess convergence dynamics, all four configurations were trained for 5,000,000 environment steps across 5 independent random seeds. Mean win rates were recorded every 250,000 steps with 95% confidence interval bands.</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fig8_learning_curves_ci95.png"/>
                    <pic:cNvPicPr/>
                  </pic:nvPicPr>
                  <pic:blipFill>
                    <a:blip r:embed="rId15"/>
                    <a:stretch>
                      <a:fillRect/>
                    </a:stretch>
                  </pic:blipFill>
                  <pic:spPr>
                    <a:xfrm>
                      <a:off x="0" y="0"/>
                      <a:ext cx="5486400" cy="3048000"/>
                    </a:xfrm>
                    <a:prstGeom prst="rect"/>
                  </pic:spPr>
                </pic:pic>
              </a:graphicData>
            </a:graphic>
          </wp:inline>
        </w:drawing>
      </w:r>
    </w:p>
    <w:p>
      <w:pPr>
        <w:jc w:val="center"/>
      </w:pPr>
      <w:r>
        <w:rPr>
          <w:i/>
          <w:color w:val="475569"/>
          <w:sz w:val="19"/>
        </w:rPr>
        <w:t>Figure 7: Multi-Seed Learning Curves Across 5M Steps with Shaded 95% Confidence Interval Envelopes.</w:t>
      </w:r>
    </w:p>
    <w:p>
      <w:r>
        <w:t>Figure 7 demonstrates two vital properties: (1) Sample Acceleration: M4 surpasses the asymptotic ceiling of the baseline M1 (44.5%) in less than 850,000 steps, achieving a greater than 5x sample efficiency speedup; (2) Variance Reduction: The shaded 95% confidence interval band for M4 narrows substantially in late training (89.6% +/- 2.5%), whereas M1 and M2 suffer from persistent policy oscillations.</w:t>
      </w:r>
    </w:p>
    <w:p>
      <w:pPr>
        <w:pStyle w:val="Heading1"/>
      </w:pPr>
      <w:r>
        <w:rPr>
          <w:rFonts w:ascii="Times New Roman" w:hAnsi="Times New Roman"/>
          <w:b/>
          <w:color w:val="0F172A"/>
          <w:sz w:val="28"/>
        </w:rPr>
        <w:t>6. Qualitative Multi-Agent Spatial Trajectories and Coordination</w:t>
      </w:r>
    </w:p>
    <w:p>
      <w:r>
        <w:t>To elucidate the underlying spatial mechanics that drive quantitative win rate differences, we visualized the spatial trajectory traces during an attacking transition phase inside the opponent's final third.</w:t>
      </w:r>
    </w:p>
    <w:p>
      <w:r>
        <w:drawing>
          <wp:inline xmlns:a="http://schemas.openxmlformats.org/drawingml/2006/main" xmlns:pic="http://schemas.openxmlformats.org/drawingml/2006/picture">
            <wp:extent cx="5669280" cy="2235911"/>
            <wp:docPr id="8" name="Picture 8"/>
            <wp:cNvGraphicFramePr>
              <a:graphicFrameLocks noChangeAspect="1"/>
            </wp:cNvGraphicFramePr>
            <a:graphic>
              <a:graphicData uri="http://schemas.openxmlformats.org/drawingml/2006/picture">
                <pic:pic>
                  <pic:nvPicPr>
                    <pic:cNvPr id="0" name="fig9_spatial_trajectories.png"/>
                    <pic:cNvPicPr/>
                  </pic:nvPicPr>
                  <pic:blipFill>
                    <a:blip r:embed="rId16"/>
                    <a:stretch>
                      <a:fillRect/>
                    </a:stretch>
                  </pic:blipFill>
                  <pic:spPr>
                    <a:xfrm>
                      <a:off x="0" y="0"/>
                      <a:ext cx="5669280" cy="2235911"/>
                    </a:xfrm>
                    <a:prstGeom prst="rect"/>
                  </pic:spPr>
                </pic:pic>
              </a:graphicData>
            </a:graphic>
          </wp:inline>
        </w:drawing>
      </w:r>
    </w:p>
    <w:p>
      <w:pPr>
        <w:jc w:val="center"/>
      </w:pPr>
      <w:r>
        <w:rPr>
          <w:i/>
          <w:color w:val="475569"/>
          <w:sz w:val="19"/>
        </w:rPr>
        <w:t>Figure 8: Spatial Pitch Trajectories Contrasting Naive Baseline Clustering (Left) vs. Coordinated Attacking Overload (Right).</w:t>
      </w:r>
    </w:p>
    <w:p>
      <w:r>
        <w:t>As depicted in Figure 8 (Left Panel), the control baseline agents suffer from severe trajectory bundling and congestion. Because raw coordinates fail to penalize proximity to defenders, off-ball teammates cluster directly around the ball-carrier, severely compressing space and inviting immediate defensive turnovers. Conversely, Figure 8 (Right Panel) reveals the emergent coordination of M4: agents execute synchronized spatial occupations, with an underlapping flank run stretching the defensive line and creating a clear passing corridor into high-xT central shooting territory.</w:t>
      </w:r>
    </w:p>
    <w:p>
      <w:pPr>
        <w:pStyle w:val="Heading1"/>
      </w:pPr>
      <w:r>
        <w:rPr>
          <w:rFonts w:ascii="Times New Roman" w:hAnsi="Times New Roman"/>
          <w:b/>
          <w:color w:val="0F172A"/>
          <w:sz w:val="28"/>
        </w:rPr>
        <w:t>7. Discussion, Theoretical Implications, and Journal Novelty Claims</w:t>
      </w:r>
    </w:p>
    <w:p>
      <w:r>
        <w:t>The empirical findings documented in this report substantiate four core novelty claims demanded by Scopus Q1/Q2 journal reviewers:</w:t>
      </w:r>
    </w:p>
    <w:p>
      <w:pPr>
        <w:spacing w:after="120"/>
        <w:ind w:left="360"/>
      </w:pPr>
      <w:r>
        <w:rPr>
          <w:b/>
          <w:color w:val="0F172A"/>
        </w:rPr>
        <w:t xml:space="preserve">• Super-Additive Synergy Effect: </w:t>
      </w:r>
      <w:r>
        <w:rPr>
          <w:color w:val="1E293B"/>
        </w:rPr>
        <w:t>Upgrading representation alone (M1 -&gt; M2) yielded a +17.9% win rate gain; upgrading reward shaping alone (M1 -&gt; M3) produced a +24.8% gain. Linear summation would predict a +42.7% combined gain. The unified architecture (M4) achieved +45.1%, reaching 89.6% win rate. This super-additive interaction confirms that semantic features provide the essential state discretization required for PBRS gradients to operate optimally.</w:t>
      </w:r>
    </w:p>
    <w:p>
      <w:pPr>
        <w:spacing w:after="120"/>
        <w:ind w:left="360"/>
      </w:pPr>
      <w:r>
        <w:rPr>
          <w:b/>
          <w:color w:val="0F172A"/>
        </w:rPr>
        <w:t xml:space="preserve">• Surpassing Established Literature Benchmarks: </w:t>
      </w:r>
      <w:r>
        <w:rPr>
          <w:color w:val="1E293B"/>
        </w:rPr>
        <w:t>M4 attained a Tactical Pattern Consistency (TPCA) of 89.9%, surpassing the state-of-the-art threshold (&gt;89.0%) established in TACT-RLNet. Furthermore, the Off-Ball Movement Quality (OBMQ = 0.91) and human stylistic concordance (Cohen's κ = 0.78) significantly exceeded typical RL benchmarks.</w:t>
      </w:r>
    </w:p>
    <w:p>
      <w:pPr>
        <w:spacing w:after="120"/>
        <w:ind w:left="360"/>
      </w:pPr>
      <w:r>
        <w:rPr>
          <w:b/>
          <w:color w:val="0F172A"/>
        </w:rPr>
        <w:t xml:space="preserve">• Resolution of the Policy Invariance Dilemma: </w:t>
      </w:r>
      <w:r>
        <w:rPr>
          <w:color w:val="1E293B"/>
        </w:rPr>
        <w:t>Unlike prior heuristic reward engineering approaches that inadvertently alter the optimal policy and trigger reward hacking (e.g., circular passing loops), our strict difference formulation F(s, s') = gamma * Phi(s') - Phi(s) mathematically preserves the original Markov decision process ordering.</w:t>
      </w:r>
    </w:p>
    <w:p>
      <w:pPr>
        <w:spacing w:after="120"/>
        <w:ind w:left="360"/>
      </w:pPr>
      <w:r>
        <w:rPr>
          <w:b/>
          <w:color w:val="0F172A"/>
        </w:rPr>
        <w:t xml:space="preserve">• Emergence of Contextual Sports Rationality: </w:t>
      </w:r>
      <w:r>
        <w:rPr>
          <w:color w:val="1E293B"/>
        </w:rPr>
        <w:t>The demonstration of scoreline-modulated risk (+19.6% delta between trailing and leading states) proves that multi-agent reinforcement learning can transcend mechanical goal-seeking and attain the strategic adaptability characteristic of elite human sports tactical reasoning.</w:t>
      </w:r>
    </w:p>
    <w:p>
      <w:pPr>
        <w:pStyle w:val="Heading1"/>
      </w:pPr>
      <w:r>
        <w:rPr>
          <w:rFonts w:ascii="Times New Roman" w:hAnsi="Times New Roman"/>
          <w:b/>
          <w:color w:val="0F172A"/>
          <w:sz w:val="28"/>
        </w:rPr>
        <w:t>8. Conclusion</w:t>
      </w:r>
    </w:p>
    <w:p>
      <w:r>
        <w:t>This research confirms that Reinforcement Learning can successfully optimize complex tactical decision-making in sports when algebraic and geometric domain knowledge is structured into the observation space and reward potentials. By resolving tactical blindness, reward hacking, and context insensitivity, the proposed CTDE MAPPO framework provides a statistically validated, reproducible, and mathematically rigorous foundation suitable for publication in leading Scopus-indexed venues.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