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7353C" w:rsidRDefault="00FC37F2">
      <w:pPr>
        <w:jc w:val="center"/>
        <w:rPr>
          <w:rFonts w:ascii="Times New Roman" w:eastAsia="Times New Roman" w:hAnsi="Times New Roman" w:cs="Times New Roman"/>
          <w:u w:val="single"/>
        </w:rPr>
      </w:pPr>
      <w:r>
        <w:rPr>
          <w:rFonts w:ascii="Times New Roman" w:eastAsia="Times New Roman" w:hAnsi="Times New Roman" w:cs="Times New Roman"/>
          <w:u w:val="single"/>
        </w:rPr>
        <w:t>References and Related Work for</w:t>
      </w:r>
      <w:r>
        <w:rPr>
          <w:rFonts w:ascii="Times New Roman" w:eastAsia="Times New Roman" w:hAnsi="Times New Roman" w:cs="Times New Roman"/>
          <w:b/>
          <w:u w:val="single"/>
        </w:rPr>
        <w:t xml:space="preserve"> NLP </w:t>
      </w:r>
      <w:r>
        <w:rPr>
          <w:rFonts w:ascii="Times New Roman" w:eastAsia="Times New Roman" w:hAnsi="Times New Roman" w:cs="Times New Roman"/>
          <w:u w:val="single"/>
        </w:rPr>
        <w:t>Components</w:t>
      </w:r>
    </w:p>
    <w:p w14:paraId="00000002" w14:textId="77777777" w:rsidR="0027353C" w:rsidRDefault="0027353C">
      <w:pPr>
        <w:rPr>
          <w:rFonts w:ascii="Times New Roman" w:eastAsia="Times New Roman" w:hAnsi="Times New Roman" w:cs="Times New Roman"/>
        </w:rPr>
      </w:pPr>
    </w:p>
    <w:p w14:paraId="00000003" w14:textId="77777777" w:rsidR="0027353C" w:rsidRDefault="00FC37F2">
      <w:pPr>
        <w:rPr>
          <w:rFonts w:ascii="Times New Roman" w:eastAsia="Times New Roman" w:hAnsi="Times New Roman" w:cs="Times New Roman"/>
        </w:rPr>
      </w:pPr>
      <w:r>
        <w:rPr>
          <w:rFonts w:ascii="Times New Roman" w:eastAsia="Times New Roman" w:hAnsi="Times New Roman" w:cs="Times New Roman"/>
          <w:b/>
        </w:rPr>
        <w:t xml:space="preserve">I) </w:t>
      </w:r>
      <w:r>
        <w:rPr>
          <w:rFonts w:ascii="Times New Roman" w:eastAsia="Times New Roman" w:hAnsi="Times New Roman" w:cs="Times New Roman"/>
        </w:rPr>
        <w:t xml:space="preserve">         </w:t>
      </w:r>
      <w:proofErr w:type="spellStart"/>
      <w:r>
        <w:rPr>
          <w:rFonts w:ascii="Times New Roman" w:eastAsia="Times New Roman" w:hAnsi="Times New Roman" w:cs="Times New Roman"/>
        </w:rPr>
        <w:t>Pasupat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Panupong</w:t>
      </w:r>
      <w:proofErr w:type="spellEnd"/>
      <w:r>
        <w:rPr>
          <w:rFonts w:ascii="Times New Roman" w:eastAsia="Times New Roman" w:hAnsi="Times New Roman" w:cs="Times New Roman"/>
        </w:rPr>
        <w:t>, and Percy Liang. “Compositional Semantic Parsing on Semi-</w:t>
      </w:r>
    </w:p>
    <w:p w14:paraId="00000004" w14:textId="77777777" w:rsidR="0027353C" w:rsidRDefault="00FC37F2">
      <w:pPr>
        <w:rPr>
          <w:rFonts w:ascii="Times New Roman" w:eastAsia="Times New Roman" w:hAnsi="Times New Roman" w:cs="Times New Roman"/>
        </w:rPr>
      </w:pPr>
      <w:r>
        <w:rPr>
          <w:rFonts w:ascii="Times New Roman" w:eastAsia="Times New Roman" w:hAnsi="Times New Roman" w:cs="Times New Roman"/>
        </w:rPr>
        <w:t xml:space="preserve">Structured Tables.” In </w:t>
      </w:r>
      <w:r>
        <w:rPr>
          <w:rFonts w:ascii="Times New Roman" w:eastAsia="Times New Roman" w:hAnsi="Times New Roman" w:cs="Times New Roman"/>
          <w:i/>
        </w:rPr>
        <w:t>Proceedings of the 53rd Annual Meeting of the Association for Computational Linguistics and the 7th International Joint Conference on Natural Language Processing (Volume 1: Long Papers)</w:t>
      </w:r>
      <w:r>
        <w:rPr>
          <w:rFonts w:ascii="Times New Roman" w:eastAsia="Times New Roman" w:hAnsi="Times New Roman" w:cs="Times New Roman"/>
        </w:rPr>
        <w:t>, 1470–1480. Beijing, China: Association for Computational Linguistics,</w:t>
      </w:r>
      <w:r>
        <w:rPr>
          <w:rFonts w:ascii="Times New Roman" w:eastAsia="Times New Roman" w:hAnsi="Times New Roman" w:cs="Times New Roman"/>
        </w:rPr>
        <w:t xml:space="preserve"> 2015.</w:t>
      </w:r>
      <w:hyperlink r:id="rId4">
        <w:r>
          <w:rPr>
            <w:rFonts w:ascii="Times New Roman" w:eastAsia="Times New Roman" w:hAnsi="Times New Roman" w:cs="Times New Roman"/>
          </w:rPr>
          <w:t xml:space="preserve"> </w:t>
        </w:r>
      </w:hyperlink>
      <w:hyperlink r:id="rId5">
        <w:r>
          <w:rPr>
            <w:rFonts w:ascii="Times New Roman" w:eastAsia="Times New Roman" w:hAnsi="Times New Roman" w:cs="Times New Roman"/>
            <w:color w:val="1155CC"/>
            <w:u w:val="single"/>
          </w:rPr>
          <w:t>https://doi.org/10.3115/v1/P15-1142</w:t>
        </w:r>
      </w:hyperlink>
      <w:r>
        <w:rPr>
          <w:rFonts w:ascii="Times New Roman" w:eastAsia="Times New Roman" w:hAnsi="Times New Roman" w:cs="Times New Roman"/>
        </w:rPr>
        <w:t>.</w:t>
      </w:r>
    </w:p>
    <w:p w14:paraId="00000005" w14:textId="77777777" w:rsidR="0027353C" w:rsidRDefault="0027353C">
      <w:pPr>
        <w:rPr>
          <w:rFonts w:ascii="Times New Roman" w:eastAsia="Times New Roman" w:hAnsi="Times New Roman" w:cs="Times New Roman"/>
        </w:rPr>
      </w:pPr>
      <w:bookmarkStart w:id="0" w:name="_GoBack"/>
      <w:bookmarkEnd w:id="0"/>
    </w:p>
    <w:p w14:paraId="00000006" w14:textId="77777777" w:rsidR="0027353C" w:rsidRDefault="00FC37F2">
      <w:pPr>
        <w:rPr>
          <w:rFonts w:ascii="Times New Roman" w:eastAsia="Times New Roman" w:hAnsi="Times New Roman" w:cs="Times New Roman"/>
          <w:i/>
        </w:rPr>
      </w:pPr>
      <w:r>
        <w:rPr>
          <w:rFonts w:ascii="Times New Roman" w:eastAsia="Times New Roman" w:hAnsi="Times New Roman" w:cs="Times New Roman"/>
        </w:rPr>
        <w:t xml:space="preserve"> </w:t>
      </w:r>
      <w:proofErr w:type="spellStart"/>
      <w:r>
        <w:rPr>
          <w:rFonts w:ascii="Times New Roman" w:eastAsia="Times New Roman" w:hAnsi="Times New Roman" w:cs="Times New Roman"/>
          <w:i/>
        </w:rPr>
        <w:t>Pasupat</w:t>
      </w:r>
      <w:proofErr w:type="spellEnd"/>
      <w:r>
        <w:rPr>
          <w:rFonts w:ascii="Times New Roman" w:eastAsia="Times New Roman" w:hAnsi="Times New Roman" w:cs="Times New Roman"/>
          <w:i/>
        </w:rPr>
        <w:t xml:space="preserve"> and Liang of Stanford discuss methodology for algorithmic processing of natural</w:t>
      </w:r>
    </w:p>
    <w:p w14:paraId="00000007" w14:textId="77777777" w:rsidR="0027353C" w:rsidRDefault="00FC37F2">
      <w:pPr>
        <w:rPr>
          <w:rFonts w:ascii="Times New Roman" w:eastAsia="Times New Roman" w:hAnsi="Times New Roman" w:cs="Times New Roman"/>
        </w:rPr>
      </w:pPr>
      <w:r>
        <w:rPr>
          <w:rFonts w:ascii="Times New Roman" w:eastAsia="Times New Roman" w:hAnsi="Times New Roman" w:cs="Times New Roman"/>
          <w:i/>
        </w:rPr>
        <w:t xml:space="preserve">language in </w:t>
      </w:r>
      <w:r>
        <w:rPr>
          <w:rFonts w:ascii="Times New Roman" w:eastAsia="Times New Roman" w:hAnsi="Times New Roman" w:cs="Times New Roman"/>
          <w:i/>
        </w:rPr>
        <w:t>dataset analysis. They suggest “knowledge graphs” that bind and process logical forms of queries. The authors use and provide a “Wiki Table Questions” for model training and outline floating parsing algorithms and pruning choices for a set of problems very</w:t>
      </w:r>
      <w:r>
        <w:rPr>
          <w:rFonts w:ascii="Times New Roman" w:eastAsia="Times New Roman" w:hAnsi="Times New Roman" w:cs="Times New Roman"/>
          <w:i/>
        </w:rPr>
        <w:t xml:space="preserve"> similar to ours.</w:t>
      </w:r>
      <w:r>
        <w:rPr>
          <w:rFonts w:ascii="Times New Roman" w:eastAsia="Times New Roman" w:hAnsi="Times New Roman" w:cs="Times New Roman"/>
        </w:rPr>
        <w:t xml:space="preserve"> </w:t>
      </w:r>
    </w:p>
    <w:p w14:paraId="00000008" w14:textId="77777777" w:rsidR="0027353C" w:rsidRDefault="00FC37F2">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00000009" w14:textId="77777777" w:rsidR="0027353C" w:rsidRDefault="0027353C">
      <w:pPr>
        <w:ind w:left="720"/>
        <w:rPr>
          <w:rFonts w:ascii="Times New Roman" w:eastAsia="Times New Roman" w:hAnsi="Times New Roman" w:cs="Times New Roman"/>
        </w:rPr>
      </w:pPr>
    </w:p>
    <w:p w14:paraId="0000000A" w14:textId="77777777" w:rsidR="0027353C" w:rsidRDefault="00FC37F2">
      <w:pPr>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Vakulenko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Svitlana</w:t>
      </w:r>
      <w:proofErr w:type="spellEnd"/>
      <w:r>
        <w:rPr>
          <w:rFonts w:ascii="Times New Roman" w:eastAsia="Times New Roman" w:hAnsi="Times New Roman" w:cs="Times New Roman"/>
        </w:rPr>
        <w:t xml:space="preserve">, and Vadim </w:t>
      </w:r>
      <w:proofErr w:type="spellStart"/>
      <w:r>
        <w:rPr>
          <w:rFonts w:ascii="Times New Roman" w:eastAsia="Times New Roman" w:hAnsi="Times New Roman" w:cs="Times New Roman"/>
        </w:rPr>
        <w:t>Savenkov</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TableQA</w:t>
      </w:r>
      <w:proofErr w:type="spellEnd"/>
      <w:r>
        <w:rPr>
          <w:rFonts w:ascii="Times New Roman" w:eastAsia="Times New Roman" w:hAnsi="Times New Roman" w:cs="Times New Roman"/>
        </w:rPr>
        <w:t>: Question Answering on</w:t>
      </w:r>
    </w:p>
    <w:p w14:paraId="0000000B" w14:textId="77777777" w:rsidR="0027353C" w:rsidRDefault="00FC37F2">
      <w:pPr>
        <w:rPr>
          <w:rFonts w:ascii="Times New Roman" w:eastAsia="Times New Roman" w:hAnsi="Times New Roman" w:cs="Times New Roman"/>
        </w:rPr>
      </w:pPr>
      <w:r>
        <w:rPr>
          <w:rFonts w:ascii="Times New Roman" w:eastAsia="Times New Roman" w:hAnsi="Times New Roman" w:cs="Times New Roman"/>
        </w:rPr>
        <w:t xml:space="preserve">Tabular Data.” </w:t>
      </w:r>
      <w:r>
        <w:rPr>
          <w:rFonts w:ascii="Times New Roman" w:eastAsia="Times New Roman" w:hAnsi="Times New Roman" w:cs="Times New Roman"/>
          <w:i/>
        </w:rPr>
        <w:t>ArXiv:1705.06504 [Cs]</w:t>
      </w:r>
      <w:r>
        <w:rPr>
          <w:rFonts w:ascii="Times New Roman" w:eastAsia="Times New Roman" w:hAnsi="Times New Roman" w:cs="Times New Roman"/>
        </w:rPr>
        <w:t>, August 30, 2017.</w:t>
      </w:r>
      <w:hyperlink r:id="rId6">
        <w:r>
          <w:rPr>
            <w:rFonts w:ascii="Times New Roman" w:eastAsia="Times New Roman" w:hAnsi="Times New Roman" w:cs="Times New Roman"/>
          </w:rPr>
          <w:t xml:space="preserve"> </w:t>
        </w:r>
      </w:hyperlink>
      <w:hyperlink r:id="rId7">
        <w:r>
          <w:rPr>
            <w:rFonts w:ascii="Times New Roman" w:eastAsia="Times New Roman" w:hAnsi="Times New Roman" w:cs="Times New Roman"/>
            <w:color w:val="1155CC"/>
            <w:u w:val="single"/>
          </w:rPr>
          <w:t>http://arxiv.org/abs/1705.06504</w:t>
        </w:r>
      </w:hyperlink>
      <w:r>
        <w:rPr>
          <w:rFonts w:ascii="Times New Roman" w:eastAsia="Times New Roman" w:hAnsi="Times New Roman" w:cs="Times New Roman"/>
        </w:rPr>
        <w:t xml:space="preserve">. </w:t>
      </w:r>
      <w:r>
        <w:rPr>
          <w:rFonts w:ascii="Times New Roman" w:eastAsia="Times New Roman" w:hAnsi="Times New Roman" w:cs="Times New Roman"/>
          <w:i/>
        </w:rPr>
        <w:t>Vienna University of Economics and Business.</w:t>
      </w:r>
      <w:r>
        <w:rPr>
          <w:rFonts w:ascii="Times New Roman" w:eastAsia="Times New Roman" w:hAnsi="Times New Roman" w:cs="Times New Roman"/>
        </w:rPr>
        <w:t xml:space="preserve"> Accessed November 26, 2019.</w:t>
      </w:r>
      <w:hyperlink r:id="rId8">
        <w:r>
          <w:rPr>
            <w:rFonts w:ascii="Times New Roman" w:eastAsia="Times New Roman" w:hAnsi="Times New Roman" w:cs="Times New Roman"/>
          </w:rPr>
          <w:t xml:space="preserve"> </w:t>
        </w:r>
      </w:hyperlink>
      <w:hyperlink r:id="rId9">
        <w:r>
          <w:rPr>
            <w:rFonts w:ascii="Times New Roman" w:eastAsia="Times New Roman" w:hAnsi="Times New Roman" w:cs="Times New Roman"/>
            <w:color w:val="1155CC"/>
            <w:u w:val="single"/>
          </w:rPr>
          <w:t>http://ceur-ws.org</w:t>
        </w:r>
        <w:r>
          <w:rPr>
            <w:rFonts w:ascii="Times New Roman" w:eastAsia="Times New Roman" w:hAnsi="Times New Roman" w:cs="Times New Roman"/>
            <w:color w:val="1155CC"/>
            <w:u w:val="single"/>
          </w:rPr>
          <w:t>/Vol-2044/paper1/paper1.html</w:t>
        </w:r>
      </w:hyperlink>
      <w:r>
        <w:rPr>
          <w:rFonts w:ascii="Times New Roman" w:eastAsia="Times New Roman" w:hAnsi="Times New Roman" w:cs="Times New Roman"/>
        </w:rPr>
        <w:t>.</w:t>
      </w:r>
    </w:p>
    <w:p w14:paraId="0000000C" w14:textId="77777777" w:rsidR="0027353C" w:rsidRDefault="00FC37F2">
      <w:pPr>
        <w:rPr>
          <w:rFonts w:ascii="Times New Roman" w:eastAsia="Times New Roman" w:hAnsi="Times New Roman" w:cs="Times New Roman"/>
        </w:rPr>
      </w:pPr>
      <w:r>
        <w:rPr>
          <w:rFonts w:ascii="Times New Roman" w:eastAsia="Times New Roman" w:hAnsi="Times New Roman" w:cs="Times New Roman"/>
        </w:rPr>
        <w:t xml:space="preserve"> </w:t>
      </w:r>
    </w:p>
    <w:p w14:paraId="0000000D" w14:textId="77777777" w:rsidR="0027353C" w:rsidRDefault="00FC37F2">
      <w:pPr>
        <w:rPr>
          <w:rFonts w:ascii="Times New Roman" w:eastAsia="Times New Roman" w:hAnsi="Times New Roman" w:cs="Times New Roman"/>
          <w:i/>
        </w:rPr>
      </w:pPr>
      <w:proofErr w:type="spellStart"/>
      <w:r>
        <w:rPr>
          <w:rFonts w:ascii="Times New Roman" w:eastAsia="Times New Roman" w:hAnsi="Times New Roman" w:cs="Times New Roman"/>
          <w:i/>
        </w:rPr>
        <w:t>Vakulenko</w:t>
      </w:r>
      <w:proofErr w:type="spellEnd"/>
      <w:r>
        <w:rPr>
          <w:rFonts w:ascii="Times New Roman" w:eastAsia="Times New Roman" w:hAnsi="Times New Roman" w:cs="Times New Roman"/>
          <w:i/>
        </w:rPr>
        <w:t xml:space="preserve"> and </w:t>
      </w:r>
      <w:proofErr w:type="spellStart"/>
      <w:r>
        <w:rPr>
          <w:rFonts w:ascii="Times New Roman" w:eastAsia="Times New Roman" w:hAnsi="Times New Roman" w:cs="Times New Roman"/>
          <w:i/>
        </w:rPr>
        <w:t>Savenkov</w:t>
      </w:r>
      <w:proofErr w:type="spellEnd"/>
      <w:r>
        <w:rPr>
          <w:rFonts w:ascii="Times New Roman" w:eastAsia="Times New Roman" w:hAnsi="Times New Roman" w:cs="Times New Roman"/>
          <w:i/>
        </w:rPr>
        <w:t xml:space="preserve"> examine a similar set of problems – still related to processing natural language queries in dataset analysis situations. They write about deep learning and neural network approaches, using end-to-end memory networks architecture.</w:t>
      </w:r>
    </w:p>
    <w:p w14:paraId="0000000E" w14:textId="77777777" w:rsidR="0027353C" w:rsidRDefault="00FC37F2">
      <w:pPr>
        <w:rPr>
          <w:rFonts w:ascii="Times New Roman" w:eastAsia="Times New Roman" w:hAnsi="Times New Roman" w:cs="Times New Roman"/>
        </w:rPr>
      </w:pPr>
      <w:r>
        <w:rPr>
          <w:rFonts w:ascii="Times New Roman" w:eastAsia="Times New Roman" w:hAnsi="Times New Roman" w:cs="Times New Roman"/>
        </w:rPr>
        <w:t xml:space="preserve"> </w:t>
      </w:r>
    </w:p>
    <w:p w14:paraId="0000000F" w14:textId="77777777" w:rsidR="0027353C" w:rsidRDefault="00FC37F2">
      <w:pPr>
        <w:rPr>
          <w:rFonts w:ascii="Times New Roman" w:eastAsia="Times New Roman" w:hAnsi="Times New Roman" w:cs="Times New Roman"/>
        </w:rPr>
      </w:pPr>
      <w:r>
        <w:rPr>
          <w:rFonts w:ascii="Times New Roman" w:eastAsia="Times New Roman" w:hAnsi="Times New Roman" w:cs="Times New Roman"/>
        </w:rPr>
        <w:t xml:space="preserve"> </w:t>
      </w:r>
    </w:p>
    <w:p w14:paraId="00000010" w14:textId="77777777" w:rsidR="0027353C" w:rsidRDefault="00FC37F2">
      <w:pPr>
        <w:rPr>
          <w:rFonts w:ascii="Times New Roman" w:eastAsia="Times New Roman" w:hAnsi="Times New Roman" w:cs="Times New Roman"/>
        </w:rPr>
      </w:pPr>
      <w:r>
        <w:rPr>
          <w:rFonts w:ascii="Times New Roman" w:eastAsia="Times New Roman" w:hAnsi="Times New Roman" w:cs="Times New Roman"/>
          <w:b/>
        </w:rPr>
        <w:t xml:space="preserve">III) </w:t>
      </w:r>
      <w:r>
        <w:rPr>
          <w:rFonts w:ascii="Times New Roman" w:eastAsia="Times New Roman" w:hAnsi="Times New Roman" w:cs="Times New Roman"/>
        </w:rPr>
        <w:t xml:space="preserve">Wickham, Hadley. “Tidy Data.” </w:t>
      </w:r>
      <w:r>
        <w:rPr>
          <w:rFonts w:ascii="Times New Roman" w:eastAsia="Times New Roman" w:hAnsi="Times New Roman" w:cs="Times New Roman"/>
          <w:i/>
        </w:rPr>
        <w:t>Journal of Statistical Software.</w:t>
      </w:r>
      <w:r>
        <w:rPr>
          <w:rFonts w:ascii="Times New Roman" w:eastAsia="Times New Roman" w:hAnsi="Times New Roman" w:cs="Times New Roman"/>
        </w:rPr>
        <w:t xml:space="preserve"> August 2014,</w:t>
      </w:r>
    </w:p>
    <w:p w14:paraId="00000011" w14:textId="77777777" w:rsidR="0027353C" w:rsidRDefault="00FC37F2">
      <w:pPr>
        <w:rPr>
          <w:rFonts w:ascii="Times New Roman" w:eastAsia="Times New Roman" w:hAnsi="Times New Roman" w:cs="Times New Roman"/>
          <w:color w:val="660099"/>
          <w:highlight w:val="white"/>
          <w:u w:val="single"/>
        </w:rPr>
      </w:pPr>
      <w:r>
        <w:rPr>
          <w:rFonts w:ascii="Times New Roman" w:eastAsia="Times New Roman" w:hAnsi="Times New Roman" w:cs="Times New Roman"/>
        </w:rPr>
        <w:t>Volume 59, Issue 10.</w:t>
      </w:r>
      <w:hyperlink r:id="rId10">
        <w:r>
          <w:rPr>
            <w:rFonts w:ascii="Times New Roman" w:eastAsia="Times New Roman" w:hAnsi="Times New Roman" w:cs="Times New Roman"/>
          </w:rPr>
          <w:t xml:space="preserve"> </w:t>
        </w:r>
      </w:hyperlink>
      <w:hyperlink r:id="rId11">
        <w:r>
          <w:rPr>
            <w:rFonts w:ascii="Times New Roman" w:eastAsia="Times New Roman" w:hAnsi="Times New Roman" w:cs="Times New Roman"/>
            <w:color w:val="660099"/>
            <w:highlight w:val="white"/>
            <w:u w:val="single"/>
          </w:rPr>
          <w:t>jstatsoft.org</w:t>
        </w:r>
      </w:hyperlink>
    </w:p>
    <w:p w14:paraId="00000012" w14:textId="77777777" w:rsidR="0027353C" w:rsidRDefault="00FC37F2">
      <w:pPr>
        <w:rPr>
          <w:rFonts w:ascii="Times New Roman" w:eastAsia="Times New Roman" w:hAnsi="Times New Roman" w:cs="Times New Roman"/>
        </w:rPr>
      </w:pPr>
      <w:r>
        <w:rPr>
          <w:rFonts w:ascii="Times New Roman" w:eastAsia="Times New Roman" w:hAnsi="Times New Roman" w:cs="Times New Roman"/>
        </w:rPr>
        <w:t xml:space="preserve"> </w:t>
      </w:r>
    </w:p>
    <w:p w14:paraId="00000013" w14:textId="77777777" w:rsidR="0027353C" w:rsidRDefault="00FC37F2">
      <w:pPr>
        <w:rPr>
          <w:rFonts w:ascii="Times New Roman" w:eastAsia="Times New Roman" w:hAnsi="Times New Roman" w:cs="Times New Roman"/>
          <w:i/>
        </w:rPr>
      </w:pPr>
      <w:r>
        <w:rPr>
          <w:rFonts w:ascii="Times New Roman" w:eastAsia="Times New Roman" w:hAnsi="Times New Roman" w:cs="Times New Roman"/>
          <w:i/>
        </w:rPr>
        <w:t>Wickham writes about the uses and conventions of “tidy data,” a standardized way of formatting data that aims to lessen the “huge amount of effort [that] is spent cleaning data to get it ready for analysis.” Data is tidy if 1) every variab</w:t>
      </w:r>
      <w:r>
        <w:rPr>
          <w:rFonts w:ascii="Times New Roman" w:eastAsia="Times New Roman" w:hAnsi="Times New Roman" w:cs="Times New Roman"/>
          <w:i/>
        </w:rPr>
        <w:t>le forms a column; 2) every observation forms a row; 3) every type of observational unit forms a table. We plan to ask our users to put their data in tidy form so there is less plumbing on our end to deal with the hairy problem of variable identification.</w:t>
      </w:r>
    </w:p>
    <w:p w14:paraId="00000014" w14:textId="77777777" w:rsidR="0027353C" w:rsidRDefault="0027353C">
      <w:pPr>
        <w:rPr>
          <w:rFonts w:ascii="Times New Roman" w:eastAsia="Times New Roman" w:hAnsi="Times New Roman" w:cs="Times New Roman"/>
          <w:i/>
        </w:rPr>
      </w:pPr>
    </w:p>
    <w:p w14:paraId="00000015" w14:textId="77777777" w:rsidR="0027353C" w:rsidRDefault="0027353C">
      <w:pPr>
        <w:rPr>
          <w:rFonts w:ascii="Times New Roman" w:eastAsia="Times New Roman" w:hAnsi="Times New Roman" w:cs="Times New Roman"/>
          <w:i/>
        </w:rPr>
      </w:pPr>
    </w:p>
    <w:p w14:paraId="00000016" w14:textId="77777777" w:rsidR="0027353C" w:rsidRDefault="0027353C">
      <w:pPr>
        <w:rPr>
          <w:rFonts w:ascii="Times New Roman" w:eastAsia="Times New Roman" w:hAnsi="Times New Roman" w:cs="Times New Roman"/>
          <w:i/>
        </w:rPr>
      </w:pPr>
    </w:p>
    <w:p w14:paraId="00000017" w14:textId="77777777" w:rsidR="0027353C" w:rsidRDefault="00FC37F2">
      <w:pPr>
        <w:jc w:val="center"/>
        <w:rPr>
          <w:rFonts w:ascii="Times New Roman" w:eastAsia="Times New Roman" w:hAnsi="Times New Roman" w:cs="Times New Roman"/>
          <w:u w:val="single"/>
        </w:rPr>
      </w:pPr>
      <w:r>
        <w:rPr>
          <w:rFonts w:ascii="Times New Roman" w:eastAsia="Times New Roman" w:hAnsi="Times New Roman" w:cs="Times New Roman"/>
          <w:u w:val="single"/>
        </w:rPr>
        <w:t xml:space="preserve">References and Related Work for </w:t>
      </w:r>
      <w:r>
        <w:rPr>
          <w:rFonts w:ascii="Times New Roman" w:eastAsia="Times New Roman" w:hAnsi="Times New Roman" w:cs="Times New Roman"/>
          <w:b/>
          <w:u w:val="single"/>
        </w:rPr>
        <w:t xml:space="preserve">Econometric </w:t>
      </w:r>
      <w:r>
        <w:rPr>
          <w:rFonts w:ascii="Times New Roman" w:eastAsia="Times New Roman" w:hAnsi="Times New Roman" w:cs="Times New Roman"/>
          <w:u w:val="single"/>
        </w:rPr>
        <w:t>Components</w:t>
      </w:r>
    </w:p>
    <w:p w14:paraId="00000018" w14:textId="77777777" w:rsidR="0027353C" w:rsidRDefault="0027353C">
      <w:pPr>
        <w:rPr>
          <w:rFonts w:ascii="Times New Roman" w:eastAsia="Times New Roman" w:hAnsi="Times New Roman" w:cs="Times New Roman"/>
        </w:rPr>
      </w:pPr>
    </w:p>
    <w:p w14:paraId="00000019" w14:textId="77777777" w:rsidR="0027353C" w:rsidRDefault="00FC37F2">
      <w:pPr>
        <w:rPr>
          <w:rFonts w:ascii="Times New Roman" w:eastAsia="Times New Roman" w:hAnsi="Times New Roman" w:cs="Times New Roman"/>
        </w:rPr>
      </w:pPr>
      <w:r>
        <w:rPr>
          <w:rFonts w:ascii="Times New Roman" w:eastAsia="Times New Roman" w:hAnsi="Times New Roman" w:cs="Times New Roman"/>
          <w:b/>
        </w:rPr>
        <w:t xml:space="preserve">IV) </w:t>
      </w:r>
      <w:r>
        <w:rPr>
          <w:rFonts w:ascii="Times New Roman" w:eastAsia="Times New Roman" w:hAnsi="Times New Roman" w:cs="Times New Roman"/>
        </w:rPr>
        <w:t xml:space="preserve">Phillips, Peter C. B. “Automated Discovery in Econometrics.” Econometric Theory 21, no. 1 (February 2005): 3–20. </w:t>
      </w:r>
      <w:hyperlink r:id="rId12">
        <w:r>
          <w:rPr>
            <w:rFonts w:ascii="Times New Roman" w:eastAsia="Times New Roman" w:hAnsi="Times New Roman" w:cs="Times New Roman"/>
            <w:color w:val="1155CC"/>
            <w:u w:val="single"/>
          </w:rPr>
          <w:t>https://doi.org/10.1017/S0266466605050024</w:t>
        </w:r>
      </w:hyperlink>
      <w:r>
        <w:rPr>
          <w:rFonts w:ascii="Times New Roman" w:eastAsia="Times New Roman" w:hAnsi="Times New Roman" w:cs="Times New Roman"/>
        </w:rPr>
        <w:t>.</w:t>
      </w:r>
    </w:p>
    <w:p w14:paraId="0000001A" w14:textId="77777777" w:rsidR="0027353C" w:rsidRDefault="0027353C">
      <w:pPr>
        <w:rPr>
          <w:rFonts w:ascii="Times New Roman" w:eastAsia="Times New Roman" w:hAnsi="Times New Roman" w:cs="Times New Roman"/>
        </w:rPr>
      </w:pPr>
    </w:p>
    <w:p w14:paraId="0000001B" w14:textId="77777777" w:rsidR="0027353C" w:rsidRDefault="00FC37F2">
      <w:pPr>
        <w:rPr>
          <w:rFonts w:ascii="Times New Roman" w:eastAsia="Times New Roman" w:hAnsi="Times New Roman" w:cs="Times New Roman"/>
          <w:i/>
        </w:rPr>
      </w:pPr>
      <w:r>
        <w:rPr>
          <w:rFonts w:ascii="Times New Roman" w:eastAsia="Times New Roman" w:hAnsi="Times New Roman" w:cs="Times New Roman"/>
          <w:i/>
        </w:rPr>
        <w:t>Phillips comments on state and future of automated discovery in economic statistical querying. He writes that his “experience with automated discovery algorithms in econometrics leads me to believe that these met</w:t>
      </w:r>
      <w:r>
        <w:rPr>
          <w:rFonts w:ascii="Times New Roman" w:eastAsia="Times New Roman" w:hAnsi="Times New Roman" w:cs="Times New Roman"/>
          <w:i/>
        </w:rPr>
        <w:t xml:space="preserve">hods will play an important role in the future use of applied econometrics.” Pointing to a growing </w:t>
      </w:r>
      <w:r>
        <w:rPr>
          <w:rFonts w:ascii="Times New Roman" w:eastAsia="Times New Roman" w:hAnsi="Times New Roman" w:cs="Times New Roman"/>
          <w:i/>
        </w:rPr>
        <w:lastRenderedPageBreak/>
        <w:t>practical research agenda – as policy decisions become increasingly driven by empirical relationships – he sees a great degree of under-realized potential in</w:t>
      </w:r>
      <w:r>
        <w:rPr>
          <w:rFonts w:ascii="Times New Roman" w:eastAsia="Times New Roman" w:hAnsi="Times New Roman" w:cs="Times New Roman"/>
          <w:i/>
        </w:rPr>
        <w:t xml:space="preserve"> this sort of automation.</w:t>
      </w:r>
    </w:p>
    <w:p w14:paraId="0000001C" w14:textId="77777777" w:rsidR="0027353C" w:rsidRDefault="0027353C">
      <w:pPr>
        <w:rPr>
          <w:rFonts w:ascii="Times New Roman" w:eastAsia="Times New Roman" w:hAnsi="Times New Roman" w:cs="Times New Roman"/>
          <w:i/>
        </w:rPr>
      </w:pPr>
    </w:p>
    <w:p w14:paraId="0000001D" w14:textId="77777777" w:rsidR="0027353C" w:rsidRDefault="00FC37F2">
      <w:pPr>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proofErr w:type="spellStart"/>
      <w:r>
        <w:rPr>
          <w:rFonts w:ascii="Times New Roman" w:eastAsia="Times New Roman" w:hAnsi="Times New Roman" w:cs="Times New Roman"/>
        </w:rPr>
        <w:t>Glymour</w:t>
      </w:r>
      <w:proofErr w:type="spellEnd"/>
      <w:r>
        <w:rPr>
          <w:rFonts w:ascii="Times New Roman" w:eastAsia="Times New Roman" w:hAnsi="Times New Roman" w:cs="Times New Roman"/>
        </w:rPr>
        <w:t xml:space="preserve">, Clark. “The Automation of Discovery.” Daedalus – MIT Press 133, no. 1 (January 2004): 69–77. </w:t>
      </w:r>
      <w:hyperlink r:id="rId13">
        <w:r>
          <w:rPr>
            <w:rFonts w:ascii="Times New Roman" w:eastAsia="Times New Roman" w:hAnsi="Times New Roman" w:cs="Times New Roman"/>
            <w:color w:val="1155CC"/>
            <w:u w:val="single"/>
          </w:rPr>
          <w:t>https://doi.org/10.1162/001152604772746710</w:t>
        </w:r>
      </w:hyperlink>
      <w:r>
        <w:rPr>
          <w:rFonts w:ascii="Times New Roman" w:eastAsia="Times New Roman" w:hAnsi="Times New Roman" w:cs="Times New Roman"/>
        </w:rPr>
        <w:t>.</w:t>
      </w:r>
    </w:p>
    <w:p w14:paraId="0000001E" w14:textId="77777777" w:rsidR="0027353C" w:rsidRDefault="0027353C">
      <w:pPr>
        <w:rPr>
          <w:rFonts w:ascii="Times New Roman" w:eastAsia="Times New Roman" w:hAnsi="Times New Roman" w:cs="Times New Roman"/>
        </w:rPr>
      </w:pPr>
    </w:p>
    <w:p w14:paraId="0000001F" w14:textId="77777777" w:rsidR="0027353C" w:rsidRDefault="00FC37F2">
      <w:pPr>
        <w:rPr>
          <w:rFonts w:ascii="Times New Roman" w:eastAsia="Times New Roman" w:hAnsi="Times New Roman" w:cs="Times New Roman"/>
          <w:i/>
        </w:rPr>
      </w:pPr>
      <w:r>
        <w:rPr>
          <w:rFonts w:ascii="Times New Roman" w:eastAsia="Times New Roman" w:hAnsi="Times New Roman" w:cs="Times New Roman"/>
          <w:i/>
        </w:rPr>
        <w:t>Like Phillips, Clark writes excitedly about the future of automated model selection in science. He points to a few examples from the late twentieth century in which the power of computing helped define important variable relationships. And he sees great pr</w:t>
      </w:r>
      <w:r>
        <w:rPr>
          <w:rFonts w:ascii="Times New Roman" w:eastAsia="Times New Roman" w:hAnsi="Times New Roman" w:cs="Times New Roman"/>
          <w:i/>
        </w:rPr>
        <w:t>omise in machines’ potential to grow their influence and further assist in empirical research. He goes so far as to compare traditional research methods to searching for needles in a haystack and automated model selection methods to “[running] a magnet thr</w:t>
      </w:r>
      <w:r>
        <w:rPr>
          <w:rFonts w:ascii="Times New Roman" w:eastAsia="Times New Roman" w:hAnsi="Times New Roman" w:cs="Times New Roman"/>
          <w:i/>
        </w:rPr>
        <w:t>ough the haystack.”</w:t>
      </w:r>
    </w:p>
    <w:p w14:paraId="00000020" w14:textId="77777777" w:rsidR="0027353C" w:rsidRDefault="0027353C">
      <w:pPr>
        <w:rPr>
          <w:rFonts w:ascii="Times New Roman" w:eastAsia="Times New Roman" w:hAnsi="Times New Roman" w:cs="Times New Roman"/>
        </w:rPr>
      </w:pPr>
    </w:p>
    <w:p w14:paraId="00000021" w14:textId="77777777" w:rsidR="0027353C" w:rsidRDefault="00FC37F2">
      <w:pPr>
        <w:rPr>
          <w:rFonts w:ascii="Times New Roman" w:eastAsia="Times New Roman" w:hAnsi="Times New Roman" w:cs="Times New Roman"/>
        </w:rPr>
      </w:pPr>
      <w:r>
        <w:rPr>
          <w:rFonts w:ascii="Times New Roman" w:eastAsia="Times New Roman" w:hAnsi="Times New Roman" w:cs="Times New Roman"/>
          <w:b/>
        </w:rPr>
        <w:t>VI)</w:t>
      </w:r>
      <w:r>
        <w:rPr>
          <w:rFonts w:ascii="Times New Roman" w:eastAsia="Times New Roman" w:hAnsi="Times New Roman" w:cs="Times New Roman"/>
        </w:rPr>
        <w:t xml:space="preserve"> </w:t>
      </w:r>
      <w:proofErr w:type="spellStart"/>
      <w:r>
        <w:rPr>
          <w:rFonts w:ascii="Times New Roman" w:eastAsia="Times New Roman" w:hAnsi="Times New Roman" w:cs="Times New Roman"/>
        </w:rPr>
        <w:t>Bollen</w:t>
      </w:r>
      <w:proofErr w:type="spellEnd"/>
      <w:r>
        <w:rPr>
          <w:rFonts w:ascii="Times New Roman" w:eastAsia="Times New Roman" w:hAnsi="Times New Roman" w:cs="Times New Roman"/>
        </w:rPr>
        <w:t>, Kenneth A., and Daniel J. Bauer. “Automating the Selection of Model-</w:t>
      </w:r>
    </w:p>
    <w:p w14:paraId="00000022" w14:textId="77777777" w:rsidR="0027353C" w:rsidRDefault="00FC37F2">
      <w:pPr>
        <w:rPr>
          <w:rFonts w:ascii="Times New Roman" w:eastAsia="Times New Roman" w:hAnsi="Times New Roman" w:cs="Times New Roman"/>
        </w:rPr>
      </w:pPr>
      <w:r>
        <w:rPr>
          <w:rFonts w:ascii="Times New Roman" w:eastAsia="Times New Roman" w:hAnsi="Times New Roman" w:cs="Times New Roman"/>
        </w:rPr>
        <w:t xml:space="preserve">Implied Instrumental Variables.” Sociological Methods &amp; Research 32, no. 4 (May 2004): 425–52. </w:t>
      </w:r>
      <w:hyperlink r:id="rId14">
        <w:r>
          <w:rPr>
            <w:rFonts w:ascii="Times New Roman" w:eastAsia="Times New Roman" w:hAnsi="Times New Roman" w:cs="Times New Roman"/>
            <w:color w:val="1155CC"/>
            <w:u w:val="single"/>
          </w:rPr>
          <w:t>https://doi.org/10.1177/0049124103260341</w:t>
        </w:r>
      </w:hyperlink>
      <w:r>
        <w:rPr>
          <w:rFonts w:ascii="Times New Roman" w:eastAsia="Times New Roman" w:hAnsi="Times New Roman" w:cs="Times New Roman"/>
        </w:rPr>
        <w:t>.</w:t>
      </w:r>
    </w:p>
    <w:p w14:paraId="00000023" w14:textId="77777777" w:rsidR="0027353C" w:rsidRDefault="0027353C">
      <w:pPr>
        <w:rPr>
          <w:rFonts w:ascii="Times New Roman" w:eastAsia="Times New Roman" w:hAnsi="Times New Roman" w:cs="Times New Roman"/>
        </w:rPr>
      </w:pPr>
    </w:p>
    <w:p w14:paraId="00000024" w14:textId="77777777" w:rsidR="0027353C" w:rsidRDefault="00FC37F2">
      <w:pPr>
        <w:rPr>
          <w:rFonts w:ascii="Times New Roman" w:eastAsia="Times New Roman" w:hAnsi="Times New Roman" w:cs="Times New Roman"/>
          <w:i/>
        </w:rPr>
      </w:pPr>
      <w:proofErr w:type="spellStart"/>
      <w:r>
        <w:rPr>
          <w:rFonts w:ascii="Times New Roman" w:eastAsia="Times New Roman" w:hAnsi="Times New Roman" w:cs="Times New Roman"/>
          <w:i/>
        </w:rPr>
        <w:t>Bollen</w:t>
      </w:r>
      <w:proofErr w:type="spellEnd"/>
      <w:r>
        <w:rPr>
          <w:rFonts w:ascii="Times New Roman" w:eastAsia="Times New Roman" w:hAnsi="Times New Roman" w:cs="Times New Roman"/>
          <w:i/>
        </w:rPr>
        <w:t xml:space="preserve"> appears to be the eminent scholar on automated instrument selection. He suggests a maximum likelihood technique for selecting variables for 2SLS analysis.</w:t>
      </w:r>
    </w:p>
    <w:p w14:paraId="00000025" w14:textId="77777777" w:rsidR="0027353C" w:rsidRDefault="0027353C">
      <w:pPr>
        <w:rPr>
          <w:rFonts w:ascii="Times New Roman" w:eastAsia="Times New Roman" w:hAnsi="Times New Roman" w:cs="Times New Roman"/>
          <w:u w:val="single"/>
        </w:rPr>
      </w:pPr>
    </w:p>
    <w:p w14:paraId="00000026" w14:textId="77777777" w:rsidR="0027353C" w:rsidRDefault="0027353C">
      <w:pPr>
        <w:rPr>
          <w:rFonts w:ascii="Times New Roman" w:eastAsia="Times New Roman" w:hAnsi="Times New Roman" w:cs="Times New Roman"/>
          <w:i/>
        </w:rPr>
      </w:pPr>
    </w:p>
    <w:p w14:paraId="00000027" w14:textId="77777777" w:rsidR="0027353C" w:rsidRDefault="0027353C">
      <w:pPr>
        <w:rPr>
          <w:rFonts w:ascii="Times New Roman" w:eastAsia="Times New Roman" w:hAnsi="Times New Roman" w:cs="Times New Roman"/>
        </w:rPr>
      </w:pPr>
    </w:p>
    <w:p w14:paraId="00000028" w14:textId="77777777" w:rsidR="0027353C" w:rsidRDefault="0027353C">
      <w:pPr>
        <w:ind w:left="720"/>
        <w:rPr>
          <w:rFonts w:ascii="Times New Roman" w:eastAsia="Times New Roman" w:hAnsi="Times New Roman" w:cs="Times New Roman"/>
          <w:b/>
        </w:rPr>
      </w:pPr>
    </w:p>
    <w:sectPr w:rsidR="002735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3C"/>
    <w:rsid w:val="0027353C"/>
    <w:rsid w:val="00B522A2"/>
    <w:rsid w:val="00FC37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jstatsoft.org/article/view/v059i10/v59i10.pdf" TargetMode="External"/><Relationship Id="rId12" Type="http://schemas.openxmlformats.org/officeDocument/2006/relationships/hyperlink" Target="https://doi.org/10.1017/S0266466605050024" TargetMode="External"/><Relationship Id="rId13" Type="http://schemas.openxmlformats.org/officeDocument/2006/relationships/hyperlink" Target="https://doi.org/10.1162/001152604772746710" TargetMode="External"/><Relationship Id="rId14" Type="http://schemas.openxmlformats.org/officeDocument/2006/relationships/hyperlink" Target="https://doi.org/10.1177/004912410326034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doi.org/10.3115/v1/P15-1142" TargetMode="External"/><Relationship Id="rId5" Type="http://schemas.openxmlformats.org/officeDocument/2006/relationships/hyperlink" Target="https://doi.org/10.3115/v1/P15-1142" TargetMode="External"/><Relationship Id="rId6" Type="http://schemas.openxmlformats.org/officeDocument/2006/relationships/hyperlink" Target="http://arxiv.org/abs/1705.06504" TargetMode="External"/><Relationship Id="rId7" Type="http://schemas.openxmlformats.org/officeDocument/2006/relationships/hyperlink" Target="http://arxiv.org/abs/1705.06504" TargetMode="External"/><Relationship Id="rId8" Type="http://schemas.openxmlformats.org/officeDocument/2006/relationships/hyperlink" Target="http://ceur-ws.org/Vol-2044/paper1/paper1.html" TargetMode="External"/><Relationship Id="rId9" Type="http://schemas.openxmlformats.org/officeDocument/2006/relationships/hyperlink" Target="http://ceur-ws.org/Vol-2044/paper1/paper1.html" TargetMode="External"/><Relationship Id="rId10" Type="http://schemas.openxmlformats.org/officeDocument/2006/relationships/hyperlink" Target="https://www.jstatsoft.org/article/view/v059i10/v59i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3797</Characters>
  <Application>Microsoft Macintosh Word</Application>
  <DocSecurity>0</DocSecurity>
  <Lines>31</Lines>
  <Paragraphs>8</Paragraphs>
  <ScaleCrop>false</ScaleCrop>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Stengel</cp:lastModifiedBy>
  <cp:revision>2</cp:revision>
  <dcterms:created xsi:type="dcterms:W3CDTF">2019-11-29T22:02:00Z</dcterms:created>
  <dcterms:modified xsi:type="dcterms:W3CDTF">2019-11-29T22:02:00Z</dcterms:modified>
</cp:coreProperties>
</file>