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Falcon Communications Plan</w:t>
      </w:r>
    </w:p>
    <w:p>
      <w:r>
        <w:t>This plan sets out how the Falcon team shares progress, decisions and risks with Brightwater Logistics and with each other. It was drafted in February 2026 and last updated on 9 June 2026, ahead of the steering committee on 15 June 2026.</w:t>
      </w:r>
    </w:p>
    <w:p>
      <w:pPr>
        <w:pStyle w:val="Heading2"/>
      </w:pPr>
      <w:r>
        <w:t>Channels and cadence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b/>
              </w:rPr>
              <w:t>Communication</w:t>
            </w:r>
          </w:p>
        </w:tc>
        <w:tc>
          <w:tcPr>
            <w:tcW w:type="dxa" w:w="2160"/>
          </w:tcPr>
          <w:p>
            <w:r>
              <w:rPr>
                <w:b/>
              </w:rPr>
              <w:t>Audience</w:t>
            </w:r>
          </w:p>
        </w:tc>
        <w:tc>
          <w:tcPr>
            <w:tcW w:type="dxa" w:w="2160"/>
          </w:tcPr>
          <w:p>
            <w:r>
              <w:rPr>
                <w:b/>
              </w:rPr>
              <w:t>Frequency</w:t>
            </w:r>
          </w:p>
        </w:tc>
        <w:tc>
          <w:tcPr>
            <w:tcW w:type="dxa" w:w="2160"/>
          </w:tcPr>
          <w:p>
            <w:r>
              <w:rPr>
                <w:b/>
              </w:rPr>
              <w:t>Owner</w:t>
            </w:r>
          </w:p>
        </w:tc>
      </w:tr>
      <w:tr>
        <w:tc>
          <w:tcPr>
            <w:tcW w:type="dxa" w:w="2160"/>
          </w:tcPr>
          <w:p>
            <w:r>
              <w:t>Weekly status note</w:t>
            </w:r>
          </w:p>
        </w:tc>
        <w:tc>
          <w:tcPr>
            <w:tcW w:type="dxa" w:w="2160"/>
          </w:tcPr>
          <w:p>
            <w:r>
              <w:t>Client delivery lead, sponsors</w:t>
            </w:r>
          </w:p>
        </w:tc>
        <w:tc>
          <w:tcPr>
            <w:tcW w:type="dxa" w:w="2160"/>
          </w:tcPr>
          <w:p>
            <w:r>
              <w:t>Fridays</w:t>
            </w:r>
          </w:p>
        </w:tc>
        <w:tc>
          <w:tcPr>
            <w:tcW w:type="dxa" w:w="2160"/>
          </w:tcPr>
          <w:p>
            <w:r>
              <w:t>Project lead</w:t>
            </w:r>
          </w:p>
        </w:tc>
      </w:tr>
      <w:tr>
        <w:tc>
          <w:tcPr>
            <w:tcW w:type="dxa" w:w="2160"/>
          </w:tcPr>
          <w:p>
            <w:r>
              <w:t>Delivery meeting</w:t>
            </w:r>
          </w:p>
        </w:tc>
        <w:tc>
          <w:tcPr>
            <w:tcW w:type="dxa" w:w="2160"/>
          </w:tcPr>
          <w:p>
            <w:r>
              <w:t>Core team and client delivery lead</w:t>
            </w:r>
          </w:p>
        </w:tc>
        <w:tc>
          <w:tcPr>
            <w:tcW w:type="dxa" w:w="2160"/>
          </w:tcPr>
          <w:p>
            <w:r>
              <w:t>Weekly</w:t>
            </w:r>
          </w:p>
        </w:tc>
        <w:tc>
          <w:tcPr>
            <w:tcW w:type="dxa" w:w="2160"/>
          </w:tcPr>
          <w:p>
            <w:r>
              <w:t>Delivery lead</w:t>
            </w:r>
          </w:p>
        </w:tc>
      </w:tr>
      <w:tr>
        <w:tc>
          <w:tcPr>
            <w:tcW w:type="dxa" w:w="2160"/>
          </w:tcPr>
          <w:p>
            <w:r>
              <w:t>Sprint demo</w:t>
            </w:r>
          </w:p>
        </w:tc>
        <w:tc>
          <w:tcPr>
            <w:tcW w:type="dxa" w:w="2160"/>
          </w:tcPr>
          <w:p>
            <w:r>
              <w:t>Client users and sponsors</w:t>
            </w:r>
          </w:p>
        </w:tc>
        <w:tc>
          <w:tcPr>
            <w:tcW w:type="dxa" w:w="2160"/>
          </w:tcPr>
          <w:p>
            <w:r>
              <w:t>Every second sprint</w:t>
            </w:r>
          </w:p>
        </w:tc>
        <w:tc>
          <w:tcPr>
            <w:tcW w:type="dxa" w:w="2160"/>
          </w:tcPr>
          <w:p>
            <w:r>
              <w:t>Delivery lead</w:t>
            </w:r>
          </w:p>
        </w:tc>
      </w:tr>
      <w:tr>
        <w:tc>
          <w:tcPr>
            <w:tcW w:type="dxa" w:w="2160"/>
          </w:tcPr>
          <w:p>
            <w:r>
              <w:t>Steering committee</w:t>
            </w:r>
          </w:p>
        </w:tc>
        <w:tc>
          <w:tcPr>
            <w:tcW w:type="dxa" w:w="2160"/>
          </w:tcPr>
          <w:p>
            <w:r>
              <w:t>Sponsors and project lead</w:t>
            </w:r>
          </w:p>
        </w:tc>
        <w:tc>
          <w:tcPr>
            <w:tcW w:type="dxa" w:w="2160"/>
          </w:tcPr>
          <w:p>
            <w:r>
              <w:t>Monthly</w:t>
            </w:r>
          </w:p>
        </w:tc>
        <w:tc>
          <w:tcPr>
            <w:tcW w:type="dxa" w:w="2160"/>
          </w:tcPr>
          <w:p>
            <w:r>
              <w:t>Project lead</w:t>
            </w:r>
          </w:p>
        </w:tc>
      </w:tr>
      <w:tr>
        <w:tc>
          <w:tcPr>
            <w:tcW w:type="dxa" w:w="2160"/>
          </w:tcPr>
          <w:p>
            <w:r>
              <w:t>Risk register update</w:t>
            </w:r>
          </w:p>
        </w:tc>
        <w:tc>
          <w:tcPr>
            <w:tcW w:type="dxa" w:w="2160"/>
          </w:tcPr>
          <w:p>
            <w:r>
              <w:t>Core team</w:t>
            </w:r>
          </w:p>
        </w:tc>
        <w:tc>
          <w:tcPr>
            <w:tcW w:type="dxa" w:w="2160"/>
          </w:tcPr>
          <w:p>
            <w:r>
              <w:t>Weekly</w:t>
            </w:r>
          </w:p>
        </w:tc>
        <w:tc>
          <w:tcPr>
            <w:tcW w:type="dxa" w:w="2160"/>
          </w:tcPr>
          <w:p>
            <w:r>
              <w:t>Project lead</w:t>
            </w:r>
          </w:p>
        </w:tc>
      </w:tr>
    </w:tbl>
    <w:p>
      <w:pPr>
        <w:pStyle w:val="Heading2"/>
      </w:pPr>
      <w:r>
        <w:t>Principles</w:t>
      </w:r>
    </w:p>
    <w:p>
      <w:pPr>
        <w:pStyle w:val="ListBullet"/>
      </w:pPr>
      <w:r>
        <w:t>Bad news travels the same day, by phone or message, before it is written up</w:t>
      </w:r>
    </w:p>
    <w:p>
      <w:pPr>
        <w:pStyle w:val="ListBullet"/>
      </w:pPr>
      <w:r>
        <w:t>Decisions are recorded in the decision log within one working day</w:t>
      </w:r>
    </w:p>
    <w:p>
      <w:pPr>
        <w:pStyle w:val="ListBullet"/>
      </w:pPr>
      <w:r>
        <w:t>Status notes use the same headings each week: progress, risks, next week</w:t>
      </w:r>
    </w:p>
    <w:p>
      <w:pPr>
        <w:pStyle w:val="ListBullet"/>
      </w:pPr>
      <w:r>
        <w:t>Client documents are shared through the agreed folder, never by personal email</w:t>
      </w:r>
    </w:p>
    <w:p>
      <w:pPr>
        <w:pStyle w:val="Heading2"/>
      </w:pPr>
      <w:r>
        <w:t>Escalation</w:t>
      </w:r>
    </w:p>
    <w:p>
      <w:r>
        <w:t>Issues that threaten a milestone or the budget go to the project lead the same day. If they are not resolved in two working days, they go to the executive sponsor and the client sponsor.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pen Sans" w:hAnsi="Open Sans"/>
      <w:b/>
      <w:bCs/>
      <w:color w:val="28272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pen Sans" w:hAnsi="Open Sans"/>
      <w:b/>
      <w:bCs/>
      <w:color w:val="28272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Communications Plan</dc:title>
  <dc:subject/>
  <dc:creator>User 1</dc:creator>
  <cp:keywords/>
  <dc:description>generated by python-docx</dc:description>
  <cp:lastModifiedBy>User 1</cp:lastModifiedBy>
  <cp:revision>1</cp:revision>
  <dcterms:created xsi:type="dcterms:W3CDTF">2026-02-24T00:00:00Z</dcterms:created>
  <dcterms:modified xsi:type="dcterms:W3CDTF">2026-06-09T00:00:00Z</dcterms:modified>
  <cp:category/>
</cp:coreProperties>
</file>