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Budget Approval Memo</w:t>
      </w:r>
    </w:p>
    <w:p>
      <w:r>
        <w:t>This memo records the approval of the Falcon Phase 2 budget of $48,200 by the steering committee on 14 September 2026, covering the Harborview Platform work for Brightwater Logistics from 21 September 2026 to the end of November 2026. It is written by the Delivery lead (User 2) so that finance and delivery work from the same approved figures.</w:t>
      </w:r>
    </w:p>
    <w:p>
      <w:pPr>
        <w:pStyle w:val="Heading2"/>
      </w:pPr>
      <w:r>
        <w:t>Decision</w:t>
      </w:r>
    </w:p>
    <w:p>
      <w:r>
        <w:t>The steering committee approved a Phase 2 budget of $48,200 on 14 September 2026. Phase 2 follows the close of Phase 1 on 7 August 2026 (total $38,300) and the bridge period that ran Sprints 9 to 11 at no added fee. Phase 2 kicks off with Sprint 12: 21 September to 2 October 2026.</w:t>
      </w:r>
    </w:p>
    <w:p>
      <w:pPr>
        <w:pStyle w:val="Heading2"/>
      </w:pPr>
      <w:r>
        <w:t>Approved split by role</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Approved amount</w:t>
            </w:r>
          </w:p>
        </w:tc>
      </w:tr>
      <w:tr>
        <w:tc>
          <w:tcPr>
            <w:tcW w:type="dxa" w:w="4320"/>
          </w:tcPr>
          <w:p>
            <w:r>
              <w:t>Engineering</w:t>
            </w:r>
          </w:p>
        </w:tc>
        <w:tc>
          <w:tcPr>
            <w:tcW w:type="dxa" w:w="4320"/>
          </w:tcPr>
          <w:p>
            <w:r>
              <w:t>$26,400</w:t>
            </w:r>
          </w:p>
        </w:tc>
      </w:tr>
      <w:tr>
        <w:tc>
          <w:tcPr>
            <w:tcW w:type="dxa" w:w="4320"/>
          </w:tcPr>
          <w:p>
            <w:r>
              <w:t>Data</w:t>
            </w:r>
          </w:p>
        </w:tc>
        <w:tc>
          <w:tcPr>
            <w:tcW w:type="dxa" w:w="4320"/>
          </w:tcPr>
          <w:p>
            <w:r>
              <w:t>$9,800</w:t>
            </w:r>
          </w:p>
        </w:tc>
      </w:tr>
      <w:tr>
        <w:tc>
          <w:tcPr>
            <w:tcW w:type="dxa" w:w="4320"/>
          </w:tcPr>
          <w:p>
            <w:r>
              <w:t>Design</w:t>
            </w:r>
          </w:p>
        </w:tc>
        <w:tc>
          <w:tcPr>
            <w:tcW w:type="dxa" w:w="4320"/>
          </w:tcPr>
          <w:p>
            <w:r>
              <w:t>$5,200</w:t>
            </w:r>
          </w:p>
        </w:tc>
      </w:tr>
      <w:tr>
        <w:tc>
          <w:tcPr>
            <w:tcW w:type="dxa" w:w="4320"/>
          </w:tcPr>
          <w:p>
            <w:r>
              <w:t>Project management</w:t>
            </w:r>
          </w:p>
        </w:tc>
        <w:tc>
          <w:tcPr>
            <w:tcW w:type="dxa" w:w="4320"/>
          </w:tcPr>
          <w:p>
            <w:r>
              <w:t>$4,300</w:t>
            </w:r>
          </w:p>
        </w:tc>
      </w:tr>
      <w:tr>
        <w:tc>
          <w:tcPr>
            <w:tcW w:type="dxa" w:w="4320"/>
          </w:tcPr>
          <w:p>
            <w:r>
              <w:t>Quality assurance</w:t>
            </w:r>
          </w:p>
        </w:tc>
        <w:tc>
          <w:tcPr>
            <w:tcW w:type="dxa" w:w="4320"/>
          </w:tcPr>
          <w:p>
            <w:r>
              <w:t>$2,500</w:t>
            </w:r>
          </w:p>
        </w:tc>
      </w:tr>
      <w:tr>
        <w:tc>
          <w:tcPr>
            <w:tcW w:type="dxa" w:w="4320"/>
          </w:tcPr>
          <w:p>
            <w:r>
              <w:t>Total</w:t>
            </w:r>
          </w:p>
        </w:tc>
        <w:tc>
          <w:tcPr>
            <w:tcW w:type="dxa" w:w="4320"/>
          </w:tcPr>
          <w:p>
            <w:r>
              <w:t>$48,200</w:t>
            </w:r>
          </w:p>
        </w:tc>
      </w:tr>
    </w:tbl>
    <w:p>
      <w:pPr>
        <w:pStyle w:val="Heading2"/>
      </w:pPr>
      <w:r>
        <w:t>Conditions of approval</w:t>
      </w:r>
    </w:p>
    <w:p>
      <w:pPr>
        <w:pStyle w:val="ListBullet"/>
      </w:pPr>
      <w:r>
        <w:t>Spend is tracked monthly against the by-month plan in the Phase 2 Budget Breakdown, with a burn report issued by the third working day of each month.</w:t>
      </w:r>
    </w:p>
    <w:p>
      <w:pPr>
        <w:pStyle w:val="ListBullet"/>
      </w:pPr>
      <w:r>
        <w:t>Any move of more than 10 percent between role lines needs written agreement from the Client sponsor and the Executive sponsor.</w:t>
      </w:r>
    </w:p>
    <w:p>
      <w:pPr>
        <w:pStyle w:val="ListBullet"/>
      </w:pPr>
      <w:r>
        <w:t>A contingency of up to 5 percent of the total (up to $2,410) may be requested above the approved amount; only the Executive sponsor can release it.</w:t>
      </w:r>
    </w:p>
    <w:p>
      <w:pPr>
        <w:pStyle w:val="ListBullet"/>
      </w:pPr>
      <w:r>
        <w:t>The Ask pilot for two teams must be reviewed at the November steering meeting before any further spend is committed.</w:t>
      </w:r>
    </w:p>
    <w:p>
      <w:pPr>
        <w:pStyle w:val="Heading2"/>
      </w:pPr>
      <w:r>
        <w:t>Approvers</w:t>
      </w:r>
    </w:p>
    <w:p>
      <w:pPr>
        <w:pStyle w:val="ListBullet"/>
      </w:pPr>
      <w:r>
        <w:t>Executive sponsor (chair of the steering committee)</w:t>
      </w:r>
    </w:p>
    <w:p>
      <w:pPr>
        <w:pStyle w:val="ListBullet"/>
      </w:pPr>
      <w:r>
        <w:t>Client sponsor</w:t>
      </w:r>
    </w:p>
    <w:p>
      <w:pPr>
        <w:pStyle w:val="ListBullet"/>
      </w:pPr>
      <w:r>
        <w:t>Finance business partner (budget owner for Brightwater Logistics)</w:t>
      </w:r>
    </w:p>
    <w:p>
      <w:pPr>
        <w:pStyle w:val="ListBullet"/>
      </w:pPr>
      <w:r>
        <w:t>Project lead (User 1) and Delivery lead (User 2) for the delivery team</w:t>
      </w:r>
    </w:p>
    <w:p>
      <w:pPr>
        <w:pStyle w:val="Heading2"/>
      </w:pPr>
      <w:r>
        <w:t>Next steps</w:t>
      </w:r>
    </w:p>
    <w:p>
      <w:r>
        <w:t>The Delivery lead issues the by-month plan to finance, opens the Phase 2 cost codes before kickoff, and reports the first month of actuals in the September burn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Budget Approval Memo</dc:title>
  <dc:subject/>
  <dc:creator>User 2</dc:creator>
  <cp:keywords/>
  <dc:description>generated by python-docx</dc:description>
  <cp:lastModifiedBy>User 2</cp:lastModifiedBy>
  <cp:revision>1</cp:revision>
  <dcterms:created xsi:type="dcterms:W3CDTF">2026-09-14T00:00:00Z</dcterms:created>
  <dcterms:modified xsi:type="dcterms:W3CDTF">2026-09-15T00:00:00Z</dcterms:modified>
  <cp:category/>
</cp:coreProperties>
</file>