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Brightwater Logistics RFP Response - Knowledge Search Platform</w:t>
      </w:r>
    </w:p>
    <w:p>
      <w:r>
        <w:t>This document records our written answers to the Brightwater Logistics request for proposal for a knowledge-search platform, prepared in January 2026 and last updated on 20 January 2026. It supports the Falcon proposal and the draft statement of work.</w:t>
      </w:r>
    </w:p>
    <w:p>
      <w:pPr>
        <w:pStyle w:val="Heading2"/>
      </w:pPr>
      <w:r>
        <w:t>Q1. How will you approach discovery?</w:t>
      </w:r>
    </w:p>
    <w:p>
      <w:r>
        <w:t>We run a four-week discovery with interviews across operations, sales and support, a review of the main document repositories and a current-state assessment. The output is a findings report that ranks use cases by value and effort.</w:t>
      </w:r>
    </w:p>
    <w:p>
      <w:pPr>
        <w:pStyle w:val="Heading2"/>
      </w:pPr>
      <w:r>
        <w:t>Q2. How is document security handled?</w:t>
      </w:r>
    </w:p>
    <w:p>
      <w:r>
        <w:t>Search results respect the permissions of the source system. Documents are not copied to personal devices. Access is logged, and the client security team reviews the design before any production connection is made.</w:t>
      </w:r>
    </w:p>
    <w:p>
      <w:pPr>
        <w:pStyle w:val="Heading2"/>
      </w:pPr>
      <w:r>
        <w:t>Q3. What is your delivery method?</w:t>
      </w:r>
    </w:p>
    <w:p>
      <w:r>
        <w:t>Two-week sprints with a planning session, a mid-sprint check and a demo. A steering committee meets monthly to review progress, budget and risks.</w:t>
      </w:r>
    </w:p>
    <w:p>
      <w:pPr>
        <w:pStyle w:val="Heading2"/>
      </w:pPr>
      <w:r>
        <w:t>Q4. How do you price the work?</w:t>
      </w:r>
    </w:p>
    <w:p>
      <w:r>
        <w:t>Phase 1 is offered as a fixed fee of $31,500. Extra scope is added only through a signed change order priced from the Rate Card. We do not bill for rework caused by our own defects.</w:t>
      </w:r>
    </w:p>
    <w:p>
      <w:pPr>
        <w:pStyle w:val="Heading2"/>
      </w:pPr>
      <w:r>
        <w:t>Q5. What do you need from us?</w:t>
      </w:r>
    </w:p>
    <w:p>
      <w:pPr>
        <w:pStyle w:val="ListBullet"/>
      </w:pPr>
      <w:r>
        <w:t>A client sponsor with authority to make scope and budget decisions</w:t>
      </w:r>
    </w:p>
    <w:p>
      <w:pPr>
        <w:pStyle w:val="ListBullet"/>
      </w:pPr>
      <w:r>
        <w:t>A client delivery lead available for at least half a day each week</w:t>
      </w:r>
    </w:p>
    <w:p>
      <w:pPr>
        <w:pStyle w:val="ListBullet"/>
      </w:pPr>
      <w:r>
        <w:t>Read access to the agreed document repositories within two weeks of kickoff</w:t>
      </w:r>
    </w:p>
    <w:p>
      <w:pPr>
        <w:pStyle w:val="ListBullet"/>
      </w:pPr>
      <w:r>
        <w:t>Five to eight business users for interviews and user testing</w:t>
      </w:r>
    </w:p>
    <w:p>
      <w:pPr>
        <w:pStyle w:val="Heading2"/>
      </w:pPr>
      <w:r>
        <w:t>Q6. How will you measure success?</w:t>
      </w:r>
    </w:p>
    <w:p>
      <w:r>
        <w:t>Agreed measures are the share of test questions answered with a correct source, the time to find a document in user tests and the number of weekly active users after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Response</dc:title>
  <dc:subject/>
  <dc:creator>User 1</dc:creator>
  <cp:keywords/>
  <dc:description>generated by python-docx</dc:description>
  <cp:lastModifiedBy>User 1</cp:lastModifiedBy>
  <cp:revision>1</cp:revision>
  <dcterms:created xsi:type="dcterms:W3CDTF">2026-01-08T00:00:00Z</dcterms:created>
  <dcterms:modified xsi:type="dcterms:W3CDTF">2026-01-20T00:00:00Z</dcterms:modified>
  <cp:category/>
</cp:coreProperties>
</file>