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Forecast vs Actual - Q3 2026</w:t>
      </w:r>
    </w:p>
    <w:p>
      <w:r>
        <w:t>This document compares Falcon actual spend for Q3 2026 (July to September) with the forecast, and restates the Phase 2 forecast by role against the approved budget of $48,200. Prepared by the Delivery lead (User 2), created 5 October and revised 9 October 2026, for the Finance business partner and the Client sponsor.</w:t>
      </w:r>
    </w:p>
    <w:p>
      <w:pPr>
        <w:pStyle w:val="Heading2"/>
      </w:pPr>
      <w:r>
        <w:t>Q3 actuals against forecast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Forecast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728"/>
          </w:tcPr>
          <w:p>
            <w:r>
              <w:t>July</w:t>
            </w:r>
          </w:p>
        </w:tc>
        <w:tc>
          <w:tcPr>
            <w:tcW w:type="dxa" w:w="1728"/>
          </w:tcPr>
          <w:p>
            <w:r>
              <w:t>Phase 1, Sprints 7 and 8</w:t>
            </w:r>
          </w:p>
        </w:tc>
        <w:tc>
          <w:tcPr>
            <w:tcW w:type="dxa" w:w="1728"/>
          </w:tcPr>
          <w:p>
            <w:r>
              <w:t>$18,600</w:t>
            </w:r>
          </w:p>
        </w:tc>
        <w:tc>
          <w:tcPr>
            <w:tcW w:type="dxa" w:w="1728"/>
          </w:tcPr>
          <w:p>
            <w:r>
              <w:t>$18,700</w:t>
            </w:r>
          </w:p>
        </w:tc>
        <w:tc>
          <w:tcPr>
            <w:tcW w:type="dxa" w:w="1728"/>
          </w:tcPr>
          <w:p>
            <w:r>
              <w:t>+$100</w:t>
            </w:r>
          </w:p>
        </w:tc>
      </w:tr>
      <w:tr>
        <w:tc>
          <w:tcPr>
            <w:tcW w:type="dxa" w:w="1728"/>
          </w:tcPr>
          <w:p>
            <w:r>
              <w:t>August</w:t>
            </w:r>
          </w:p>
        </w:tc>
        <w:tc>
          <w:tcPr>
            <w:tcW w:type="dxa" w:w="1728"/>
          </w:tcPr>
          <w:p>
            <w:r>
              <w:t>Phase 1 close-out and bridge</w:t>
            </w:r>
          </w:p>
        </w:tc>
        <w:tc>
          <w:tcPr>
            <w:tcW w:type="dxa" w:w="1728"/>
          </w:tcPr>
          <w:p>
            <w:r>
              <w:t>$13,400</w:t>
            </w:r>
          </w:p>
        </w:tc>
        <w:tc>
          <w:tcPr>
            <w:tcW w:type="dxa" w:w="1728"/>
          </w:tcPr>
          <w:p>
            <w:r>
              <w:t>$13,150</w:t>
            </w:r>
          </w:p>
        </w:tc>
        <w:tc>
          <w:tcPr>
            <w:tcW w:type="dxa" w:w="1728"/>
          </w:tcPr>
          <w:p>
            <w:r>
              <w:t>-$250</w:t>
            </w:r>
          </w:p>
        </w:tc>
      </w:tr>
      <w:tr>
        <w:tc>
          <w:tcPr>
            <w:tcW w:type="dxa" w:w="1728"/>
          </w:tcPr>
          <w:p>
            <w:r>
              <w:t>September</w:t>
            </w:r>
          </w:p>
        </w:tc>
        <w:tc>
          <w:tcPr>
            <w:tcW w:type="dxa" w:w="1728"/>
          </w:tcPr>
          <w:p>
            <w:r>
              <w:t>Bridge and Phase 2 start</w:t>
            </w:r>
          </w:p>
        </w:tc>
        <w:tc>
          <w:tcPr>
            <w:tcW w:type="dxa" w:w="1728"/>
          </w:tcPr>
          <w:p>
            <w:r>
              <w:t>$15,900</w:t>
            </w:r>
          </w:p>
        </w:tc>
        <w:tc>
          <w:tcPr>
            <w:tcW w:type="dxa" w:w="1728"/>
          </w:tcPr>
          <w:p>
            <w:r>
              <w:t>$15,700</w:t>
            </w:r>
          </w:p>
        </w:tc>
        <w:tc>
          <w:tcPr>
            <w:tcW w:type="dxa" w:w="1728"/>
          </w:tcPr>
          <w:p>
            <w:r>
              <w:t>-$200</w:t>
            </w:r>
          </w:p>
        </w:tc>
      </w:tr>
      <w:tr>
        <w:tc>
          <w:tcPr>
            <w:tcW w:type="dxa" w:w="1728"/>
          </w:tcPr>
          <w:p>
            <w:r>
              <w:t>Q3 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$47,900</w:t>
            </w:r>
          </w:p>
        </w:tc>
        <w:tc>
          <w:tcPr>
            <w:tcW w:type="dxa" w:w="1728"/>
          </w:tcPr>
          <w:p>
            <w:r>
              <w:t>$47,550</w:t>
            </w:r>
          </w:p>
        </w:tc>
        <w:tc>
          <w:tcPr>
            <w:tcW w:type="dxa" w:w="1728"/>
          </w:tcPr>
          <w:p>
            <w:r>
              <w:t>-$350</w:t>
            </w:r>
          </w:p>
        </w:tc>
      </w:tr>
    </w:tbl>
    <w:p>
      <w:r>
        <w:t>Q3 closed $350 under forecast. Phase 1 stayed within the $38,300 total ($31,500 signed 12 February 2026, plus $6,800 for Change Order 01), and the bridge period used less contingency than planned.</w:t>
      </w:r>
    </w:p>
    <w:p>
      <w:pPr>
        <w:pStyle w:val="Heading2"/>
      </w:pPr>
      <w:r>
        <w:t>Phase 2 forecast by role</w:t>
      </w:r>
    </w:p>
    <w:p>
      <w:r>
        <w:t>Spend to 2 October covers only the last days of September. The forecast at completion is unchanged from the approved budget.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 budget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Spent to 2 Oct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Forecast at completion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$26,400</w:t>
            </w:r>
          </w:p>
        </w:tc>
        <w:tc>
          <w:tcPr>
            <w:tcW w:type="dxa" w:w="1728"/>
          </w:tcPr>
          <w:p>
            <w:r>
              <w:t>$4,550</w:t>
            </w:r>
          </w:p>
        </w:tc>
        <w:tc>
          <w:tcPr>
            <w:tcW w:type="dxa" w:w="1728"/>
          </w:tcPr>
          <w:p>
            <w:r>
              <w:t>$26,400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$9,800</w:t>
            </w:r>
          </w:p>
        </w:tc>
        <w:tc>
          <w:tcPr>
            <w:tcW w:type="dxa" w:w="1728"/>
          </w:tcPr>
          <w:p>
            <w:r>
              <w:t>$1,700</w:t>
            </w:r>
          </w:p>
        </w:tc>
        <w:tc>
          <w:tcPr>
            <w:tcW w:type="dxa" w:w="1728"/>
          </w:tcPr>
          <w:p>
            <w:r>
              <w:t>$9,800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Design</w:t>
            </w:r>
          </w:p>
        </w:tc>
        <w:tc>
          <w:tcPr>
            <w:tcW w:type="dxa" w:w="1728"/>
          </w:tcPr>
          <w:p>
            <w:r>
              <w:t>$5,200</w:t>
            </w:r>
          </w:p>
        </w:tc>
        <w:tc>
          <w:tcPr>
            <w:tcW w:type="dxa" w:w="1728"/>
          </w:tcPr>
          <w:p>
            <w:r>
              <w:t>$1,400</w:t>
            </w:r>
          </w:p>
        </w:tc>
        <w:tc>
          <w:tcPr>
            <w:tcW w:type="dxa" w:w="1728"/>
          </w:tcPr>
          <w:p>
            <w:r>
              <w:t>$5,200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$4,300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$4,300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Quality assurance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$48,200</w:t>
            </w:r>
          </w:p>
        </w:tc>
        <w:tc>
          <w:tcPr>
            <w:tcW w:type="dxa" w:w="1728"/>
          </w:tcPr>
          <w:p>
            <w:r>
              <w:t>$8,750</w:t>
            </w:r>
          </w:p>
        </w:tc>
        <w:tc>
          <w:tcPr>
            <w:tcW w:type="dxa" w:w="1728"/>
          </w:tcPr>
          <w:p>
            <w:r>
              <w:t>$48,200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2"/>
      </w:pPr>
      <w:r>
        <w:t>Variance commentary</w:t>
      </w:r>
    </w:p>
    <w:p>
      <w:pPr>
        <w:pStyle w:val="ListBullet"/>
      </w:pPr>
      <w:r>
        <w:t>Engineering ($26,400) is $150 ahead of the September plan; October carries the heaviest load for the Ask pilot, so no saving is assumed.</w:t>
      </w:r>
    </w:p>
    <w:p>
      <w:pPr>
        <w:pStyle w:val="ListBullet"/>
      </w:pPr>
      <w:r>
        <w:t>Data ($9,800) is $100 under for September and the warehouse quality checks are still forecast at the planned effort.</w:t>
      </w:r>
    </w:p>
    <w:p>
      <w:pPr>
        <w:pStyle w:val="ListBullet"/>
      </w:pPr>
      <w:r>
        <w:t>Design ($5,200), project management ($4,300) and quality assurance ($2,500) are on plan.</w:t>
      </w:r>
    </w:p>
    <w:p>
      <w:pPr>
        <w:pStyle w:val="Heading2"/>
      </w:pPr>
      <w:r>
        <w:t>Risks to the forecast</w:t>
      </w:r>
    </w:p>
    <w:p>
      <w:r>
        <w:t>A slip in the warehouse cutover would move data and quality assurance effort into November. Any resulting overspend would be raised as a contingency request to the steering committee; no request has been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 vs Actual - Q3 2026</dc:title>
  <dc:subject/>
  <dc:creator>User 2</dc:creator>
  <cp:keywords/>
  <dc:description>generated by python-docx</dc:description>
  <cp:lastModifiedBy>User 2</cp:lastModifiedBy>
  <cp:revision>1</cp:revision>
  <dcterms:created xsi:type="dcterms:W3CDTF">2026-10-05T00:00:00Z</dcterms:created>
  <dcterms:modified xsi:type="dcterms:W3CDTF">2026-10-09T00:00:00Z</dcterms:modified>
  <cp:category/>
</cp:coreProperties>
</file>