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Migration Plan - Warehouse Cutover</w:t>
      </w:r>
    </w:p>
    <w:p>
      <w:r>
        <w:t>This plan covers the migration of the client's warehouse data into the Harborview Platform ingest store for Falcon Phase 2, revised on 14 October 2026. The warehouse cutover is 2 November 2026. The plan sets out the steps, owners, the parallel run, the rollback approach and the 98.5 percent data quality threshold.</w:t>
      </w:r>
    </w:p>
    <w:p>
      <w:pPr>
        <w:pStyle w:val="Heading2"/>
      </w:pPr>
      <w:r>
        <w:t>Cutover</w:t>
      </w:r>
    </w:p>
    <w:p>
      <w:r>
        <w:t>Cutover is planned for 2 November 2026, a Monday, ahead of the pilot window of 9 to 27 November 2026. A parallel run of five working days precedes it, with the legacy extract and the new ingest producing output side by side.</w:t>
      </w:r>
    </w:p>
    <w:p>
      <w:pPr>
        <w:pStyle w:val="Heading2"/>
      </w:pPr>
      <w:r>
        <w:t>Data quality threshold</w:t>
      </w:r>
    </w:p>
    <w:p>
      <w:r>
        <w:t>A migration batch passes when at least 98.5 percent of rows pass row-level checks (mandatory fields, key uniqueness, referential integrity and date validity). The threshold was agreed on 29 September 2026. Rows that fail are quarantined, counted and reported; they are not loaded.</w:t>
      </w:r>
    </w:p>
    <w:p>
      <w:pPr>
        <w:pStyle w:val="Heading2"/>
      </w:pPr>
      <w:r>
        <w:t>Steps and owners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Planned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Dry run on a copy of the warehouse</w:t>
            </w:r>
          </w:p>
        </w:tc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Row-level check rules reviewed</w:t>
            </w:r>
          </w:p>
        </w:tc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Parallel run, five working days</w:t>
            </w:r>
          </w:p>
        </w:tc>
        <w:tc>
          <w:tcPr>
            <w:tcW w:type="dxa" w:w="2160"/>
          </w:tcPr>
          <w:p>
            <w:r>
              <w:t>Engineers and analysts</w:t>
            </w:r>
          </w:p>
        </w:tc>
        <w:tc>
          <w:tcPr>
            <w:tcW w:type="dxa" w:w="2160"/>
          </w:tcPr>
          <w:p>
            <w:r>
              <w:t>26 to 30 October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Go or no-go review</w:t>
            </w:r>
          </w:p>
        </w:tc>
        <w:tc>
          <w:tcPr>
            <w:tcW w:type="dxa" w:w="2160"/>
          </w:tcPr>
          <w:p>
            <w:r>
              <w:t>Delivery lead (User 2) and Client delivery lead</w:t>
            </w:r>
          </w:p>
        </w:tc>
        <w:tc>
          <w:tcPr>
            <w:tcW w:type="dxa" w:w="2160"/>
          </w:tcPr>
          <w:p>
            <w:r>
              <w:t>30 October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Cutover and reconciliation</w:t>
            </w:r>
          </w:p>
        </w:tc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>
              <w:t>2 November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Post-cutover check</w:t>
            </w:r>
          </w:p>
        </w:tc>
        <w:tc>
          <w:tcPr>
            <w:tcW w:type="dxa" w:w="2160"/>
          </w:tcPr>
          <w:p>
            <w:r>
              <w:t>Analysts</w:t>
            </w:r>
          </w:p>
        </w:tc>
        <w:tc>
          <w:tcPr>
            <w:tcW w:type="dxa" w:w="2160"/>
          </w:tcPr>
          <w:p>
            <w:r>
              <w:t>3 to 4 November</w:t>
            </w:r>
          </w:p>
        </w:tc>
      </w:tr>
    </w:tbl>
    <w:p>
      <w:pPr>
        <w:pStyle w:val="Heading2"/>
      </w:pPr>
      <w:r>
        <w:t>Rollback</w:t>
      </w:r>
    </w:p>
    <w:p>
      <w:pPr>
        <w:pStyle w:val="ListBullet"/>
      </w:pPr>
      <w:r>
        <w:t>Trigger: pass rate under the threshold, or a severity 1 defect on the cutover day.</w:t>
      </w:r>
    </w:p>
    <w:p>
      <w:pPr>
        <w:pStyle w:val="ListBullet"/>
      </w:pPr>
      <w:r>
        <w:t>Action: stop ingest, repoint consumers to the legacy extract, keep the new store for analysis.</w:t>
      </w:r>
    </w:p>
    <w:p>
      <w:pPr>
        <w:pStyle w:val="ListBullet"/>
      </w:pPr>
      <w:r>
        <w:t>Decision owner: Delivery lead (User 2), with the client delivery lead informed within one hour.</w:t>
      </w:r>
    </w:p>
    <w:p>
      <w:r>
        <w:t>Risks and dependencies are tracked in the project risk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Migration Plan</dc:title>
  <dc:subject/>
  <dc:creator>User 2</dc:creator>
  <cp:keywords/>
  <dc:description>generated by python-docx</dc:description>
  <cp:lastModifiedBy>User 2</cp:lastModifiedBy>
  <cp:revision>1</cp:revision>
  <dcterms:created xsi:type="dcterms:W3CDTF">2026-08-24T00:00:00Z</dcterms:created>
  <dcterms:modified xsi:type="dcterms:W3CDTF">2026-10-14T00:00:00Z</dcterms:modified>
  <cp:category/>
</cp:coreProperties>
</file>