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EOR SNAPSHOT — COASTAL ENTERPRISES</w:t>
      </w:r>
    </w:p>
    <w:p>
      <w:r>
        <w:rPr>
          <w:i/>
        </w:rPr>
        <w:t>Review of the new Executive Opportunity Snapshot</w:t>
      </w:r>
    </w:p>
    <w:p>
      <w:pPr>
        <w:pStyle w:val="Heading1"/>
      </w:pPr>
      <w:r>
        <w:t>Verdict</w:t>
      </w:r>
    </w:p>
    <w:p>
      <w:r>
        <w:t>This is much closer to the EOR architecture we had intended. The page finally does the most important thing correctly: it compares every visible filed category against peers before deciding what deserves attention, and it explicitly shows where Coastal appears well positioned.</w:t>
      </w:r>
    </w:p>
    <w:p>
      <w:r>
        <w:t>The page is not finished, however. One important logic inconsistency remains in the headline/summary metrics, and there is a benchmark-cohort wording issue that should be resolved before this becomes canonical.</w:t>
      </w:r>
    </w:p>
    <w:p>
      <w:pPr>
        <w:pStyle w:val="Heading1"/>
      </w:pPr>
      <w:r>
        <w:t>What is now right</w:t>
      </w:r>
    </w:p>
    <w:p>
      <w:pPr>
        <w:pStyle w:val="ListBullet"/>
      </w:pPr>
      <w:r>
        <w:t>All six filed indirect categories are shown together rather than allowing the two largest lines to dominate the analysis.</w:t>
      </w:r>
    </w:p>
    <w:p>
      <w:pPr>
        <w:pStyle w:val="ListBullet"/>
      </w:pPr>
      <w:r>
        <w:t>The page now includes peer median, peer count and percentile/position for each category. This restores the missing analytical spine.</w:t>
      </w:r>
    </w:p>
    <w:p>
      <w:pPr>
        <w:pStyle w:val="ListBullet"/>
      </w:pPr>
      <w:r>
        <w:t>Insurance earns special treatment for an evidence reason, not merely because it is the largest category: it is at the 99th percentile and has a second evidence layer from Form 5500 Schedule A.</w:t>
      </w:r>
    </w:p>
    <w:p>
      <w:pPr>
        <w:pStyle w:val="ListBullet"/>
      </w:pPr>
      <w:r>
        <w:t>Utilities and SaaS / Software are explicitly identified as areas that appear well positioned. This restores one of the strongest trust devices from the canonical EOR.</w:t>
      </w:r>
    </w:p>
    <w:p>
      <w:pPr>
        <w:pStyle w:val="ListBullet"/>
      </w:pPr>
      <w:r>
        <w:t>Office Supplies is correctly left without a peer conclusion when no comparable cohort exists, instead of manufacturing a benchmark.</w:t>
      </w:r>
    </w:p>
    <w:p>
      <w:pPr>
        <w:pStyle w:val="ListBullet"/>
      </w:pPr>
      <w:r>
        <w:t>The page clearly states that position is a starting point for a question, not a verdict. Keep that language.</w:t>
      </w:r>
    </w:p>
    <w:p>
      <w:pPr>
        <w:pStyle w:val="ListBullet"/>
      </w:pPr>
      <w:r>
        <w:t>Visually, this page is far more executive-readable than the earlier Coastal version. The four summary cards, category table, and two bottom interpretation panels create a clear hierarchy.</w:t>
      </w:r>
    </w:p>
    <w:p>
      <w:pPr>
        <w:pStyle w:val="Heading1"/>
      </w:pPr>
      <w:r>
        <w:t>P0 — the logic inconsistency to fix</w:t>
      </w:r>
    </w:p>
    <w:p>
      <w:r>
        <w:t>The headline says: “Six categories examined. Two look worth a conversation. Two look well bought.” But the metric card says there is only “1 evidence-supported priority,” and the page then explains that Insurance is the one category that earns a page because it has a second evidence layer.</w:t>
      </w:r>
    </w:p>
    <w:p>
      <w:r>
        <w:t>Those statements do not currently reconcile. If only Insurance is evidence-supported enough to be a dedicated priority, the page should not imply that two categories have already earned the same level of conversation.</w:t>
      </w:r>
    </w:p>
    <w:p>
      <w:pPr>
        <w:pStyle w:val="Heading2"/>
      </w:pPr>
      <w:r>
        <w:t>Recommended fix</w:t>
      </w:r>
    </w:p>
    <w:p>
      <w:r>
        <w:t>I would change the headline to one of these two options:</w:t>
      </w:r>
    </w:p>
    <w:p>
      <w:pPr>
        <w:pStyle w:val="ListBullet"/>
      </w:pPr>
      <w:r>
        <w:t>Preferred: “Six categories examined. One evidence-supported priority. Two appear well bought.”</w:t>
      </w:r>
    </w:p>
    <w:p>
      <w:pPr>
        <w:pStyle w:val="ListBullet"/>
      </w:pPr>
      <w:r>
        <w:t>Alternative, if Maintenance is intentionally a secondary conversation topic: “Six categories examined. One priority, two secondary questions, and two that appear well bought.”</w:t>
      </w:r>
    </w:p>
    <w:p>
      <w:r>
        <w:t>Do not call two categories priorities unless the second category has earned that status under the evidence-layer rule.</w:t>
      </w:r>
    </w:p>
    <w:p>
      <w:pPr>
        <w:pStyle w:val="Heading1"/>
      </w:pPr>
      <w:r>
        <w:t>P1 — benchmark cohort wording needs reconciliation</w:t>
      </w:r>
    </w:p>
    <w:p>
      <w:r>
        <w:t>The page says the peer cohort is nonprofit organizations with revenue between $7.8M and $31.4M, then shows per-category peer counts ranging from 434 to 10,953. The footer separately says “BENCHMARK peer cohort of 474 organizations by revenue band; per-category cohorts as shown.” Those statements are potentially confusing.</w:t>
      </w:r>
    </w:p>
    <w:p>
      <w:r>
        <w:t>A reader may reasonably ask how a 474-organization revenue-band cohort produces 10,953 Insurance peers. If 474 is the account-level comparator set and the larger counts come from a broader category-level benchmark universe, say that explicitly. If 474 is stale or wrong, remove it.</w:t>
      </w:r>
    </w:p>
    <w:p>
      <w:pPr>
        <w:pStyle w:val="Heading1"/>
      </w:pPr>
      <w:r>
        <w:t>P1 — tighten the top metric cards</w:t>
      </w:r>
    </w:p>
    <w:p>
      <w:pPr>
        <w:pStyle w:val="ListBullet"/>
      </w:pPr>
      <w:r>
        <w:t>“3 above peer median” is useful, but pair it explicitly with “1 evidence-supported priority.” That distinction is the whole point of the methodology.</w:t>
      </w:r>
    </w:p>
    <w:p>
      <w:pPr>
        <w:pStyle w:val="ListBullet"/>
      </w:pPr>
      <w:r>
        <w:t>“$1.62M addressable, as filed” is good. Keep “The true base is larger,” but do not let readers infer that all $1.62M is economically recoverable.</w:t>
      </w:r>
    </w:p>
    <w:p>
      <w:pPr>
        <w:pStyle w:val="ListBullet"/>
      </w:pPr>
      <w:r>
        <w:t>The evidence-depth card is missing from the four-card row even though the evidence-supported priority concept is central. Consider whether “above peer median” or “evidence depth” deserves the fourth-card prominence more.</w:t>
      </w:r>
    </w:p>
    <w:p>
      <w:pPr>
        <w:pStyle w:val="Heading1"/>
      </w:pPr>
      <w:r>
        <w:t>P2 — copy and visual refinements</w:t>
      </w:r>
    </w:p>
    <w:p>
      <w:pPr>
        <w:pStyle w:val="ListBullet"/>
      </w:pPr>
      <w:r>
        <w:t>“Well above · 99th” is strong and concise. Keep the percentile language consistent for every row.</w:t>
      </w:r>
    </w:p>
    <w:p>
      <w:pPr>
        <w:pStyle w:val="ListBullet"/>
      </w:pPr>
      <w:r>
        <w:t>The Insurance interpretation panel is good but slightly dense. Trim one sentence if needed rather than reducing type size.</w:t>
      </w:r>
    </w:p>
    <w:p>
      <w:pPr>
        <w:pStyle w:val="ListBullet"/>
      </w:pPr>
      <w:r>
        <w:t>The bottom methodology/footer line is visually crowded. The content matters, but it can move to a cleaner two-line source strip or the full methodology page.</w:t>
      </w:r>
    </w:p>
    <w:p>
      <w:pPr>
        <w:pStyle w:val="ListBullet"/>
      </w:pPr>
      <w:r>
        <w:t>The page number/footer treatment is good and finally feels like a real report component rather than a standalone marketing sheet.</w:t>
      </w:r>
    </w:p>
    <w:p>
      <w:pPr>
        <w:pStyle w:val="Heading1"/>
      </w:pPr>
      <w:r>
        <w:t>What I would tell Claude</w:t>
      </w:r>
    </w:p>
    <w:p>
      <w:r>
        <w:t>Do not redesign this page. The architecture is now right. Fix the headline/priority-count inconsistency, reconcile the 474-account peer cohort language with the much larger per-category cohort counts, and do a small footer-density cleanup. Then freeze this page as the canonical Executive Opportunity Snapshot component.</w:t>
      </w:r>
    </w:p>
    <w:p>
      <w:pPr>
        <w:pStyle w:val="Heading1"/>
      </w:pPr>
      <w:r>
        <w:t>Bottom line</w:t>
      </w:r>
    </w:p>
    <w:p>
      <w:r>
        <w:t>This is the first Coastal snapshot I would keep. It restores the missing peer comparison, shows non-opportunities, and makes Insurance a priority because of evidence rather than size. That is exactly the correction the prior EOR needed. It just needs the logic labels to agree with one another before it is finished.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