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CLAUDE — FIX THE EOR COVER LETTER</w:t>
      </w:r>
    </w:p>
    <w:p>
      <w:r>
        <w:rPr>
          <w:i/>
        </w:rPr>
        <w:t>Coastal Enterprises of Jacksonville — exact production instructions</w:t>
      </w:r>
    </w:p>
    <w:p>
      <w:pPr>
        <w:pStyle w:val="Heading1"/>
      </w:pPr>
      <w:r>
        <w:t>Do not redesign the letter. Repair it.</w:t>
      </w:r>
    </w:p>
    <w:p>
      <w:r>
        <w:t>The current cover letter is close in structure, but it is not production-ready. Fix the specific defects below and do not improvise a new concept.</w:t>
      </w:r>
    </w:p>
    <w:p>
      <w:pPr>
        <w:pStyle w:val="Heading1"/>
      </w:pPr>
      <w:r>
        <w:t>P0 defects in the current render</w:t>
      </w:r>
    </w:p>
    <w:p>
      <w:pPr>
        <w:pStyle w:val="ListBullet"/>
      </w:pPr>
      <w:r>
        <w:t>The recipient title is printed twice: “Chief Financial Officer” appears as both the recipient line and the next line. Remove the duplicate. The address block should contain one title only.</w:t>
      </w:r>
    </w:p>
    <w:p>
      <w:pPr>
        <w:pStyle w:val="ListBullet"/>
      </w:pPr>
      <w:r>
        <w:t>“Dear Colleague,” is too generic for a document described as prepared exclusively for this organization. If the CFO name is known and validated, use the person’s name. If it is not known, use “Dear Chief Financial Officer,” — do not fabricate a name.</w:t>
      </w:r>
    </w:p>
    <w:p>
      <w:pPr>
        <w:pStyle w:val="ListBullet"/>
      </w:pPr>
      <w:r>
        <w:t>The body copy is too dense. The letter should feel like a personal executive note, not a mini-report. Keep it to four short paragraphs plus the no-risk closing.</w:t>
      </w:r>
    </w:p>
    <w:p>
      <w:pPr>
        <w:pStyle w:val="ListBullet"/>
      </w:pPr>
      <w:r>
        <w:t>The line “We work in one thing” is awkward. Use “We specialize in one thing” or “Our work is focused on one thing.”</w:t>
      </w:r>
    </w:p>
    <w:p>
      <w:pPr>
        <w:pStyle w:val="ListBullet"/>
      </w:pPr>
      <w:r>
        <w:t>Do not let the QR/portal block crowd or visually compete with the signature. The signature must read as the primary close; the portal block is secondary.</w:t>
      </w:r>
    </w:p>
    <w:p>
      <w:pPr>
        <w:pStyle w:val="ListBullet"/>
      </w:pPr>
      <w:r>
        <w:t>The portal URL must render cleanly as one human-readable URL. Remove any hidden/invalid character that is currently appearing between “coastalenterprises” and “benchmark” in the parsed output.</w:t>
      </w:r>
    </w:p>
    <w:p>
      <w:pPr>
        <w:pStyle w:val="ListBullet"/>
      </w:pPr>
      <w:r>
        <w:t>Keep the ERA logo and the Value Through Insight footer, but preserve generous white space. Do not enlarge either.</w:t>
      </w:r>
    </w:p>
    <w:p>
      <w:pPr>
        <w:pStyle w:val="Heading1"/>
      </w:pPr>
      <w:r>
        <w:t>What the letter must accomplish</w:t>
      </w:r>
    </w:p>
    <w:p>
      <w:pPr>
        <w:pStyle w:val="ListBullet"/>
      </w:pPr>
      <w:r>
        <w:t>Explain why the report arrived before any meeting.</w:t>
      </w:r>
    </w:p>
    <w:p>
      <w:pPr>
        <w:pStyle w:val="ListBullet"/>
      </w:pPr>
      <w:r>
        <w:t>Make clear that it was built from public information only.</w:t>
      </w:r>
    </w:p>
    <w:p>
      <w:pPr>
        <w:pStyle w:val="ListBullet"/>
      </w:pPr>
      <w:r>
        <w:t>Frame the analysis as directional and evidence-led, not a conclusion or accusation.</w:t>
      </w:r>
    </w:p>
    <w:p>
      <w:pPr>
        <w:pStyle w:val="ListBullet"/>
      </w:pPr>
      <w:r>
        <w:t>Connect the purpose to Coastal Enterprises’ mission without sounding sentimental or manipulative.</w:t>
      </w:r>
    </w:p>
    <w:p>
      <w:pPr>
        <w:pStyle w:val="ListBullet"/>
      </w:pPr>
      <w:r>
        <w:t>Establish ERA credibility briefly, without turning the letter into an ERA advertisement.</w:t>
      </w:r>
    </w:p>
    <w:p>
      <w:pPr>
        <w:pStyle w:val="ListBullet"/>
      </w:pPr>
      <w:r>
        <w:t>Explain the no-risk economics and client control in one concise closing paragraph.</w:t>
      </w:r>
    </w:p>
    <w:p>
      <w:pPr>
        <w:pStyle w:val="ListBullet"/>
      </w:pPr>
      <w:r>
        <w:t>Point to the live Insight Center / benchmark page as an optional extension of the printed report.</w:t>
      </w:r>
    </w:p>
    <w:p>
      <w:pPr>
        <w:pStyle w:val="Heading1"/>
      </w:pPr>
      <w:r>
        <w:t>Use this exact content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t>Section</w:t>
            </w:r>
          </w:p>
        </w:tc>
        <w:tc>
          <w:tcPr>
            <w:tcW w:type="dxa" w:w="5040"/>
          </w:tcPr>
          <w:p>
            <w:r>
              <w:t>Required treatment</w:t>
            </w:r>
          </w:p>
        </w:tc>
      </w:tr>
      <w:tr>
        <w:tc>
          <w:tcPr>
            <w:tcW w:type="dxa" w:w="5040"/>
            <w:vAlign w:val="top"/>
          </w:tcPr>
          <w:p>
            <w:r>
              <w:t>Address block</w:t>
            </w:r>
          </w:p>
        </w:tc>
        <w:tc>
          <w:tcPr>
            <w:tcW w:type="dxa" w:w="5040"/>
            <w:vAlign w:val="top"/>
          </w:tcPr>
          <w:p>
            <w:r>
              <w:t>Date; validated recipient name if available; title once; organization; street; city/state/ZIP.</w:t>
            </w:r>
          </w:p>
        </w:tc>
      </w:tr>
      <w:tr>
        <w:tc>
          <w:tcPr>
            <w:tcW w:type="dxa" w:w="5040"/>
            <w:vAlign w:val="top"/>
          </w:tcPr>
          <w:p>
            <w:r>
              <w:t>Opening</w:t>
            </w:r>
          </w:p>
        </w:tc>
        <w:tc>
          <w:tcPr>
            <w:tcW w:type="dxa" w:w="5040"/>
            <w:vAlign w:val="top"/>
          </w:tcPr>
          <w:p>
            <w:r>
              <w:t>Why we prepared the report and why it matters to the organization.</w:t>
            </w:r>
          </w:p>
        </w:tc>
      </w:tr>
      <w:tr>
        <w:tc>
          <w:tcPr>
            <w:tcW w:type="dxa" w:w="5040"/>
            <w:vAlign w:val="top"/>
          </w:tcPr>
          <w:p>
            <w:r>
              <w:t>Method</w:t>
            </w:r>
          </w:p>
        </w:tc>
        <w:tc>
          <w:tcPr>
            <w:tcW w:type="dxa" w:w="5040"/>
            <w:vAlign w:val="top"/>
          </w:tcPr>
          <w:p>
            <w:r>
              <w:t>Prepared before contact, public information only, evidence suggests where a question may be worth asking.</w:t>
            </w:r>
          </w:p>
        </w:tc>
      </w:tr>
      <w:tr>
        <w:tc>
          <w:tcPr>
            <w:tcW w:type="dxa" w:w="5040"/>
            <w:vAlign w:val="top"/>
          </w:tcPr>
          <w:p>
            <w:r>
              <w:t>Credibility</w:t>
            </w:r>
          </w:p>
        </w:tc>
        <w:tc>
          <w:tcPr>
            <w:tcW w:type="dxa" w:w="5040"/>
            <w:vAlign w:val="top"/>
          </w:tcPr>
          <w:p>
            <w:r>
              <w:t>One short ERA proof paragraph. Do not dominate the letter.</w:t>
            </w:r>
          </w:p>
        </w:tc>
      </w:tr>
      <w:tr>
        <w:tc>
          <w:tcPr>
            <w:tcW w:type="dxa" w:w="5040"/>
            <w:vAlign w:val="top"/>
          </w:tcPr>
          <w:p>
            <w:r>
              <w:t>Close</w:t>
            </w:r>
          </w:p>
        </w:tc>
        <w:tc>
          <w:tcPr>
            <w:tcW w:type="dxa" w:w="5040"/>
            <w:vAlign w:val="top"/>
          </w:tcPr>
          <w:p>
            <w:r>
              <w:t>Short conversation; if arrangements are already competitive, that is a useful result; no recovery, no fee; no supplier change without approval.</w:t>
            </w:r>
          </w:p>
        </w:tc>
      </w:tr>
      <w:tr>
        <w:tc>
          <w:tcPr>
            <w:tcW w:type="dxa" w:w="5040"/>
            <w:vAlign w:val="top"/>
          </w:tcPr>
          <w:p>
            <w:r>
              <w:t>Signature + portal</w:t>
            </w:r>
          </w:p>
        </w:tc>
        <w:tc>
          <w:tcPr>
            <w:tcW w:type="dxa" w:w="5040"/>
            <w:vAlign w:val="top"/>
          </w:tcPr>
          <w:p>
            <w:r>
              <w:t>Signature first. Portal block secondary, aligned cleanly to the right or beneath signature with breathing room.</w:t>
            </w:r>
          </w:p>
        </w:tc>
      </w:tr>
    </w:tbl>
    <w:p>
      <w:pPr>
        <w:pStyle w:val="Heading1"/>
      </w:pPr>
      <w:r>
        <w:t>Replacement copy — use this</w:t>
      </w:r>
    </w:p>
    <w:p>
      <w:r>
        <w:t>September 4, 2026</w:t>
      </w:r>
    </w:p>
    <w:p>
      <w:r>
        <w:t>[Validated CFO Name, if known]</w:t>
        <w:br/>
        <w:t>Chief Financial Officer</w:t>
        <w:br/>
        <w:t>Coastal Enterprises of Jacksonville</w:t>
        <w:br/>
        <w:t>4915 Western Blvd</w:t>
        <w:br/>
        <w:t>Jacksonville, NC 28546</w:t>
      </w:r>
    </w:p>
    <w:p>
      <w:r>
        <w:t>Dear [Name / Chief Financial Officer],</w:t>
      </w:r>
    </w:p>
    <w:p>
      <w:r>
        <w:t>We prepared the enclosed Executive Opportunity Report before reaching out because we believe a useful conversation should begin with evidence, not a capability presentation. For an organization whose mission is helping people get and keep meaningful work, every dollar that does not need to remain in indirect operating expense is a dollar that can stay closer to that mission.</w:t>
      </w:r>
    </w:p>
    <w:p>
      <w:r>
        <w:t>The Report was built from public information only. It shows what the available record suggests may be worth understanding, what appears less important, and—just as importantly—what the public record cannot tell us. We treat those patterns as questions to validate, not conclusions about how Coastal Enterprises is being run.</w:t>
      </w:r>
    </w:p>
    <w:p>
      <w:r>
        <w:t>ERA Group has reviewed more than $2.25 billion of indirect spend across 6,420 engagements at 916 organizations. Our work is focused on recurring operating costs outside program delivery, using category specialists to test whether current arrangements remain competitive.</w:t>
      </w:r>
    </w:p>
    <w:p>
      <w:r>
        <w:t>If the analysis is directionally useful, we would welcome a short conversation. If your current arrangements are already competitive, that is a valuable answer too. Nothing changes without your approval, incumbent suppliers often remain, and if we do not create verified recovery, there is no fee.</w:t>
      </w:r>
    </w:p>
    <w:p>
      <w:r>
        <w:t>Best regards,</w:t>
        <w:br/>
        <w:t>John Wylie</w:t>
        <w:br/>
        <w:t>Consulting Partner · ERA Group</w:t>
        <w:br/>
        <w:t>jwylie@eragroup.com · 703.244.9868</w:t>
      </w:r>
    </w:p>
    <w:p>
      <w:r>
        <w:rPr>
          <w:b/>
        </w:rPr>
        <w:t>YOUR REPORT IS LIVE ONLINE</w:t>
        <w:br/>
        <w:t>portal.wpp-us.com/coastalenterprises-benchmark</w:t>
        <w:br/>
        <w:t>No code. No form. No login.</w:t>
      </w:r>
    </w:p>
    <w:p>
      <w:pPr>
        <w:pStyle w:val="Heading1"/>
      </w:pPr>
      <w:r>
        <w:t>Layout instructions</w:t>
      </w:r>
    </w:p>
    <w:p>
      <w:pPr>
        <w:pStyle w:val="ListBullet"/>
      </w:pPr>
      <w:r>
        <w:t>Keep the letter to one page.</w:t>
      </w:r>
    </w:p>
    <w:p>
      <w:pPr>
        <w:pStyle w:val="ListBullet"/>
      </w:pPr>
      <w:r>
        <w:t>Use the existing ERA visual system: navy, orange/gold accent, white background.</w:t>
      </w:r>
    </w:p>
    <w:p>
      <w:pPr>
        <w:pStyle w:val="ListBullet"/>
      </w:pPr>
      <w:r>
        <w:t>Logo at top left, approximately 20–25% smaller than the current oversized variants used earlier in development.</w:t>
      </w:r>
    </w:p>
    <w:p>
      <w:pPr>
        <w:pStyle w:val="ListBullet"/>
      </w:pPr>
      <w:r>
        <w:t>Use one horizontal navy rule; one short orange accent is enough.</w:t>
      </w:r>
    </w:p>
    <w:p>
      <w:pPr>
        <w:pStyle w:val="ListBullet"/>
      </w:pPr>
      <w:r>
        <w:t>Address block should be compact. Do not bold every line; only the recipient name or title may carry emphasis.</w:t>
      </w:r>
    </w:p>
    <w:p>
      <w:pPr>
        <w:pStyle w:val="ListBullet"/>
      </w:pPr>
      <w:r>
        <w:t>Body text should have comfortable leading and clear paragraph breaks. Do not compress to fit.</w:t>
      </w:r>
    </w:p>
    <w:p>
      <w:pPr>
        <w:pStyle w:val="ListBullet"/>
      </w:pPr>
      <w:r>
        <w:t>Signature should sit in the lower-left quadrant. Portal/QR block may sit lower-right, but must not intrude into the signature or body copy.</w:t>
      </w:r>
    </w:p>
    <w:p>
      <w:pPr>
        <w:pStyle w:val="ListBullet"/>
      </w:pPr>
      <w:r>
        <w:t>The QR code should be large enough to scan from print, but not visually dominant.</w:t>
      </w:r>
    </w:p>
    <w:p>
      <w:pPr>
        <w:pStyle w:val="ListBullet"/>
      </w:pPr>
      <w:r>
        <w:t>Keep the Value Through Insight mark centered or aligned cleanly at the bottom with sufficient margin.</w:t>
      </w:r>
    </w:p>
    <w:p>
      <w:pPr>
        <w:pStyle w:val="ListBullet"/>
      </w:pPr>
      <w:r>
        <w:t>Run a real PDF render after the change and visually inspect the entire page. Do not accept HTML/CSS correctness as proof that the PDF is correct.</w:t>
      </w:r>
    </w:p>
    <w:p>
      <w:pPr>
        <w:pStyle w:val="Heading1"/>
      </w:pPr>
      <w:r>
        <w:t>Acceptance test</w:t>
      </w:r>
    </w:p>
    <w:p>
      <w:pPr>
        <w:pStyle w:val="ListBullet"/>
      </w:pPr>
      <w:r>
        <w:t>No duplicate recipient title.</w:t>
      </w:r>
    </w:p>
    <w:p>
      <w:pPr>
        <w:pStyle w:val="ListBullet"/>
      </w:pPr>
      <w:r>
        <w:t>No generic salutation if a validated recipient name exists.</w:t>
      </w:r>
    </w:p>
    <w:p>
      <w:pPr>
        <w:pStyle w:val="ListBullet"/>
      </w:pPr>
      <w:r>
        <w:t>No invented recipient name.</w:t>
      </w:r>
    </w:p>
    <w:p>
      <w:pPr>
        <w:pStyle w:val="ListBullet"/>
      </w:pPr>
      <w:r>
        <w:t>No broken or hidden characters in the portal URL.</w:t>
      </w:r>
    </w:p>
    <w:p>
      <w:pPr>
        <w:pStyle w:val="ListBullet"/>
      </w:pPr>
      <w:r>
        <w:t>No overlap between signature, QR block, footer, or body.</w:t>
      </w:r>
    </w:p>
    <w:p>
      <w:pPr>
        <w:pStyle w:val="ListBullet"/>
      </w:pPr>
      <w:r>
        <w:t>No internal notes or placeholders.</w:t>
      </w:r>
    </w:p>
    <w:p>
      <w:pPr>
        <w:pStyle w:val="ListBullet"/>
      </w:pPr>
      <w:r>
        <w:t>Four concise body paragraphs; no wall of text.</w:t>
      </w:r>
    </w:p>
    <w:p>
      <w:pPr>
        <w:pStyle w:val="ListBullet"/>
      </w:pPr>
      <w:r>
        <w:t>Letter reads as respectful, prepared, evidence-led, and personal.</w:t>
      </w:r>
    </w:p>
    <w:p>
      <w:pPr>
        <w:pStyle w:val="ListBullet"/>
      </w:pPr>
      <w:r>
        <w:t>Printed version remains legible on a standard office printer.</w:t>
      </w:r>
    </w:p>
    <w:p>
      <w:pPr>
        <w:pStyle w:val="Heading1"/>
      </w:pPr>
      <w:r>
        <w:t>Critical instruction to Claude</w:t>
      </w:r>
    </w:p>
    <w:p>
      <w:r>
        <w:rPr>
          <w:b/>
        </w:rPr>
        <w:t>DO NOT change the EOR architecture, invent new proof points, alter the report’s analytical conclusions, or use this task as permission to rewrite the rest of the package. This task is only to repair the cover letter and its binding/rendering.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