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EOR Coastal Enterprises</w:t>
        <w:br/>
        <w:t>Recovery Assessment &amp; Rebuild Instructions</w:t>
      </w:r>
    </w:p>
    <w:p>
      <w:pPr>
        <w:jc w:val="center"/>
      </w:pPr>
      <w:r>
        <w:rPr>
          <w:b/>
          <w:sz w:val="21"/>
        </w:rPr>
        <w:t>Comparison against the canonical EOR vNEXT requirements, the SourceAmerica reference brief, and the current Coastal Enterprises render</w:t>
      </w:r>
    </w:p>
    <w:p>
      <w:pPr>
        <w:jc w:val="center"/>
      </w:pPr>
      <w:r>
        <w:rPr>
          <w:color w:val="5A5A5A"/>
          <w:sz w:val="18"/>
        </w:rPr>
        <w:t>September 4, 2026</w:t>
      </w:r>
    </w:p>
    <w:tbl>
      <w:tblPr>
        <w:tblW w:type="auto" w:w="0"/>
        <w:jc w:val="center"/>
        <w:tblLayout w:type="fixed"/>
        <w:tblLook w:firstColumn="1" w:firstRow="1" w:lastColumn="0" w:lastRow="0" w:noHBand="0" w:noVBand="1" w:val="04A0"/>
      </w:tblPr>
      <w:tblGrid>
        <w:gridCol w:w="9936"/>
      </w:tblGrid>
      <w:tr>
        <w:tc>
          <w:tcPr>
            <w:tcW w:type="dxa" w:w="10224"/>
            <w:vAlign w:val="center"/>
            <w:shd w:fill="F5F1E7"/>
          </w:tcPr>
          <w:p>
            <w:r>
              <w:rPr>
                <w:b/>
                <w:color w:val="0E3753"/>
                <w:sz w:val="24"/>
              </w:rPr>
              <w:t>VERDICT: THIS IS A REGRESSION, NOT THE CANONICAL EOR.</w:t>
            </w:r>
          </w:p>
          <w:p>
            <w:r>
              <w:t>The Coastal Enterprises PDF is visually clean in places, but analytically it has been rebuilt around spend concentration. It recognizes six visible categories, then promotes only Insurance and Maintenance because they are the two largest filed lines. That is exactly what the canonical requirements said not to do.</w:t>
            </w:r>
          </w:p>
          <w:p>
            <w:r>
              <w:t>Insurance may genuinely deserve priority because the Form 5500 adds a second, account-specific evidence source. Maintenance does not earn the same treatment from the evidence shown. It appears to be Priority 2 largely because it is the second-largest line.</w:t>
            </w:r>
          </w:p>
        </w:tc>
      </w:tr>
    </w:tbl>
    <w:p>
      <w:pPr>
        <w:pStyle w:val="Heading1"/>
      </w:pPr>
      <w:r>
        <w:t>1. What happened</w:t>
      </w:r>
    </w:p>
    <w:p>
      <w:r>
        <w:t>Claude appears to have recovered some content and visual styling, but not the canonical product logic. The current document is therefore not merely missing copy; it is using a different decision model.</w:t>
      </w:r>
    </w:p>
    <w:p>
      <w:r>
        <w:t>The canonical EOR was built to answer: Where does the account differ from peers? Which categories have enough evidence to support a real question? Where does the organization appear well positioned? What evidence is missing? The Coastal version instead asks: Which filed categories are biggest? That substitution changes the entire brief.</w:t>
      </w:r>
    </w:p>
    <w:p>
      <w:r>
        <w:t>The result is a document that feels narrow even though it is 16 PDF pages. Three pages (2, 4 and 14) are blank in the rendered file, leaving 13 content pages.</w:t>
      </w:r>
    </w:p>
    <w:p>
      <w:pPr>
        <w:pStyle w:val="Heading1"/>
      </w:pPr>
      <w:r>
        <w:t>2. Why it is focusing on two categories</w:t>
      </w:r>
    </w:p>
    <w:p>
      <w:r>
        <w:t>The answer is visible in the document itself:</w:t>
      </w:r>
    </w:p>
    <w:p>
      <w:pPr>
        <w:pStyle w:val="ListBullet"/>
      </w:pPr>
      <w:r>
        <w:rPr>
          <w:b/>
        </w:rPr>
        <w:t xml:space="preserve">Page 5: </w:t>
      </w:r>
      <w:r>
        <w:t>The brief lists six categories and their filed spend, but the comparison column is a generic published category recovery range (for example 8–25%), not a peer median for organizations like Coastal Enterprises.</w:t>
      </w:r>
    </w:p>
    <w:p>
      <w:pPr>
        <w:pStyle w:val="ListBullet"/>
      </w:pPr>
      <w:r>
        <w:rPr>
          <w:b/>
        </w:rPr>
        <w:t xml:space="preserve">Page 7: </w:t>
      </w:r>
      <w:r>
        <w:t>The graphic shows only Coastal’s own six filed amounts. There is no peer benchmark, no percentile, no variance-to-peer, and no evidence-depth comparison.</w:t>
      </w:r>
    </w:p>
    <w:p>
      <w:pPr>
        <w:pStyle w:val="ListBullet"/>
      </w:pPr>
      <w:r>
        <w:rPr>
          <w:b/>
        </w:rPr>
        <w:t xml:space="preserve">Pages 10–11: </w:t>
      </w:r>
      <w:r>
        <w:t>Insurance and Maintenance are labeled “Priority 1 of 2” and “Priority 2 of 2.” Insurance is 65% of visible indirect spend; Maintenance is the second-largest at 16%.</w:t>
      </w:r>
    </w:p>
    <w:p>
      <w:pPr>
        <w:pStyle w:val="ListBullet"/>
      </w:pPr>
      <w:r>
        <w:rPr>
          <w:b/>
        </w:rPr>
        <w:t xml:space="preserve">Page 8: </w:t>
      </w:r>
      <w:r>
        <w:t>The narrative explicitly says concentration means one category can cover most of the ground. That makes spend concentration the primary selection logic.</w:t>
      </w:r>
    </w:p>
    <w:p>
      <w:r>
        <w:rPr>
          <w:b/>
        </w:rPr>
        <w:t xml:space="preserve">That is the core error. </w:t>
      </w:r>
      <w:r>
        <w:t>The canonical requirement says category ordering must prioritize evidentiary strength, likely economic materiality, and usefulness as an executive discovery conversation — “not simply largest filed spend.”</w:t>
      </w:r>
    </w:p>
    <w:p>
      <w:pPr>
        <w:pStyle w:val="Heading1"/>
      </w:pPr>
      <w:r>
        <w:t>3. What is missing or materially weakened</w:t>
      </w:r>
    </w:p>
    <w:p>
      <w:pPr>
        <w:pStyle w:val="Heading2"/>
      </w:pPr>
      <w:r>
        <w:t>Executive Opportunity Snapshot</w:t>
      </w:r>
    </w:p>
    <w:p>
      <w:r>
        <w:t>Gone. The canonical principal summary page was supposed to show a directional opportunity range, addressable spend, categories examined, categories above peer median, evidence-supported priorities, and evidence depth. The current “Executive Overview” is orientation plus a six-line spend table, not the executive snapshot.</w:t>
      </w:r>
    </w:p>
    <w:p>
      <w:pPr>
        <w:pStyle w:val="Heading2"/>
      </w:pPr>
      <w:r>
        <w:t>Peer benchmarking</w:t>
      </w:r>
    </w:p>
    <w:p>
      <w:r>
        <w:t>This is the biggest analytical loss. The current report does not show Coastal against a peer cohort by category. It substitutes generic “published ranges for how these categories behave when tested.” Those are category recovery ranges, not peer benchmarks.</w:t>
      </w:r>
    </w:p>
    <w:p>
      <w:pPr>
        <w:pStyle w:val="Heading2"/>
      </w:pPr>
      <w:r>
        <w:t>Variance / percentile logic</w:t>
      </w:r>
    </w:p>
    <w:p>
      <w:r>
        <w:t>Gone. There is no median, P75, percentile, basis-point difference, or other account-vs-peer signal. Without it, the brief cannot tell whether Utilities, Travel, Office Supplies or SaaS are unusually high, low, or ordinary.</w:t>
      </w:r>
    </w:p>
    <w:p>
      <w:pPr>
        <w:pStyle w:val="Heading2"/>
      </w:pPr>
      <w:r>
        <w:t>Where you appear to be buying well</w:t>
      </w:r>
    </w:p>
    <w:p>
      <w:r>
        <w:t>Gone. The canonical product explicitly required a healthy-category section because saying “we would not start here” is one of the strongest trust devices in the EOR. Coastal only says the smaller categories are “small enough” after Insurance; that is not the same conclusion.</w:t>
      </w:r>
    </w:p>
    <w:p>
      <w:pPr>
        <w:pStyle w:val="Heading2"/>
      </w:pPr>
      <w:r>
        <w:t>Evidence-supported priority logic</w:t>
      </w:r>
    </w:p>
    <w:p>
      <w:r>
        <w:t>We previously separated “above peer median” from “evidence-supported priority categories.” Coastal has no such distinction. Maintenance is given a full priority page even though the page itself says Operating and Registry evidence are absent.</w:t>
      </w:r>
    </w:p>
    <w:p>
      <w:pPr>
        <w:pStyle w:val="Heading2"/>
      </w:pPr>
      <w:r>
        <w:t>The canonical evidence object</w:t>
      </w:r>
    </w:p>
    <w:p>
      <w:r>
        <w:t>The prior model separated FILED / OPERATING / IMPLIES / MARKET / THE QUESTION WORTH ASKING. Coastal replaces that with an eight-state ledger (Filed, Benchmark, Derived, Registry, Operating, Retrieved, Engagement, Verified). Provenance is useful, but the executive discovery question has disappeared as a canonical rendered object.</w:t>
      </w:r>
    </w:p>
    <w:p>
      <w:pPr>
        <w:pStyle w:val="Heading2"/>
      </w:pPr>
      <w:r>
        <w:t>Why indirect spend drifts</w:t>
      </w:r>
    </w:p>
    <w:p>
      <w:r>
        <w:t>The canonical “Why This Is Worth Examining” mechanism page is missing. Coastal jumps from account numbers directly to concentration. That removes the neutral explanation of why opportunities can exist without implying management failure.</w:t>
      </w:r>
    </w:p>
    <w:p>
      <w:pPr>
        <w:pStyle w:val="Heading2"/>
      </w:pPr>
      <w:r>
        <w:t>ERA proof in the body</w:t>
      </w:r>
    </w:p>
    <w:p>
      <w:r>
        <w:t>The letter includes aggregate ERA statistics, but the canonical design treated ERA proof as a secondary analytical component alongside the peer page. That reinforcing component is missing from the body.</w:t>
      </w:r>
    </w:p>
    <w:p>
      <w:pPr>
        <w:pStyle w:val="Heading2"/>
      </w:pPr>
      <w:r>
        <w:t>Relevant case study</w:t>
      </w:r>
    </w:p>
    <w:p>
      <w:r>
        <w:t>Absent. This is acceptable only if no genuinely relevant case clears the relevance threshold. The system should explicitly omit it for that reason, not forget the component.</w:t>
      </w:r>
    </w:p>
    <w:p>
      <w:pPr>
        <w:pStyle w:val="Heading2"/>
      </w:pPr>
      <w:r>
        <w:t>Full source / verification page</w:t>
      </w:r>
    </w:p>
    <w:p>
      <w:r>
        <w:t>Page 12 is a useful evidence-state table, but it is not the same as the canonical source list with source title, publisher, filing year, publication date, retrieval date, source type and digital URL.</w:t>
      </w:r>
    </w:p>
    <w:p>
      <w:pPr>
        <w:pStyle w:val="Heading2"/>
      </w:pPr>
      <w:r>
        <w:t>Account-specific operating research</w:t>
      </w:r>
    </w:p>
    <w:p>
      <w:r>
        <w:t>Page 12 says no Operating or Retrieved evidence was found. That may be true, but it means the research pass is thin. The canonical model expected the research engine to look for verified public operating evidence and current market context before concluding they are absent.</w:t>
      </w:r>
    </w:p>
    <w:p>
      <w:pPr>
        <w:pStyle w:val="Heading2"/>
      </w:pPr>
      <w:r>
        <w:t>Insight Center synchronization</w:t>
      </w:r>
    </w:p>
    <w:p>
      <w:r>
        <w:t>The PDF points to the portal, but the EOR requirements say PDF and Insight Centre must be generated from the same underlying research/evidence model. If Claude rebuilt the PDF logic independently, that creates the exact “two truths” problem we had prohibited.</w:t>
      </w:r>
    </w:p>
    <w:p>
      <w:pPr>
        <w:pStyle w:val="Heading1"/>
      </w:pPr>
      <w:r>
        <w:t>4. What Coastal gets right</w:t>
      </w:r>
    </w:p>
    <w:p>
      <w:pPr>
        <w:pStyle w:val="ListBullet"/>
      </w:pPr>
      <w:r>
        <w:t>The cover and overall restraint are good. It looks executive rather than promotional.</w:t>
      </w:r>
    </w:p>
    <w:p>
      <w:pPr>
        <w:pStyle w:val="ListBullet"/>
      </w:pPr>
      <w:r>
        <w:t>The letter is warm, mission-connected, and careful not to accuse management.</w:t>
      </w:r>
    </w:p>
    <w:p>
      <w:pPr>
        <w:pStyle w:val="ListBullet"/>
      </w:pPr>
      <w:r>
        <w:t>The Form 5500 work on Insurance is exactly the kind of account-specific second-source evidence the EOR should surface.</w:t>
      </w:r>
    </w:p>
    <w:p>
      <w:pPr>
        <w:pStyle w:val="ListBullet"/>
      </w:pPr>
      <w:r>
        <w:t>The language “what we know / what we do not know” is disciplined and credible.</w:t>
      </w:r>
    </w:p>
    <w:p>
      <w:pPr>
        <w:pStyle w:val="ListBullet"/>
      </w:pPr>
      <w:r>
        <w:t>The no-recovery/no-fee and incumbent-control framing is strong.</w:t>
      </w:r>
    </w:p>
    <w:p>
      <w:pPr>
        <w:pStyle w:val="ListBullet"/>
      </w:pPr>
      <w:r>
        <w:t>The closing “Everything you have just read was prepared before we ever spoke” remains one of the strongest parts of the EOR.</w:t>
      </w:r>
    </w:p>
    <w:p>
      <w:pPr>
        <w:pStyle w:val="Heading1"/>
      </w:pPr>
      <w:r>
        <w:t>5. Why Insurance can stay — and why Maintenance must be re-earned</w:t>
      </w:r>
    </w:p>
    <w:p>
      <w:pPr>
        <w:pStyle w:val="Heading2"/>
      </w:pPr>
      <w:r>
        <w:t>Insurance</w:t>
      </w:r>
    </w:p>
    <w:p>
      <w:r>
        <w:t>Insurance has a credible reason to be a priority independent of its size: Coastal’s Form 990 shows a $1.05M line, and the Form 5500 Schedule A adds account-specific evidence about intermediaries and disclosed compensation. That is a real second evidence layer and produces a concrete executive question: when was the arrangement last genuinely tested, and what does each compensated party do?</w:t>
      </w:r>
    </w:p>
    <w:p>
      <w:pPr>
        <w:pStyle w:val="Heading2"/>
      </w:pPr>
      <w:r>
        <w:t>Maintenance</w:t>
      </w:r>
    </w:p>
    <w:p>
      <w:r>
        <w:t>Maintenance currently has only the filed amount plus generic category experience/range. The page admits there is no Operating or Registry evidence. Under the canonical rules, a category generally needs at least two meaningful evidence layers before it earns a dedicated evidence appendix entry. Maintenance should not automatically be Priority 2 because it is the second-largest visible line.</w:t>
      </w:r>
    </w:p>
    <w:p>
      <w:r>
        <w:t>It may still become Priority 2 after peer comparison or additional research. But it has to earn that position.</w:t>
      </w:r>
    </w:p>
    <w:p>
      <w:pPr>
        <w:pStyle w:val="Heading1"/>
      </w:pPr>
      <w:r>
        <w:t>6. The correct selection logic</w:t>
      </w:r>
    </w:p>
    <w:p>
      <w:pPr>
        <w:pStyle w:val="ListNumber"/>
      </w:pPr>
      <w:r>
        <w:rPr>
          <w:b/>
        </w:rPr>
        <w:t xml:space="preserve">1. Map every visible filed category — </w:t>
      </w:r>
      <w:r>
        <w:t>Do not stop at the top two by dollars.</w:t>
      </w:r>
    </w:p>
    <w:p>
      <w:pPr>
        <w:pStyle w:val="ListNumber"/>
      </w:pPr>
      <w:r>
        <w:rPr>
          <w:b/>
        </w:rPr>
        <w:t xml:space="preserve">2. Build the peer cohort — </w:t>
      </w:r>
      <w:r>
        <w:t>Same/appropriate organization type, scale band, filing-period methodology, and denominator.</w:t>
      </w:r>
    </w:p>
    <w:p>
      <w:pPr>
        <w:pStyle w:val="ListNumber"/>
      </w:pPr>
      <w:r>
        <w:rPr>
          <w:b/>
        </w:rPr>
        <w:t xml:space="preserve">3. Compare every mapped category — </w:t>
      </w:r>
      <w:r>
        <w:t>Show account value, peer median, cohort count, variance and percentile/P75 where available.</w:t>
      </w:r>
    </w:p>
    <w:p>
      <w:pPr>
        <w:pStyle w:val="ListNumber"/>
      </w:pPr>
      <w:r>
        <w:rPr>
          <w:b/>
        </w:rPr>
        <w:t xml:space="preserve">4. Classify — </w:t>
      </w:r>
      <w:r>
        <w:t>Above peer median; near peer; below peer / appears well positioned.</w:t>
      </w:r>
    </w:p>
    <w:p>
      <w:pPr>
        <w:pStyle w:val="ListNumber"/>
      </w:pPr>
      <w:r>
        <w:rPr>
          <w:b/>
        </w:rPr>
        <w:t xml:space="preserve">5. Layer evidence — </w:t>
      </w:r>
      <w:r>
        <w:t>Filed + verified Operating + current Market/Registry evidence, with inference visually separate.</w:t>
      </w:r>
    </w:p>
    <w:p>
      <w:pPr>
        <w:pStyle w:val="ListNumber"/>
      </w:pPr>
      <w:r>
        <w:rPr>
          <w:b/>
        </w:rPr>
        <w:t xml:space="preserve">6. Rank priorities — </w:t>
      </w:r>
      <w:r>
        <w:t>Evidence strength first, then materiality and executive usefulness — not spend size alone.</w:t>
      </w:r>
    </w:p>
    <w:p>
      <w:pPr>
        <w:pStyle w:val="ListNumber"/>
      </w:pPr>
      <w:r>
        <w:rPr>
          <w:b/>
        </w:rPr>
        <w:t xml:space="preserve">7. Name healthy categories — </w:t>
      </w:r>
      <w:r>
        <w:t>Explicitly say where we would not start and why.</w:t>
      </w:r>
    </w:p>
    <w:p>
      <w:pPr>
        <w:pStyle w:val="ListNumber"/>
      </w:pPr>
      <w:r>
        <w:rPr>
          <w:b/>
        </w:rPr>
        <w:t xml:space="preserve">8. Render evidence appendix only where earned — </w:t>
      </w:r>
      <w:r>
        <w:t>Do not manufacture account-specific explanation for filing-only categories.</w:t>
      </w:r>
    </w:p>
    <w:p>
      <w:pPr>
        <w:pStyle w:val="Heading1"/>
      </w:pPr>
      <w:r>
        <w:t>7. Recommended rebuilt Coastal EOR</w:t>
      </w:r>
    </w:p>
    <w:p>
      <w:r>
        <w:rPr>
          <w:b/>
          <w:color w:val="0E3753"/>
        </w:rPr>
        <w:t>1. Cover</w:t>
      </w:r>
      <w:r>
        <w:t xml:space="preserve"> — Keep the current visual direction, but use the canonical mission proposition rather than “what a filing shows about how you buy” if the account data supports it.</w:t>
      </w:r>
    </w:p>
    <w:p>
      <w:r>
        <w:rPr>
          <w:b/>
          <w:color w:val="0E3753"/>
        </w:rPr>
        <w:t>2. Executive letter</w:t>
      </w:r>
      <w:r>
        <w:t xml:space="preserve"> — Keep; tighten only as needed.</w:t>
      </w:r>
    </w:p>
    <w:p>
      <w:r>
        <w:rPr>
          <w:b/>
          <w:color w:val="0E3753"/>
        </w:rPr>
        <w:t>3. Executive Opportunity Snapshot</w:t>
      </w:r>
      <w:r>
        <w:t xml:space="preserve"> — Restore. Directional outside-in opportunity range only if model inputs meet the confidence gate. Show addressable spend, categories examined, categories above peer median, evidence-supported priorities, and evidence depth.</w:t>
      </w:r>
    </w:p>
    <w:p>
      <w:r>
        <w:rPr>
          <w:b/>
          <w:color w:val="0E3753"/>
        </w:rPr>
        <w:t>4. Why this is worth examining</w:t>
      </w:r>
      <w:r>
        <w:t xml:space="preserve"> — Restore the neutral indirect-spend drift mechanism.</w:t>
      </w:r>
    </w:p>
    <w:p>
      <w:r>
        <w:rPr>
          <w:b/>
          <w:color w:val="0E3753"/>
        </w:rPr>
        <w:t>5. What your numbers say / account position</w:t>
      </w:r>
      <w:r>
        <w:t xml:space="preserve"> — Keep the useful filing narrative, but do not let concentration substitute for peer analysis.</w:t>
      </w:r>
    </w:p>
    <w:p>
      <w:r>
        <w:rPr>
          <w:b/>
          <w:color w:val="0E3753"/>
        </w:rPr>
        <w:t>6. Peer benchmark across all mapped categories</w:t>
      </w:r>
      <w:r>
        <w:t xml:space="preserve"> — Restore. This is where we learn whether Utilities, Travel, Office Supplies, SaaS, Maintenance and Insurance actually stand relative to comparable organizations.</w:t>
      </w:r>
    </w:p>
    <w:p>
      <w:r>
        <w:rPr>
          <w:b/>
          <w:color w:val="0E3753"/>
        </w:rPr>
        <w:t>7. Priority category pages</w:t>
      </w:r>
      <w:r>
        <w:t xml:space="preserve"> — Render only categories that win on evidence + materiality + conversation value. Insurance likely qualifies. Re-evaluate Maintenance after peer data and research.</w:t>
      </w:r>
    </w:p>
    <w:p>
      <w:r>
        <w:rPr>
          <w:b/>
          <w:color w:val="0E3753"/>
        </w:rPr>
        <w:t>8. Where you appear well positioned</w:t>
      </w:r>
      <w:r>
        <w:t xml:space="preserve"> — Restore as a dedicated trust component.</w:t>
      </w:r>
    </w:p>
    <w:p>
      <w:r>
        <w:rPr>
          <w:b/>
          <w:color w:val="0E3753"/>
        </w:rPr>
        <w:t>9. Evidence appendix</w:t>
      </w:r>
      <w:r>
        <w:t xml:space="preserve"> — Restore FILED / OPERATING / IMPLIES / MARKET / QUESTION WORTH ASKING, while preserving the richer provenance ledger underneath the UI.</w:t>
      </w:r>
    </w:p>
    <w:p>
      <w:r>
        <w:rPr>
          <w:b/>
          <w:color w:val="0E3753"/>
        </w:rPr>
        <w:t>10. ERA proof</w:t>
      </w:r>
      <w:r>
        <w:t xml:space="preserve"> — Secondary, brief, exact provenance.</w:t>
      </w:r>
    </w:p>
    <w:p>
      <w:r>
        <w:rPr>
          <w:b/>
          <w:color w:val="0E3753"/>
        </w:rPr>
        <w:t>11. Relevant case study</w:t>
      </w:r>
      <w:r>
        <w:t xml:space="preserve"> — Conditional only.</w:t>
      </w:r>
    </w:p>
    <w:p>
      <w:r>
        <w:rPr>
          <w:b/>
          <w:color w:val="0E3753"/>
        </w:rPr>
        <w:t>12. Sources / what would make this real</w:t>
      </w:r>
      <w:r>
        <w:t xml:space="preserve"> — Full independent-verification source list plus explicit missing evidence.</w:t>
      </w:r>
    </w:p>
    <w:p>
      <w:r>
        <w:rPr>
          <w:b/>
          <w:color w:val="0E3753"/>
        </w:rPr>
        <w:t>13. Before we meet</w:t>
      </w:r>
      <w:r>
        <w:t xml:space="preserve"> — Keep the trust-based closing and intellectual CTA.</w:t>
      </w:r>
    </w:p>
    <w:p>
      <w:pPr>
        <w:pStyle w:val="Heading1"/>
      </w:pPr>
      <w:r>
        <w:t>8. Non-negotiable rebuild instructions for Claude / Claude Code</w:t>
      </w:r>
    </w:p>
    <w:tbl>
      <w:tblPr>
        <w:tblW w:type="auto" w:w="0"/>
        <w:tblLook w:firstColumn="1" w:firstRow="1" w:lastColumn="0" w:lastRow="0" w:noHBand="0" w:noVBand="1" w:val="04A0"/>
      </w:tblPr>
      <w:tblGrid>
        <w:gridCol w:w="10224"/>
      </w:tblGrid>
      <w:tr>
        <w:tc>
          <w:tcPr>
            <w:tcW w:type="dxa" w:w="10224"/>
            <w:shd w:fill="EAF0F4"/>
          </w:tcPr>
          <w:p/>
          <w:p>
            <w:pPr>
              <w:pStyle w:val="ListBullet"/>
            </w:pPr>
            <w:r>
              <w:t>DO NOT redesign the EOR.</w:t>
            </w:r>
          </w:p>
          <w:p>
            <w:pPr>
              <w:pStyle w:val="ListBullet"/>
            </w:pPr>
            <w:r>
              <w:t>DO NOT use the Coastal PDF as the new canonical architecture.</w:t>
            </w:r>
          </w:p>
          <w:p>
            <w:pPr>
              <w:pStyle w:val="ListBullet"/>
            </w:pPr>
            <w:r>
              <w:t>Restore the canonical vNEXT component model and use Coastal only as account data/content input.</w:t>
            </w:r>
          </w:p>
          <w:p>
            <w:pPr>
              <w:pStyle w:val="ListBullet"/>
            </w:pPr>
            <w:r>
              <w:t>Restore peer benchmarking across every mapped category before selecting priorities.</w:t>
            </w:r>
          </w:p>
          <w:p>
            <w:pPr>
              <w:pStyle w:val="ListBullet"/>
            </w:pPr>
            <w:r>
              <w:t>Do not rank priorities simply by filed spend.</w:t>
            </w:r>
          </w:p>
          <w:p>
            <w:pPr>
              <w:pStyle w:val="ListBullet"/>
            </w:pPr>
            <w:r>
              <w:t>Separate “above peer median” from “evidence-supported priority.”</w:t>
            </w:r>
          </w:p>
          <w:p>
            <w:pPr>
              <w:pStyle w:val="ListBullet"/>
            </w:pPr>
            <w:r>
              <w:t>Restore the “where you appear well positioned” component.</w:t>
            </w:r>
          </w:p>
          <w:p>
            <w:pPr>
              <w:pStyle w:val="ListBullet"/>
            </w:pPr>
            <w:r>
              <w:t>Restore the executive opportunity snapshot.</w:t>
            </w:r>
          </w:p>
          <w:p>
            <w:pPr>
              <w:pStyle w:val="ListBullet"/>
            </w:pPr>
            <w:r>
              <w:t>Preserve the Form 5500 Insurance work; it is strong account-specific evidence.</w:t>
            </w:r>
          </w:p>
          <w:p>
            <w:pPr>
              <w:pStyle w:val="ListBullet"/>
            </w:pPr>
            <w:r>
              <w:t>Re-earn Maintenance as a priority through peer variance and/or additional account-specific evidence.</w:t>
            </w:r>
          </w:p>
          <w:p>
            <w:pPr>
              <w:pStyle w:val="ListBullet"/>
            </w:pPr>
            <w:r>
              <w:t>Preserve provenance underneath the product, but render the canonical evidence logic to the executive: FILED / OPERATING / IMPLIES / MARKET / QUESTION WORTH ASKING.</w:t>
            </w:r>
          </w:p>
          <w:p>
            <w:pPr>
              <w:pStyle w:val="ListBullet"/>
            </w:pPr>
            <w:r>
              <w:t>Do not manufacture Operating or Market evidence to fill a component.</w:t>
            </w:r>
          </w:p>
          <w:p>
            <w:pPr>
              <w:pStyle w:val="ListBullet"/>
            </w:pPr>
            <w:r>
              <w:t>PDF and Insight Center must bind to the same evidence model.</w:t>
            </w:r>
          </w:p>
          <w:p>
            <w:pPr>
              <w:pStyle w:val="ListBullet"/>
            </w:pPr>
            <w:r>
              <w:t>Remove the three blank pages unless they are deliberate print-side separators with an explicit production purpose.</w:t>
            </w:r>
          </w:p>
        </w:tc>
      </w:tr>
    </w:tbl>
    <w:p>
      <w:pPr>
        <w:pStyle w:val="Heading1"/>
      </w:pPr>
      <w:r>
        <w:t>9. Acceptance test before the next version is shown</w:t>
      </w:r>
    </w:p>
    <w:p>
      <w:r>
        <w:t>☐ Can I tell in 30 seconds how many categories were examined, how many sit above peer median, and how many are evidence-supported priorities?</w:t>
      </w:r>
    </w:p>
    <w:p>
      <w:r>
        <w:t>☐ Can I see which categories appear well positioned and are explicitly not being sold?</w:t>
      </w:r>
    </w:p>
    <w:p>
      <w:r>
        <w:t>☐ Does every priority have a reason beyond “it is large”?</w:t>
      </w:r>
    </w:p>
    <w:p>
      <w:r>
        <w:t>☐ Does every account-specific claim have source provenance?</w:t>
      </w:r>
    </w:p>
    <w:p>
      <w:r>
        <w:t>☐ Is inference visibly different from fact?</w:t>
      </w:r>
    </w:p>
    <w:p>
      <w:r>
        <w:t>☐ Does the peer benchmark show cohort count and methodology?</w:t>
      </w:r>
    </w:p>
    <w:p>
      <w:r>
        <w:t>☐ Is the opportunity range, if present, clearly directional and separate from variance-to-peer?</w:t>
      </w:r>
    </w:p>
    <w:p>
      <w:r>
        <w:t>☐ Does the document say what evidence is missing rather than filling gaps?</w:t>
      </w:r>
    </w:p>
    <w:p>
      <w:r>
        <w:t>☐ Do PDF and Insight Center show the same priorities, values, evidence states and questions?</w:t>
      </w:r>
    </w:p>
    <w:p>
      <w:r>
        <w:t>☐ Are there zero unexplained blank pages or production artifacts?</w:t>
      </w:r>
    </w:p>
    <w:p>
      <w:pPr>
        <w:pStyle w:val="Heading1"/>
      </w:pPr>
      <w:r>
        <w:t>10. Bottom line</w:t>
      </w:r>
    </w:p>
    <w:p>
      <w:r>
        <w:rPr>
          <w:b/>
        </w:rPr>
        <w:t xml:space="preserve">Do not keep iterating on this Coastal document as though it only needs polish. </w:t>
      </w:r>
      <w:r>
        <w:t>The visual shell can be reused, and the Insurance research should absolutely be preserved. But the analytical spine needs to be restored from the canonical EOR. The current version lost the peer-comparison engine, the healthy-category proof, the executive snapshot, and the evidence-based priority selection logic. That is why it feels like it is obsessing over two categories: because, functionally, it is.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WPP · EOR Recovery Assessment · September 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E37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B6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4B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E37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