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The following analysis pertains to the collection of size, type and amount of spending of schools in a certain district and compares them to their students’ testing results. The district’s overall key metrics were collected and each individual school’s key metrics were subsequently collected. From this, the highest and lowest performing schools were determined as well as each grade’s average math and reading performances from each school. Finally, scores were sorted by school spending, school size, and school type.</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A myriad of conclusions could be drawn from the data, but only two will be drawn for the sake of time. First, it may be surprising to see that school spending doesn’t automatically equate to higher test scores. In fact, the top 5 highest performing schools had significantly lower budgets than their bottom 5 counterparts. A second conclusion that could be drawn is that small and medium size schools dominated in both math and reading scores across the board, which includes both the average scores and percent of students that passed.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