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 w:after="200"/>
        <w:jc w:val="center"/>
      </w:pPr>
      <w:r>
        <w:t xml:space="preserve">DIXON ESTATE PLANNING</w:t>
      </w:r>
    </w:p>
    <w:p>
      <w:pPr>
        <w:spacing w:after="600"/>
        <w:jc w:val="center"/>
      </w:pPr>
      <w:r>
        <w:t xml:space="preserve">Legal Compliance Audit Report v2</w:t>
      </w:r>
    </w:p>
    <w:p>
      <w:pPr>
        <w:spacing w:after="400"/>
      </w:pPr>
      <w:r>
        <w:t xml:space="preserve"> </w:t>
      </w:r>
    </w:p>
    <w:p>
      <w:pPr>
        <w:spacing w:after="200"/>
        <w:jc w:val="center"/>
      </w:pPr>
      <w:r>
        <w:t xml:space="preserve">Prepared by</w:t>
      </w:r>
    </w:p>
    <w:p>
      <w:pPr>
        <w:spacing w:after="100"/>
        <w:jc w:val="center"/>
      </w:pPr>
      <w:r>
        <w:t>Dewey, Cheatham &amp; Howe LLP</w:t>
      </w:r>
    </w:p>
    <w:p>
      <w:pPr>
        <w:spacing w:after="600"/>
        <w:jc w:val="center"/>
      </w:pPr>
      <w:r>
        <w:t xml:space="preserve">AI Legal Research Agent</w:t>
      </w:r>
    </w:p>
    <w:p>
      <w:pPr>
        <w:spacing w:after="400"/>
      </w:pPr>
      <w:r>
        <w:t xml:space="preserve"> </w:t>
      </w:r>
    </w:p>
    <w:p>
      <w:pPr>
        <w:spacing w:after="800"/>
        <w:jc w:val="center"/>
      </w:pPr>
      <w:r>
        <w:t xml:space="preserve">February 7, 2026</w:t>
      </w:r>
    </w:p>
    <w:p>
      <w:pPr>
        <w:spacing w:after="400"/>
      </w:pPr>
      <w:r>
        <w:t xml:space="preserve"> </w:t>
      </w:r>
    </w:p>
    <w:p>
      <w:pPr>
        <w:spacing w:after="300"/>
        <w:jc w:val="center"/>
      </w:pPr>
      <w:r>
        <w:t xml:space="preserve">DISCLAIMER</w:t>
      </w:r>
    </w:p>
    <w:p>
      <w:pPr>
        <w:spacing w:line="280"/>
        <w:jc w:val="center"/>
      </w:pPr>
      <w:r>
        <w:t xml:space="preserve">This report is for informational purposes only and does not constitute legal advice. All findings should be reviewed by a licensed California attorney.</w:t>
      </w:r>
    </w:p>
    <w:r>
      <w:br w:type="page"/>
    </w:r>
    <w:p>
      <w:pPr>
        <w:pStyle w:val="Heading1"/>
        <w:spacing w:before="200" w:after="300"/>
      </w:pPr>
      <w:r>
        <w:t xml:space="preserve">EXECUTIVE SUMMARY</w:t>
      </w:r>
    </w:p>
    <w:p>
      <w:pPr>
        <w:spacing w:before="200" w:after="200"/>
      </w:pPr>
      <w:r>
        <w:t xml:space="preserve">Overview of Findings</w:t>
      </w:r>
    </w:p>
    <w:p>
      <w:pPr>
        <w:spacing w:after="200"/>
      </w:pPr>
      <w:r>
        <w:t xml:space="preserve">This comprehensive audit of the Dixon estate planning documents has identified 30 total findings requiring attention: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Severity Level</w:t>
            </w:r>
          </w:p>
        </w:tc>
        <w:tc>
          <w:tcPr>
            <w:shd w:color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Count</w:t>
            </w:r>
          </w:p>
        </w:tc>
        <w:tc>
          <w:tcPr>
            <w:shd w:color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Percentage</w:t>
            </w:r>
          </w:p>
        </w:tc>
      </w:tr>
      <w:tr>
        <w:tc>
          <w:tcPr>
            <w:shd w:color="DC3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CRITICAL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50%</w:t>
            </w:r>
          </w:p>
        </w:tc>
      </w:tr>
      <w:tr>
        <w:tc>
          <w:tcPr>
            <w:shd w:color="FD7E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30%</w:t>
            </w:r>
          </w:p>
        </w:tc>
      </w:tr>
      <w:tr>
        <w:tc>
          <w:tcPr>
            <w:shd w:color="FFC10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20%</w:t>
            </w:r>
          </w:p>
        </w:tc>
      </w:tr>
    </w:tbl>
    <w:p>
      <w:pPr>
        <w:spacing w:after="400"/>
      </w:pPr>
      <w:r>
        <w:t xml:space="preserve"> </w:t>
      </w:r>
    </w:p>
    <w:p>
      <w:pPr>
        <w:spacing w:before="300" w:after="200"/>
      </w:pPr>
      <w:r>
        <w:t xml:space="preserve">Bottom Line Assessment</w:t>
      </w:r>
    </w:p>
    <w:p>
      <w:pPr>
        <w:spacing w:after="200"/>
      </w:pPr>
      <w:r>
        <w:t xml:space="preserve">No document is currently legally effective. Every document is unsigned, incomplete, or contains structural defects that prevent execution and enforcement.</w:t>
      </w:r>
    </w:p>
    <w:p>
      <w:pPr>
        <w:spacing w:after="200"/>
      </w:pPr>
      <w:r>
        <w:t xml:space="preserve"> </w:t>
      </w:r>
    </w:p>
    <w:p>
      <w:pPr>
        <w:spacing w:before="300" w:after="200"/>
      </w:pPr>
      <w:r>
        <w:t xml:space="preserve">Key Developments (2024-2026)</w:t>
      </w:r>
    </w:p>
    <w:p>
      <w:pPr>
        <w:spacing w:after="200"/>
      </w:pPr>
      <w:r>
        <w:t xml:space="preserve">Federal Estate Tax Extension (OBBBA): The One Big Beautiful Bill Act extended the federal estate tax exemption to $15M per person ($30M for married couples) effective January 1, 2026. This reduces the urgency of A/B trust structure planning but does not eliminate the need for careful tax planning analysis.</w:t>
      </w:r>
    </w:p>
    <w:p>
      <w:pPr>
        <w:spacing w:after="200"/>
      </w:pPr>
      <w:r>
        <w:t xml:space="preserve">Medi-Cal Planning Window Closed: The critical planning window through December 31, 2025 has CLOSED. The 30-month lookback period is now in effect, and asset limits have been reinstated at $130K individual/$195K couple. Immediate consultation with an elder law attorney is essential.</w:t>
      </w:r>
    </w:p>
    <w:p>
      <w:pPr>
        <w:spacing w:after="200"/>
      </w:pPr>
      <w:r>
        <w:t xml:space="preserve">Conflicting Will Versions: Two versions of Clement's pour-over will exist with different alternate executors. Resolution is critical before any execution.</w:t>
      </w:r>
    </w:p>
    <w:r>
      <w:br w:type="page"/>
    </w:r>
    <w:p>
      <w:pPr>
        <w:pStyle w:val="Heading1"/>
        <w:spacing w:before="200" w:after="300"/>
      </w:pPr>
      <w:r>
        <w:t xml:space="preserve">SECTION 1: REVOCABLE LIVING TRUST</w:t>
      </w:r>
    </w:p>
    <w:p>
      <w:pPr>
        <w:spacing w:after="300"/>
      </w:pPr>
      <w:r>
        <w:t xml:space="preserve">12 Findings Identified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color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</w:t>
            </w:r>
          </w:p>
        </w:tc>
        <w:tc>
          <w:tcPr>
            <w:shd w:color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Severity</w:t>
            </w:r>
          </w:p>
        </w:tc>
        <w:tc>
          <w:tcPr>
            <w:shd w:color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Issue</w:t>
            </w:r>
          </w:p>
        </w:tc>
        <w:tc>
          <w:tcPr>
            <w:shd w:color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Statutory Authority</w:t>
            </w:r>
          </w:p>
        </w:tc>
        <w:tc>
          <w:tcPr>
            <w:shd w:color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Supporting Case Law</w:t>
            </w:r>
          </w:p>
        </w:tc>
        <w:tc>
          <w:tcPr>
            <w:shd w:color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Remedy</w:t>
            </w:r>
          </w:p>
        </w:tc>
      </w:tr>
      <w:t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shd w:color="DC3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CRITICAL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Schedule A property descriptions all placeholder "[Insert...]"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Prob. Code § 15200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Haggerty v. Thornton (2024 Cal. S.Ct.)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 with legal descriptions</w:t>
            </w:r>
          </w:p>
        </w:tc>
      </w:tr>
      <w:t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shd w:color="DC3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CRITICAL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Revocation method requires delivery to "other Grantor" not trustee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 15401(a)(2)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Giraldin v. Giraldin, 55 Cal.4th 1058 (2012)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Amend to require delivery to trustee</w:t>
            </w:r>
          </w:p>
        </w:tc>
      </w:tr>
      <w:t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shd w:color="DC3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CRITICAL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community property characterization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Fam. Code §§ 760-761, § 850-870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 re Marriage of Benson, 36 Cal.4th 1096 (2005)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community/separate property declarations</w:t>
            </w:r>
          </w:p>
        </w:tc>
      </w:tr>
      <w:t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shd w:color="DC3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CRITICAL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Art. 6.4 partial irrevocability ambiguous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§§ 15400-15401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Donkin v. Donkin, 58 Cal.4th 412 (2013); Burch v. George, 7 Cal.4th 246 (1994)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Clarify A/B trust split</w:t>
            </w:r>
          </w:p>
        </w:tc>
      </w:tr>
      <w:t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shd w:color="DC3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CRITICAL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Trust unsigned, unnotarized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 15204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Execute with notarization and witnesses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Schedule formal execution ceremony</w:t>
            </w:r>
          </w:p>
        </w:tc>
      </w:tr>
      <w:t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shd w:color="FD7E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Missing § 16061.7 notification provisions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 16061.7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Johnson v. Greenelsh, 47 Cal.4th 598 (2009)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60-day notice provision</w:t>
            </w:r>
          </w:p>
        </w:tc>
      </w:tr>
      <w:t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shd w:color="FD7E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tax planning (now less urgent due to OBBBA $15M exemption)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IRC §§ 2010, 2056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Evaluate total estate value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Assess current exemption utilization</w:t>
            </w:r>
          </w:p>
        </w:tc>
      </w:tr>
      <w:t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shd w:color="FD7E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Incapacity standard (two physicians) potentially impractical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 15642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Conservatorship of Wendland, 26 Cal.4th 519 (2001)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Revise incapacity definition</w:t>
            </w:r>
          </w:p>
        </w:tc>
      </w:tr>
      <w:t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shd w:color="FD7E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Ghana property — foreign jurisdiction unaddressed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Choice of law principles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Domestic &amp; Foreign Petroleum Co. v. Long, 4 Cal.2d 547 (1935)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foreign property provisions; consult Ghana attorney; address FBAR/FATCA</w:t>
            </w:r>
          </w:p>
        </w:tc>
      </w:tr>
      <w:t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shd w:color="FFC10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spendthrift clause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 15300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Carmack v. Reynolds, 2 Cal.5th 844 (2017)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spendthrift protection</w:t>
            </w:r>
          </w:p>
        </w:tc>
      </w:tr>
      <w:t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</w:t>
            </w:r>
          </w:p>
        </w:tc>
        <w:tc>
          <w:tcPr>
            <w:shd w:color="FFC10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Prop 19 reassessment on Salinas home to Pam (non-child)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Rev. &amp; Tax Code § 63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reassessment unavoidable; exclusion cap $1,044,586 parent-child only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 property tax impact; document in trust</w:t>
            </w:r>
          </w:p>
        </w:tc>
      </w:tr>
      <w:t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</w:t>
            </w:r>
          </w:p>
        </w:tc>
        <w:tc>
          <w:tcPr>
            <w:shd w:color="FFC10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digital assets provisions (RUFADAA)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§§ 870-884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digital assets article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comprehensive digital assets clause</w:t>
            </w:r>
          </w:p>
        </w:tc>
      </w:tr>
    </w:tbl>
    <w:r>
      <w:br w:type="page"/>
    </w:r>
    <w:p>
      <w:pPr>
        <w:pStyle w:val="Heading1"/>
        <w:spacing w:before="200" w:after="300"/>
      </w:pPr>
      <w:r>
        <w:t xml:space="preserve">SECTION 2: POUR-OVER WILLS</w:t>
      </w:r>
    </w:p>
    <w:p>
      <w:pPr>
        <w:spacing w:after="300"/>
      </w:pPr>
      <w:r>
        <w:t xml:space="preserve">5 Findings Identified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color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</w:t>
            </w:r>
          </w:p>
        </w:tc>
        <w:tc>
          <w:tcPr>
            <w:shd w:color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Severity</w:t>
            </w:r>
          </w:p>
        </w:tc>
        <w:tc>
          <w:tcPr>
            <w:shd w:color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Issue</w:t>
            </w:r>
          </w:p>
        </w:tc>
        <w:tc>
          <w:tcPr>
            <w:shd w:color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Statutory Authority</w:t>
            </w:r>
          </w:p>
        </w:tc>
        <w:tc>
          <w:tcPr>
            <w:shd w:color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Supporting Case Law</w:t>
            </w:r>
          </w:p>
        </w:tc>
        <w:tc>
          <w:tcPr>
            <w:shd w:color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Remedy</w:t>
            </w:r>
          </w:p>
        </w:tc>
      </w:tr>
      <w:t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shd w:color="DC3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CRITICAL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Trust date placeholder not completed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 6300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 before execution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Insert correct trust execution date</w:t>
            </w:r>
          </w:p>
        </w:tc>
      </w:tr>
      <w:t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shd w:color="DC3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CRITICAL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Both wills unsigned, unwitnessed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 6110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 re Estate of Saueressig, 38 Cal.4th 1045 (2006)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Arrange formal execution with witnesses</w:t>
            </w:r>
          </w:p>
        </w:tc>
      </w:tr>
      <w:t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shd w:color="DC3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CRITICAL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CONFLICTING VERSIONS of Clement's will — different alternate executors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 6110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Statutory interpretation; intent determinative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Resolve which version is authoritative before execution</w:t>
            </w:r>
          </w:p>
        </w:tc>
      </w:tr>
      <w:t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shd w:color="FD7E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attestation/self-proving clause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 8220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Radin v. Jewish National Fund, 61 Cal.4th 871 (2015)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self-proving affidavit</w:t>
            </w:r>
          </w:p>
        </w:tc>
      </w:tr>
      <w:t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shd w:color="FFC10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simultaneous death provision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§§ 220-224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Uniform Simultaneous Death Act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120-hour survival clause</w:t>
            </w:r>
          </w:p>
        </w:tc>
      </w:tr>
    </w:tbl>
    <w:r>
      <w:br w:type="page"/>
    </w:r>
    <w:p>
      <w:pPr>
        <w:pStyle w:val="Heading1"/>
        <w:spacing w:before="200" w:after="300"/>
      </w:pPr>
      <w:r>
        <w:t xml:space="preserve">SECTION 3: POWERS OF ATTORNEY</w:t>
      </w:r>
    </w:p>
    <w:p>
      <w:pPr>
        <w:spacing w:after="300"/>
      </w:pPr>
      <w:r>
        <w:t xml:space="preserve">5 Findings Identified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color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</w:t>
            </w:r>
          </w:p>
        </w:tc>
        <w:tc>
          <w:tcPr>
            <w:shd w:color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Severity</w:t>
            </w:r>
          </w:p>
        </w:tc>
        <w:tc>
          <w:tcPr>
            <w:shd w:color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Issue</w:t>
            </w:r>
          </w:p>
        </w:tc>
        <w:tc>
          <w:tcPr>
            <w:shd w:color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Statutory Authority</w:t>
            </w:r>
          </w:p>
        </w:tc>
        <w:tc>
          <w:tcPr>
            <w:shd w:color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Supporting Case Law</w:t>
            </w:r>
          </w:p>
        </w:tc>
        <w:tc>
          <w:tcPr>
            <w:shd w:color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Remedy</w:t>
            </w:r>
          </w:p>
        </w:tc>
      </w:tr>
      <w:t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shd w:color="DC3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CRITICAL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Clement's POA: ALL powers blank (A-N not initialed) — functionally void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 4401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Harrod v. Country Oaks Partners, LLC (2024 Cal. S.Ct.)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Must initial each desired power</w:t>
            </w:r>
          </w:p>
        </w:tc>
      </w:tr>
      <w:t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shd w:color="DC3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CRITICAL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Ellena's POA: Agent names incomplete ("[Last Name]" placeholders) — void for uncertainty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 4022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Complete: "Pamela York" and "John York"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 agent identification</w:t>
            </w:r>
          </w:p>
        </w:tc>
      </w:tr>
      <w:t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shd w:color="DC3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CRITICAL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Both POAs unsigned, unnotarized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 4121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Statutory requirement for validity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Execute before notary</w:t>
            </w:r>
          </w:p>
        </w:tc>
      </w:tr>
      <w:t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shd w:color="DC3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CRITICAL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Ellena's capacity must be assessed NOW before execution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 4120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Conservatorship of Wendland, 26 Cal.4th 519 (2001); Conservatorship of Valerie N., 40 Cal.3d 143 (1985)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Physician capacity assessment immediately</w:t>
            </w:r>
          </w:p>
        </w:tc>
      </w:tr>
      <w:t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shd w:color="FD7E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Neither POA includes HIPAA authorization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45 CFR § 164.502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Limits healthcare information access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HIPAA form</w:t>
            </w:r>
          </w:p>
        </w:tc>
      </w:tr>
    </w:tbl>
    <w:r>
      <w:br w:type="page"/>
    </w:r>
    <w:p>
      <w:pPr>
        <w:pStyle w:val="Heading1"/>
        <w:spacing w:before="200" w:after="300"/>
      </w:pPr>
      <w:r>
        <w:t xml:space="preserve">SECTION 4: ADVANCE HEALTH CARE DIRECTIVES</w:t>
      </w:r>
    </w:p>
    <w:p>
      <w:pPr>
        <w:spacing w:after="300"/>
      </w:pPr>
      <w:r>
        <w:t xml:space="preserve">5 Findings Identified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color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</w:t>
            </w:r>
          </w:p>
        </w:tc>
        <w:tc>
          <w:tcPr>
            <w:shd w:color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Severity</w:t>
            </w:r>
          </w:p>
        </w:tc>
        <w:tc>
          <w:tcPr>
            <w:shd w:color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Issue</w:t>
            </w:r>
          </w:p>
        </w:tc>
        <w:tc>
          <w:tcPr>
            <w:shd w:color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Statutory Authority</w:t>
            </w:r>
          </w:p>
        </w:tc>
        <w:tc>
          <w:tcPr>
            <w:shd w:color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Supporting Case Law</w:t>
            </w:r>
          </w:p>
        </w:tc>
        <w:tc>
          <w:tcPr>
            <w:shd w:color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Remedy</w:t>
            </w:r>
          </w:p>
        </w:tc>
      </w:tr>
      <w:t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shd w:color="DC3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CRITICAL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Both AHCDs unsigned, unwitnessed, unnotarized — legally invalid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§§ 4700-4701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Statutory formality requirement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Execute with 2 witnesses or notary</w:t>
            </w:r>
          </w:p>
        </w:tc>
      </w:tr>
      <w:t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shd w:color="DC3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CRITICAL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Ellena's capacity to execute AHCD must be assessed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 4657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Conservatorship of Wendland, 26 Cal.4th 519 (2001); In re Qawi, 32 Cal.4th 1 (2004) — AHCD capacity standard is LOWER than financial capacity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Physician assessment (lower threshold than POA)</w:t>
            </w:r>
          </w:p>
        </w:tc>
      </w:tr>
      <w:t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shd w:color="FD7E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Name inconsistency: "Clem Dixon" vs "Clement Dixon"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 4650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Standardize across all documents for certainty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Standardize across all documents</w:t>
            </w:r>
          </w:p>
        </w:tc>
      </w:tr>
      <w:t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shd w:color="FD7E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Healthcare instructions left entirely blank — undermines AHCD purpose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 4687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 with specific wishes regarding life support, organ donation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 with specific healthcare preferences</w:t>
            </w:r>
          </w:p>
        </w:tc>
      </w:tr>
      <w:t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shd w:color="FD7E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HIPAA authorization in either AHCD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45 CFR § 164.502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Ensures agent can access medical information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HIPAA forms</w:t>
            </w:r>
          </w:p>
        </w:tc>
      </w:tr>
    </w:tbl>
    <w:r>
      <w:br w:type="page"/>
    </w:r>
    <w:p>
      <w:pPr>
        <w:pStyle w:val="Heading1"/>
        <w:spacing w:before="200" w:after="300"/>
      </w:pPr>
      <w:r>
        <w:t xml:space="preserve">SECTION 5: RECENT LAW CHANGES (2024-2026)</w:t>
      </w:r>
    </w:p>
    <w:p>
      <w:pPr>
        <w:spacing w:after="300"/>
      </w:pPr>
      <w:r>
        <w:t xml:space="preserve">Laws Affecting Dixon Estate Planning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color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Law/Bill</w:t>
            </w:r>
          </w:p>
        </w:tc>
        <w:tc>
          <w:tcPr>
            <w:shd w:color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Effective Date</w:t>
            </w:r>
          </w:p>
        </w:tc>
        <w:tc>
          <w:tcPr>
            <w:shd w:color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Key Change</w:t>
            </w:r>
          </w:p>
        </w:tc>
        <w:tc>
          <w:tcPr>
            <w:shd w:color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Impact on Dixon Estate</w:t>
            </w:r>
          </w:p>
        </w:tc>
        <w:tc>
          <w:tcPr>
            <w:shd w:color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Action Required</w:t>
            </w:r>
          </w:p>
        </w:tc>
      </w:tr>
      <w:t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Medi-Cal Asset Limits Reinstated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1/1/2026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$130K individual/$195K couple, 30-month lookback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Planning window through 12/31/2025 CLOSED; transfers now subject to penalties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Consult elder law attorney immediately</w:t>
            </w:r>
          </w:p>
        </w:tc>
      </w:tr>
      <w:t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Federal Estate Tax (OBBBA)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1/1/2026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Exemption EXTENDED to $15M/person ($30M married)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Reduces urgency of A/B trust structure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Evaluate total estate value</w:t>
            </w:r>
          </w:p>
        </w:tc>
      </w:tr>
      <w:t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Proposition 19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Current (cap: $1,044,586)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Parent-child only; Pam as daughter-in-law does NOT qualify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Salinas home transfer triggers full reassessment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 property tax impact</w:t>
            </w:r>
          </w:p>
        </w:tc>
      </w:tr>
      <w:t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Remote Notarization (SB 696)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Pending to 2030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 notaries cannot yet do remote notarization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Must use in-person notarization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Plan for in-person execution ceremonies</w:t>
            </w:r>
          </w:p>
        </w:tc>
      </w:tr>
      <w:t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Small Estate (AB 2016)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4/1/2025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Threshold now $208,850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directly applicable if trust is funded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Note as backup</w:t>
            </w:r>
          </w:p>
        </w:tc>
      </w:tr>
      <w:t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Virtual Representation (AB 565)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1/1/2026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Simplifies notice in trust proceedings for minors/incapacitated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May reduce future administration costs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Note for trust administration</w:t>
            </w:r>
          </w:p>
        </w:tc>
      </w:tr>
      <w:t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Conservatorship Reform (SB 43)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1/1/2026 (Monterey County)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Expanded eligibility for conservatorship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Relevant if Ellena's POA cannot be executed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Ensure AHCDs address dementia care</w:t>
            </w:r>
          </w:p>
        </w:tc>
      </w:tr>
      <w:t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Elder Financial Abuse (SB 278)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1/1/2026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Banks must delay suspicious transactions 3 days; emergency contacts required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Protect Ellena's accounts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Designate emergency financial contacts at all banks</w:t>
            </w:r>
          </w:p>
        </w:tc>
      </w:tr>
      <w:t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FBAR/FATCA (Ghana Property)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Annual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Foreign property reporting; penalties up to $165,353 for willful violations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Ghana property creates reporting obligations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Audit compliance; brief Jack Dixon on inheritance obligations</w:t>
            </w:r>
          </w:p>
        </w:tc>
      </w:tr>
    </w:tbl>
    <w:r>
      <w:br w:type="page"/>
    </w:r>
    <w:p>
      <w:pPr>
        <w:pStyle w:val="Heading1"/>
        <w:spacing w:before="200" w:after="300"/>
      </w:pPr>
      <w:r>
        <w:t xml:space="preserve">SECTION 6: PRIORITY ACTION PLAN</w:t>
      </w:r>
    </w:p>
    <w:p>
      <w:pPr>
        <w:spacing w:after="300"/>
      </w:pPr>
      <w:r>
        <w:t xml:space="preserve">Immediate Actions Required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color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Priority</w:t>
            </w:r>
          </w:p>
        </w:tc>
        <w:tc>
          <w:tcPr>
            <w:shd w:color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Timeline</w:t>
            </w:r>
          </w:p>
        </w:tc>
        <w:tc>
          <w:tcPr>
            <w:shd w:color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Action</w:t>
            </w:r>
          </w:p>
        </w:tc>
        <w:tc>
          <w:tcPr>
            <w:shd w:color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Why</w:t>
            </w:r>
          </w:p>
        </w:tc>
        <w:tc>
          <w:tcPr>
            <w:shd w:color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Case Law Support</w:t>
            </w:r>
          </w:p>
        </w:tc>
      </w:tr>
      <w:t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shd w:color="DC3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THIS WEEK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Physician capacity assessment for Ellena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If she cannot sign, conservatorship is the only path (costly, public)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Wendland, 26 Cal.4th 519; Valerie N., 40 Cal.3d 143</w:t>
            </w:r>
          </w:p>
        </w:tc>
      </w:tr>
      <w:t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shd w:color="DC3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THIS WEEK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Resolve conflicting will versions for Clement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Two versions with different alternate executors creates ambiguity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Statutory intent determinative</w:t>
            </w:r>
          </w:p>
        </w:tc>
      </w:tr>
      <w:t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shd w:color="DC3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1-2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 all placeholders in all documents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document can be executed with placeholder text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Statutory requirement for specificity</w:t>
            </w:r>
          </w:p>
        </w:tc>
      </w:tr>
      <w:t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shd w:color="FD7E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2-3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Attorney review of trust amendments (community property, revocation, Prop 19)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Structural issues need professional drafting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Benson, 36 Cal.4th 1096</w:t>
            </w:r>
          </w:p>
        </w:tc>
      </w:tr>
      <w:t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shd w:color="FD7E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2-3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 POA power selections (A-N) and AHCD instructions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Without powers, POAs are useless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Harrod v. Country Oaks Partners, LLC (2024)</w:t>
            </w:r>
          </w:p>
        </w:tc>
      </w:tr>
      <w:t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shd w:color="FD7E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3-4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Formal IN-PERSON execution ceremony for ALL documents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Remote notarization NOT available in CA; need notary + witnesses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 4121 (POA); § 6110 (wills); § 15204 (trust)</w:t>
            </w:r>
          </w:p>
        </w:tc>
      </w:tr>
      <w:t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shd w:color="FFC10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4-6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Fund the trust — retitle all assets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Unfunded trust is empty vessel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 15001 (trust definition)</w:t>
            </w:r>
          </w:p>
        </w:tc>
      </w:tr>
      <w:t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shd w:color="FFC10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4-8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Consult elder law attorney re: Medi-Cal planning (30-month lookback now active)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Asset limits reinstated; planning window closed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Health &amp; Safety Code § 1569.3</w:t>
            </w:r>
          </w:p>
        </w:tc>
      </w:tr>
      <w:t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shd w:color="FFC10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4-8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Designate emergency financial contacts at all banks (SB 278)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Protect Ellena from financial exploitation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SB 278 (2024)</w:t>
            </w:r>
          </w:p>
        </w:tc>
      </w:tr>
      <w:t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shd w:color="FFC10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4-8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International tax specialist for Ghana property FBAR/FATCA compliance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Foreign property reporting; penalties up to $165,353 for willful violations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31 U.S.C. § 5318; 26 U.S.C. § 6039F</w:t>
            </w:r>
          </w:p>
        </w:tc>
      </w:tr>
    </w:tbl>
    <w:r>
      <w:br w:type="page"/>
    </w:r>
    <w:p>
      <w:pPr>
        <w:pStyle w:val="Heading1"/>
        <w:spacing w:before="200" w:after="300"/>
      </w:pPr>
      <w:r>
        <w:t xml:space="preserve">CLOSING NOTE</w:t>
      </w:r>
    </w:p>
    <w:p>
      <w:pPr>
        <w:spacing w:line="320" w:after="400"/>
      </w:pPr>
      <w:r>
        <w:t xml:space="preserve">John — this is a lot, but remember: every single issue is fixable. The foundation documents exist and the structure is sound. What you need now is a good estate attorney to clean up the drafting issues, a physician visit for Ellena's capacity assessment, and a notary appointment. Your Monday/Thursday check-ins will keep this moving. You've got this.</w:t>
      </w:r>
    </w:p>
    <w:p>
      <w:pPr>
        <w:spacing w:after="200"/>
        <w:jc w:val="right"/>
      </w:pPr>
      <w:r>
        <w:t>— Dewey, Cheatham &amp; Howe LLP</w:t>
      </w:r>
    </w:p>
    <w:p>
      <w:pPr>
        <w:spacing w:after="400"/>
        <w:jc w:val="right"/>
      </w:pPr>
      <w:r>
        <w:t xml:space="preserve">AI Legal Research Agent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2026-02-08T06:44:17.614Z</dcterms:created>
  <dcterms:modified xsi:type="dcterms:W3CDTF">2026-02-08T06:44:17.615Z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