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i w:val="false"/>
          <w:iCs w:val="false"/>
          <w:color w:val="1B4F72"/>
          <w:sz w:val="36"/>
          <w:szCs w:val="36"/>
        </w:rPr>
        <w:t xml:space="preserve">DIXON ESTATE PLAN</w:t>
      </w:r>
    </w:p>
    <w:p>
      <w:pPr>
        <w:spacing w:after="60"/>
      </w:pPr>
      <w:r>
        <w:rPr>
          <w:rFonts w:ascii="Arial" w:cs="Arial" w:eastAsia="Arial" w:hAnsi="Arial"/>
          <w:b w:val="false"/>
          <w:bCs w:val="false"/>
          <w:i w:val="false"/>
          <w:iCs w:val="false"/>
          <w:color w:val="2C3E50"/>
          <w:sz w:val="28"/>
          <w:szCs w:val="28"/>
        </w:rPr>
        <w:t xml:space="preserve">Action Items &amp; Follow-Up Tracker</w:t>
      </w:r>
    </w:p>
    <w:p>
      <w:pPr>
        <w:spacing w:after="300"/>
      </w:pPr>
      <w:r>
        <w:rPr>
          <w:rFonts w:ascii="Arial" w:cs="Arial" w:eastAsia="Arial" w:hAnsi="Arial"/>
          <w:b w:val="false"/>
          <w:bCs w:val="false"/>
          <w:i/>
          <w:iCs/>
          <w:color w:val="7F8C8D"/>
          <w:sz w:val="20"/>
          <w:szCs w:val="20"/>
        </w:rPr>
        <w:t>Prepared by Dewey, Cheatham &amp; Howe LLP — February 7, 2026</w:t>
      </w:r>
    </w:p>
    <w:p>
      <w:pPr>
        <w:spacing w:before="200" w:after="120"/>
      </w:pPr>
      <w:r>
        <w:rPr>
          <w:rFonts w:ascii="Arial" w:cs="Arial" w:eastAsia="Arial" w:hAnsi="Arial"/>
          <w:b/>
          <w:bCs/>
          <w:i w:val="false"/>
          <w:iCs w:val="false"/>
          <w:color w:val="1B4F72"/>
          <w:sz w:val="26"/>
          <w:szCs w:val="26"/>
        </w:rPr>
        <w:t xml:space="preserve">Where You Stand — And Why This Is Very Doable</w:t>
      </w:r>
    </w:p>
    <w:p>
      <w:pPr>
        <w:spacing w:after="200"/>
      </w:pPr>
      <w:r>
        <w:rPr>
          <w:rFonts w:ascii="Arial" w:cs="Arial" w:eastAsia="Arial" w:hAnsi="Arial"/>
          <w:b w:val="false"/>
          <w:bCs w:val="false"/>
          <w:i w:val="false"/>
          <w:iCs w:val="false"/>
          <w:sz w:val="22"/>
          <w:szCs w:val="22"/>
        </w:rPr>
        <w:t xml:space="preserve">John, I want to be straight with you: you are not as far behind as it feels. The hardest part of this project — designing the estate plan, drafting every document, thinking through the distribution, building in protections for Ellena — is done. That work would cost a family $5,000–10,000 at an estate planning firm, and you’ve already built it.</w:t>
      </w:r>
    </w:p>
    <w:p>
      <w:pPr>
        <w:spacing w:after="200"/>
      </w:pPr>
      <w:r>
        <w:rPr>
          <w:rFonts w:ascii="Arial" w:cs="Arial" w:eastAsia="Arial" w:hAnsi="Arial"/>
          <w:b w:val="false"/>
          <w:bCs w:val="false"/>
          <w:i w:val="false"/>
          <w:iCs w:val="false"/>
          <w:sz w:val="22"/>
          <w:szCs w:val="22"/>
        </w:rPr>
        <w:t xml:space="preserve">What remains is mostly administrative: filling in blanks (addresses, account numbers, dates), getting a few checkboxes initialed, and scheduling appointments. The documents are structurally sound. The trust protections are well-designed. The agent hierarchies are consistent across all documents.</w:t>
      </w:r>
    </w:p>
    <w:p>
      <w:pPr>
        <w:spacing w:after="200"/>
      </w:pPr>
      <w:r>
        <w:rPr>
          <w:rFonts w:ascii="Arial" w:cs="Arial" w:eastAsia="Arial" w:hAnsi="Arial"/>
          <w:b w:val="false"/>
          <w:bCs w:val="false"/>
          <w:i w:val="false"/>
          <w:iCs w:val="false"/>
          <w:sz w:val="22"/>
          <w:szCs w:val="22"/>
        </w:rPr>
        <w:t xml:space="preserve">The one true critical-path item is Ellena’s capacity evaluation. Everything else can flex. If you get that scheduled this week, the rest falls into place. Two physicians, written confirmation she can understand and execute — that’s what unlocks signing.</w:t>
      </w:r>
    </w:p>
    <w:p>
      <w:pPr>
        <w:spacing w:after="200"/>
      </w:pPr>
      <w:r>
        <w:rPr>
          <w:rFonts w:ascii="Arial" w:cs="Arial" w:eastAsia="Arial" w:hAnsi="Arial"/>
          <w:b w:val="false"/>
          <w:bCs w:val="false"/>
          <w:i w:val="false"/>
          <w:iCs w:val="false"/>
          <w:sz w:val="22"/>
          <w:szCs w:val="22"/>
        </w:rPr>
        <w:t xml:space="preserve">I’ve reorganized the sprint schedule into a simple action item list below. No more sprints — just items, owners, due dates, and priorities. You’ll get a status check every Monday and Thursday morning so nothing falls through the cracks.</w:t>
      </w:r>
    </w:p>
    <w:p>
      <w:pPr>
        <w:spacing w:after="200"/>
      </w:pPr>
      <w:r>
        <w:rPr>
          <w:rFonts w:ascii="Arial" w:cs="Arial" w:eastAsia="Arial" w:hAnsi="Arial"/>
          <w:b w:val="false"/>
          <w:bCs w:val="false"/>
          <w:i w:val="false"/>
          <w:iCs w:val="false"/>
          <w:sz w:val="22"/>
          <w:szCs w:val="22"/>
        </w:rPr>
        <w:t xml:space="preserve">You’re protecting your family. That’s what this is. Let’s get it done.</w:t>
      </w:r>
    </w:p>
    <w:p>
      <w:r>
        <w:br w:type="page"/>
      </w:r>
    </w:p>
    <w:p>
      <w:pPr>
        <w:spacing w:before="200" w:after="120"/>
      </w:pPr>
      <w:r>
        <w:rPr>
          <w:rFonts w:ascii="Arial" w:cs="Arial" w:eastAsia="Arial" w:hAnsi="Arial"/>
          <w:b/>
          <w:bCs/>
          <w:i w:val="false"/>
          <w:iCs w:val="false"/>
          <w:color w:val="C0392B"/>
          <w:sz w:val="26"/>
          <w:szCs w:val="26"/>
        </w:rPr>
        <w:t xml:space="preserve">Key Risks to Watch</w:t>
      </w:r>
    </w:p>
    <w:p>
      <w:pPr>
        <w:spacing w:after="100"/>
      </w:pPr>
      <w:r>
        <w:rPr>
          <w:rFonts w:ascii="Arial" w:cs="Arial" w:eastAsia="Arial" w:hAnsi="Arial"/>
          <w:b/>
          <w:bCs/>
          <w:sz w:val="22"/>
          <w:szCs w:val="22"/>
        </w:rPr>
        <w:t xml:space="preserve">Ellena’s capacity window: </w:t>
      </w:r>
      <w:r>
        <w:rPr>
          <w:rFonts w:ascii="Arial" w:cs="Arial" w:eastAsia="Arial" w:hAnsi="Arial"/>
          <w:sz w:val="22"/>
          <w:szCs w:val="22"/>
        </w:rPr>
        <w:t xml:space="preserve">Her dementia will not improve. Every day without the capacity evaluation is a day closer to inability to execute. Single biggest risk.</w:t>
      </w:r>
    </w:p>
    <w:p>
      <w:pPr>
        <w:spacing w:after="100"/>
      </w:pPr>
      <w:r>
        <w:rPr>
          <w:rFonts w:ascii="Arial" w:cs="Arial" w:eastAsia="Arial" w:hAnsi="Arial"/>
          <w:b/>
          <w:bCs/>
          <w:sz w:val="22"/>
          <w:szCs w:val="22"/>
        </w:rPr>
        <w:t xml:space="preserve">Unsigned POAs grant zero authority: </w:t>
      </w:r>
      <w:r>
        <w:rPr>
          <w:rFonts w:ascii="Arial" w:cs="Arial" w:eastAsia="Arial" w:hAnsi="Arial"/>
          <w:sz w:val="22"/>
          <w:szCs w:val="22"/>
        </w:rPr>
        <w:t xml:space="preserve">Both POAs have no powers selected. Even if signed today they are unenforceable. Power categories MUST be initialed.</w:t>
      </w:r>
    </w:p>
    <w:p>
      <w:pPr>
        <w:spacing w:after="100"/>
      </w:pPr>
      <w:r>
        <w:rPr>
          <w:rFonts w:ascii="Arial" w:cs="Arial" w:eastAsia="Arial" w:hAnsi="Arial"/>
          <w:b/>
          <w:bCs/>
          <w:sz w:val="22"/>
          <w:szCs w:val="22"/>
        </w:rPr>
        <w:t xml:space="preserve">Medi-Cal exposure: </w:t>
      </w:r>
      <w:r>
        <w:rPr>
          <w:rFonts w:ascii="Arial" w:cs="Arial" w:eastAsia="Arial" w:hAnsi="Arial"/>
          <w:sz w:val="22"/>
          <w:szCs w:val="22"/>
        </w:rPr>
        <w:t xml:space="preserve">The revocable trust does NOT shield assets from Medi-Cal recovery. Elder law attorney consultation strongly recommended.</w:t>
      </w:r>
    </w:p>
    <w:p>
      <w:pPr>
        <w:spacing w:after="200"/>
      </w:pPr>
    </w:p>
    <w:p>
      <w:pPr>
        <w:spacing w:before="300" w:after="120"/>
      </w:pPr>
      <w:r>
        <w:rPr>
          <w:rFonts w:ascii="Arial" w:cs="Arial" w:eastAsia="Arial" w:hAnsi="Arial"/>
          <w:b/>
          <w:bCs/>
          <w:i w:val="false"/>
          <w:iCs w:val="false"/>
          <w:color w:val="1B4F72"/>
          <w:sz w:val="24"/>
          <w:szCs w:val="24"/>
        </w:rPr>
        <w:t xml:space="preserve">Phase 1: Immediate Document Fixes (This Week)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900"/>
        <w:gridCol w:w="1000"/>
        <w:gridCol w:w="1000"/>
        <w:gridCol w:w="860"/>
      </w:tblGrid>
      <w:t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 Item</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Due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Done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Fix Ellena’s POA: replace “Pamela [Last Name]”/“John [Last Name]” with full names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Feb 10</w:t>
            </w:r>
          </w:p>
        </w:tc>
        <w:tc>
          <w:tcPr>
            <w:tcW w:type="dxa" w:w="10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tcPr>
          <w:p>
            <w:r>
              <w:rPr>
                <w:rFonts w:ascii="Arial" w:cs="Arial" w:eastAsia="Arial" w:hAnsi="Arial"/>
                <w:b/>
                <w:bCs/>
                <w:color w:val="FFFFFF"/>
                <w:sz w:val="18"/>
                <w:szCs w:val="18"/>
              </w:rPr>
              <w:t xml:space="preserve">URGENT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Initial powers on BOTH POAs — initial option (N) “All powers” at minimum</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Feb 10</w:t>
            </w:r>
          </w:p>
        </w:tc>
        <w:tc>
          <w:tcPr>
            <w:tcW w:type="dxa" w:w="10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tcPr>
          <w:p>
            <w:r>
              <w:rPr>
                <w:rFonts w:ascii="Arial" w:cs="Arial" w:eastAsia="Arial" w:hAnsi="Arial"/>
                <w:b/>
                <w:bCs/>
                <w:color w:val="FFFFFF"/>
                <w:sz w:val="18"/>
                <w:szCs w:val="18"/>
              </w:rPr>
              <w:t xml:space="preserve">URGENT</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Select effective date on both POAs (recommend “immediately” for Ellena)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Feb 10</w:t>
            </w:r>
          </w:p>
        </w:tc>
        <w:tc>
          <w:tcPr>
            <w:tcW w:type="dxa" w:w="1000"/>
            <w:tcBorders>
              <w:top w:val="single" w:color="CCCCCC" w:sz="1"/>
              <w:left w:val="single" w:color="CCCCCC" w:sz="1"/>
              <w:bottom w:val="single" w:color="CCCCCC" w:sz="1"/>
              <w:right w:val="single" w:color="CCCCCC" w:sz="1"/>
            </w:tcBorders>
            <w:shd w:fill="D35400" w:val="clear"/>
            <w:tcMar>
              <w:top w:type="dxa" w:w="60"/>
              <w:left w:type="dxa" w:w="100"/>
              <w:bottom w:type="dxa" w:w="60"/>
              <w:right w:type="dxa" w:w="100"/>
            </w:tcMar>
          </w:tcPr>
          <w:p>
            <w:r>
              <w:rPr>
                <w:rFonts w:ascii="Arial" w:cs="Arial" w:eastAsia="Arial" w:hAnsi="Arial"/>
                <w:b/>
                <w:bCs/>
                <w:color w:val="FFFFFF"/>
                <w:sz w:val="18"/>
                <w:szCs w:val="18"/>
              </w:rPr>
              <w:t xml:space="preserve">URGENT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Confirm Clement Dixon’s exact date of birth</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Feb 10</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Schedule Ellena’s capacity eval with TWO physicians. CRITICAL PATH.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Pam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Feb 14</w:t>
            </w:r>
          </w:p>
        </w:tc>
        <w:tc>
          <w:tcPr>
            <w:tcW w:type="dxa" w:w="10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bl>
    <w:p>
      <w:pPr>
        <w:spacing w:before="300" w:after="120"/>
      </w:pPr>
      <w:r>
        <w:rPr>
          <w:rFonts w:ascii="Arial" w:cs="Arial" w:eastAsia="Arial" w:hAnsi="Arial"/>
          <w:b/>
          <w:bCs/>
          <w:i w:val="false"/>
          <w:iCs w:val="false"/>
          <w:color w:val="1B4F72"/>
          <w:sz w:val="24"/>
          <w:szCs w:val="24"/>
        </w:rPr>
        <w:t xml:space="preserve">Phase 2: Information Gathering (Next 2 Weeks)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900"/>
        <w:gridCol w:w="1000"/>
        <w:gridCol w:w="1000"/>
        <w:gridCol w:w="860"/>
      </w:tblGrid>
      <w:t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 Item</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Due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Done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Get Salinas property full address + legal description (from deed/title)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Jack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Feb 21</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Get Ghana property address + legal description</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Jack</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Feb 21</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Complete asset inventory: bank accts, investments, vehicles w/ VINs, insurance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Jack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Feb 21</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Add healthcare instructions to both AHCDs</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Pam</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Feb 21</w:t>
            </w:r>
          </w:p>
        </w:tc>
        <w:tc>
          <w:tcPr>
            <w:tcW w:type="dxa" w:w="10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Address organ donation preferences on both AHCDs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Pam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Feb 21</w:t>
            </w:r>
          </w:p>
        </w:tc>
        <w:tc>
          <w:tcPr>
            <w:tcW w:type="dxa" w:w="10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Research Ghana property transfer requirements; identify if local counsel needed</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Jack</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Feb 21</w:t>
            </w:r>
          </w:p>
        </w:tc>
        <w:tc>
          <w:tcPr>
            <w:tcW w:type="dxa" w:w="10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bl>
    <w:p>
      <w:pPr>
        <w:spacing w:before="300" w:after="120"/>
      </w:pPr>
      <w:r>
        <w:rPr>
          <w:rFonts w:ascii="Arial" w:cs="Arial" w:eastAsia="Arial" w:hAnsi="Arial"/>
          <w:b/>
          <w:bCs/>
          <w:i w:val="false"/>
          <w:iCs w:val="false"/>
          <w:color w:val="1B4F72"/>
          <w:sz w:val="24"/>
          <w:szCs w:val="24"/>
        </w:rPr>
        <w:t xml:space="preserve">Phase 3: Document Finalization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900"/>
        <w:gridCol w:w="1000"/>
        <w:gridCol w:w="1000"/>
        <w:gridCol w:w="860"/>
      </w:tblGrid>
      <w:t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 Item</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Due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Done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Insert property addresses + legal descriptions into Trust Schedule A and Art. 6.1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Feb 28</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13</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Insert account details into Trust Schedule A</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Feb 28</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Align all document dates (Trust, Wills, POAs, AHCDs) for coordinated execution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Feb 28</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Brief all successor trustees on roles and responsibilities</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Feb 28</w:t>
            </w:r>
          </w:p>
        </w:tc>
        <w:tc>
          <w:tcPr>
            <w:tcW w:type="dxa" w:w="10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bl>
    <w:p>
      <w:pPr>
        <w:spacing w:before="300" w:after="120"/>
      </w:pPr>
      <w:r>
        <w:rPr>
          <w:rFonts w:ascii="Arial" w:cs="Arial" w:eastAsia="Arial" w:hAnsi="Arial"/>
          <w:b/>
          <w:bCs/>
          <w:i w:val="false"/>
          <w:iCs w:val="false"/>
          <w:color w:val="1B4F72"/>
          <w:sz w:val="24"/>
          <w:szCs w:val="24"/>
        </w:rPr>
        <w:t xml:space="preserve">Phase 4: Execution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900"/>
        <w:gridCol w:w="1000"/>
        <w:gridCol w:w="1000"/>
        <w:gridCol w:w="860"/>
      </w:tblGrid>
      <w:t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 Item</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Due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Done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16</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Obtain capacity letters from two physicians (must be within 2 wks of signing)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Pam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Mar 7</w:t>
            </w:r>
          </w:p>
        </w:tc>
        <w:tc>
          <w:tcPr>
            <w:tcW w:type="dxa" w:w="10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17</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Schedule mobile notary for signing session in Salinas</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Mar 7</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18</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Arrange two qualified witnesses for will signing (cannot be beneficiaries)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Mar 7</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19</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Execute all documents: Trust, Wills, POAs, AHCDs in coordinated signing</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John/Pam</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Mar 14</w:t>
            </w:r>
          </w:p>
        </w:tc>
        <w:tc>
          <w:tcPr>
            <w:tcW w:type="dxa" w:w="10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Obtain certified copies of all executed documents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Mar 14</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bl>
    <w:p>
      <w:pPr>
        <w:spacing w:before="300" w:after="120"/>
      </w:pPr>
      <w:r>
        <w:rPr>
          <w:rFonts w:ascii="Arial" w:cs="Arial" w:eastAsia="Arial" w:hAnsi="Arial"/>
          <w:b/>
          <w:bCs/>
          <w:i w:val="false"/>
          <w:iCs w:val="false"/>
          <w:color w:val="1B4F72"/>
          <w:sz w:val="24"/>
          <w:szCs w:val="24"/>
        </w:rPr>
        <w:t xml:space="preserve">Phase 5: Trust Funding &amp; Wrap-Up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900"/>
        <w:gridCol w:w="1000"/>
        <w:gridCol w:w="1000"/>
        <w:gridCol w:w="860"/>
      </w:tblGrid>
      <w:t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 Item</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Due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Done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21</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Transfer Salinas deed into trust — record with Monterey County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John/Jack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Mar 21</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22</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Retitle bank accounts to trust</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Jack</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Mar 21</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23</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Retitle investment accounts to trust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Jack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Mar 21</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24</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Update beneficiary designations on retirement accounts, life insurance</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Jack</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Mar 21</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Update vehicle titles or set up TOD registration at DMV</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Jack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Mar 21</w:t>
            </w:r>
          </w:p>
        </w:tc>
        <w:tc>
          <w:tcPr>
            <w:tcW w:type="dxa" w:w="10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26</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Distribute signed trust copies to all successor trustees</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Mar 21</w:t>
            </w:r>
          </w:p>
        </w:tc>
        <w:tc>
          <w:tcPr>
            <w:tcW w:type="dxa" w:w="10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27</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Store originals in fireproof safe or safe deposit box</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John/Pam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Mar 21</w:t>
            </w:r>
          </w:p>
        </w:tc>
        <w:tc>
          <w:tcPr>
            <w:tcW w:type="dxa" w:w="10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28</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Create master document location reference sheet</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Mar 21</w:t>
            </w:r>
          </w:p>
        </w:tc>
        <w:tc>
          <w:tcPr>
            <w:tcW w:type="dxa" w:w="10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bl>
    <w:p>
      <w:pPr>
        <w:spacing w:before="300" w:after="120"/>
      </w:pPr>
      <w:r>
        <w:rPr>
          <w:rFonts w:ascii="Arial" w:cs="Arial" w:eastAsia="Arial" w:hAnsi="Arial"/>
          <w:b/>
          <w:bCs/>
          <w:i w:val="false"/>
          <w:iCs w:val="false"/>
          <w:color w:val="1B4F72"/>
          <w:sz w:val="24"/>
          <w:szCs w:val="24"/>
        </w:rPr>
        <w:t xml:space="preserve">Phase 6: Ongoing / Advisory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900"/>
        <w:gridCol w:w="1000"/>
        <w:gridCol w:w="1000"/>
        <w:gridCol w:w="860"/>
      </w:tblGrid>
      <w:t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 Item</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Due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Done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29</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Consult elder law attorney re: Medi-Cal (revocable trust does NOT protect assets)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Mar 31</w:t>
            </w:r>
          </w:p>
        </w:tc>
        <w:tc>
          <w:tcPr>
            <w:tcW w:type="dxa" w:w="1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4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Engage Ghanaian counsel for international property transfer</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Jack</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Mar 31</w:t>
            </w:r>
          </w:p>
        </w:tc>
        <w:tc>
          <w:tcPr>
            <w:tcW w:type="dxa" w:w="10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31</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Schedule 6-month estate review meeting (September 2026)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John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Mar 31</w:t>
            </w:r>
          </w:p>
        </w:tc>
        <w:tc>
          <w:tcPr>
            <w:tcW w:type="dxa" w:w="1000"/>
            <w:tcBorders>
              <w:top w:val="single" w:color="CCCCCC" w:sz="1"/>
              <w:left w:val="single" w:color="CCCCCC" w:sz="1"/>
              <w:bottom w:val="single" w:color="CCCCCC" w:sz="1"/>
              <w:right w:val="single" w:color="CCCCCC" w:sz="1"/>
            </w:tcBorders>
            <w:shd w:fill="95A5A6" w:val="clear"/>
            <w:tcMar>
              <w:top w:type="dxa" w:w="60"/>
              <w:left w:type="dxa" w:w="100"/>
              <w:bottom w:type="dxa" w:w="60"/>
              <w:right w:type="dxa" w:w="100"/>
            </w:tcMar>
          </w:tcPr>
          <w:p>
            <w:r>
              <w:rPr>
                <w:rFonts w:ascii="Arial" w:cs="Arial" w:eastAsia="Arial" w:hAnsi="Arial"/>
                <w:b/>
                <w:bCs/>
                <w:color w:val="FFFFFF"/>
                <w:sz w:val="18"/>
                <w:szCs w:val="18"/>
              </w:rPr>
              <w:t xml:space="preserve">LOW</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bl>
    <w:p>
      <w:pPr>
        <w:spacing w:before="400"/>
      </w:pPr>
    </w:p>
    <w:p>
      <w:pPr>
        <w:spacing w:after="100"/>
      </w:pPr>
      <w:r>
        <w:rPr>
          <w:rFonts w:ascii="Arial" w:cs="Arial" w:eastAsia="Arial" w:hAnsi="Arial"/>
          <w:i/>
          <w:iCs/>
          <w:color w:val="856404"/>
          <w:sz w:val="18"/>
          <w:szCs w:val="18"/>
        </w:rPr>
        <w:t>DISCLAIMER: This document is legal research and analysis prepared by Dewey, Cheatham &amp; Howe LLP, a legal research agent. It is NOT legal advice. All documents should be reviewed by a licensed California attorney before execution.</w:t>
      </w:r>
    </w:p>
    <w:sectPr>
      <w:headerReference w:type="default" r:id="rId6"/>
      <w:footerReference w:type="default" r:id="rId7"/>
      <w:headerReference w:type="first" r:id="rId9"/>
      <w:footerReference w:type="firs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Dewey, Cheatham &amp; Howe LLP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Dixon Estate Plan — Action Items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2026-02-08T06:00:42.305Z</dcterms:created>
  <dcterms:modified xsi:type="dcterms:W3CDTF">2026-02-08T06:00:42.306Z</dcterms:modified>
</cp:coreProperties>
</file>

<file path=docProps/custom.xml><?xml version="1.0" encoding="utf-8"?>
<Properties xmlns="http://schemas.openxmlformats.org/officeDocument/2006/custom-properties" xmlns:vt="http://schemas.openxmlformats.org/officeDocument/2006/docPropsVTypes"/>
</file>