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B3A5C"/>
          <w:sz w:val="36"/>
          <w:szCs w:val="36"/>
        </w:rPr>
        <w:t xml:space="preserve">DIXON ESTATE PLANNING</w:t>
      </w:r>
    </w:p>
    <w:p>
      <w:pPr>
        <w:spacing w:after="400"/>
        <w:jc w:val="center"/>
      </w:pPr>
      <w:r>
        <w:rPr>
          <w:rFonts w:ascii="Arial" w:cs="Arial" w:eastAsia="Arial" w:hAnsi="Arial"/>
          <w:color w:val="1B3A5C"/>
          <w:sz w:val="28"/>
          <w:szCs w:val="28"/>
        </w:rPr>
        <w:t xml:space="preserve">Legal Compliance Audit Report</w:t>
      </w:r>
    </w:p>
    <w:p>
      <w:pPr>
        <w:spacing w:after="200"/>
        <w:jc w:val="center"/>
      </w:pPr>
      <w:r>
        <w:rPr>
          <w:rFonts w:ascii="Arial" w:cs="Arial" w:eastAsia="Arial" w:hAnsi="Arial"/>
          <w:i/>
          <w:iCs/>
          <w:color w:val="666666"/>
          <w:sz w:val="20"/>
          <w:szCs w:val="20"/>
        </w:rPr>
        <w:t>Prepared by Dewey, Cheatham &amp; Howe LLP (AI Legal Research Agent)</w:t>
      </w:r>
    </w:p>
    <w:p>
      <w:pPr>
        <w:spacing w:after="200"/>
        <w:jc w:val="center"/>
      </w:pPr>
      <w:r>
        <w:rPr>
          <w:rFonts w:ascii="Arial" w:cs="Arial" w:eastAsia="Arial" w:hAnsi="Arial"/>
          <w:color w:val="666666"/>
          <w:sz w:val="20"/>
          <w:szCs w:val="20"/>
        </w:rPr>
        <w:t xml:space="preserve">February 7, 2026</w:t>
      </w:r>
    </w:p>
    <w:p>
      <w:pPr>
        <w:spacing w:before="300" w:after="300"/>
      </w:pPr>
      <w:r>
        <w:rPr>
          <w:rFonts w:ascii="Arial" w:cs="Arial" w:eastAsia="Arial" w:hAnsi="Arial"/>
          <w:b/>
          <w:bCs/>
          <w:color w:val="DC3545"/>
          <w:sz w:val="20"/>
          <w:szCs w:val="20"/>
        </w:rPr>
        <w:t xml:space="preserve">DISCLAIMER: </w:t>
      </w:r>
      <w:r>
        <w:rPr>
          <w:rFonts w:ascii="Arial" w:cs="Arial" w:eastAsia="Arial" w:hAnsi="Arial"/>
          <w:color w:val="DC3545"/>
          <w:sz w:val="20"/>
          <w:szCs w:val="20"/>
        </w:rPr>
        <w:t>This report is for informational purposes only and does not constitute legal advice. All findings should be reviewed by a licensed California attorney before action is taken. Dewey, Cheatham &amp; Howe LLP is an AI research agent, not a licensed attorney.</w:t>
      </w:r>
    </w:p>
    <w:p>
      <w:pPr>
        <w:pStyle w:val="Heading1"/>
        <w:spacing w:before="400" w:after="200"/>
      </w:pPr>
      <w:r>
        <w:rPr>
          <w:rFonts w:ascii="Arial" w:cs="Arial" w:eastAsia="Arial" w:hAnsi="Arial"/>
          <w:b/>
          <w:bCs/>
          <w:color w:val="1B3A5C"/>
          <w:sz w:val="32"/>
          <w:szCs w:val="32"/>
        </w:rPr>
        <w:t xml:space="preserve">Executive Summary</w:t>
      </w:r>
    </w:p>
    <w:p>
      <w:pPr>
        <w:spacing w:after="200"/>
      </w:pPr>
      <w:r>
        <w:rPr>
          <w:rFonts w:ascii="Arial" w:cs="Arial" w:eastAsia="Arial" w:hAnsi="Arial"/>
          <w:sz w:val="22"/>
          <w:szCs w:val="22"/>
        </w:rPr>
        <w:t xml:space="preserve">This audit reviewed six Dixon estate planning documents against current California statutory requirements (Probate Code, Family Code) and recent 2024–2026 legislative changes. The review identified 27 compliance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DC35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14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Immediate Action Required</w:t>
            </w:r>
          </w:p>
        </w:tc>
      </w:tr>
      <w:tr>
        <w:tc>
          <w:tcPr>
            <w:tcW w:type="dxa" w:w="3120"/>
            <w:tcBorders>
              <w:top w:val="single" w:color="CCCCCC" w:sz="1"/>
              <w:left w:val="single" w:color="CCCCCC" w:sz="1"/>
              <w:bottom w:val="single" w:color="CCCCCC" w:sz="1"/>
              <w:right w:val="single" w:color="CCCCCC" w:sz="1"/>
            </w:tcBorders>
            <w:shd w:fill="FD7E1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D7E14"/>
                <w:sz w:val="20"/>
                <w:szCs w:val="20"/>
              </w:rPr>
              <w:t xml:space="preserve">Action Required Before Execution</w:t>
            </w:r>
          </w:p>
        </w:tc>
      </w:tr>
      <w:tr>
        <w:tc>
          <w:tcPr>
            <w:tcW w:type="dxa" w:w="312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56404"/>
                <w:sz w:val="20"/>
                <w:szCs w:val="20"/>
              </w:rPr>
              <w:t xml:space="preserve">Recommended Improvements</w:t>
            </w:r>
          </w:p>
        </w:tc>
      </w:tr>
    </w:tbl>
    <w:p>
      <w:pPr>
        <w:spacing w:before="300" w:after="200"/>
      </w:pPr>
      <w:r>
        <w:rPr>
          <w:rFonts w:ascii="Arial" w:cs="Arial" w:eastAsia="Arial" w:hAnsi="Arial"/>
          <w:b/>
          <w:bCs/>
          <w:sz w:val="22"/>
          <w:szCs w:val="22"/>
        </w:rPr>
        <w:t xml:space="preserve">Bottom Line: </w:t>
      </w:r>
      <w:r>
        <w:rPr>
          <w:rFonts w:ascii="Arial" w:cs="Arial" w:eastAsia="Arial" w:hAnsi="Arial"/>
          <w:sz w:val="22"/>
          <w:szCs w:val="22"/>
        </w:rPr>
        <w:t xml:space="preserve">No document in the Dixon estate plan is currently legally effective. Every document is either unsigned, incomplete, or contains defects that would prevent it from functioning as intended. The most urgent priorities are: (1) assessing Ellena's legal capacity while she can still execute documents, (2) completing all placeholder fields, and (3) arranging formal execution ceremonies for all documents.</w:t>
      </w:r>
    </w:p>
    <w:p>
      <w:r>
        <w:br w:type="page"/>
      </w:r>
    </w:p>
    <w:p>
      <w:pPr>
        <w:pStyle w:val="Heading1"/>
        <w:spacing w:before="200" w:after="200"/>
      </w:pPr>
      <w:r>
        <w:rPr>
          <w:rFonts w:ascii="Arial" w:cs="Arial" w:eastAsia="Arial" w:hAnsi="Arial"/>
          <w:b/>
          <w:bCs/>
          <w:color w:val="1B3A5C"/>
          <w:sz w:val="32"/>
          <w:szCs w:val="32"/>
        </w:rPr>
        <w:t xml:space="preserve">1. Revocable Living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3200"/>
        <w:gridCol w:w="2500"/>
        <w:gridCol w:w="196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Remedy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DC35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Schedule A Property Descriptions Missing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All property descriptions use placeholder text '[Insert...]'. Trust cannot hold or transfer assets without valid property descriptions. Per Prob. Code § 15200, trust property must be identifiable.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Complete Schedule A with full legal descriptions of Salinas home, Ghana property, bank accounts, and all other assets.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DC35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Revocation Method Non-Compliant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Trust specifies written notice to trustee for revocation, but Prob. Code § 15401(a)(2) requires delivery to the trustee, not merely written notice. Method is ambiguous and could be challenged.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Amend trust to specify delivery of written revocation instrument to the trustee, consistent with § 15401(a)(2).</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DC35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Community Property Presumption Not Addressed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Trust does not address whether assets are community or separate property. Under Fam. Code § 760-761 and Prob. Code § 15400(b), community property character must be preserved. Failure could trigger spousal claims.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Add community property characterization provisions and confirm both spouses consent to trust funding of community assets.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1200"/>
            <w:tcBorders>
              <w:top w:val="single" w:color="CCCCCC" w:sz="1"/>
              <w:left w:val="single" w:color="CCCCCC" w:sz="1"/>
              <w:bottom w:val="single" w:color="CCCCCC" w:sz="1"/>
              <w:right w:val="single" w:color="CCCCCC" w:sz="1"/>
            </w:tcBorders>
            <w:shd w:fill="DC35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Partial Irrevocability Clause (Art. 6.4) Problematic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Article 6.4 makes trust irrevocable as to core distributions upon Ellena's death, but this may conflict with surviving spouse's right to amend under Prob. Code § 15401. Creates ambiguity about Clement's post-death rights.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Redraft Article 6.4 to clearly delineate which sub-trusts become irrevocable upon first death, using A/B trust structure if intended.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FD7E1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Missing § 16061.7 Notification Provisions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Trust lacks provisions addressing the mandatory notification requirement under Prob. Code § 16061.7, which requires trustee to serve notice to heirs and beneficiaries within 60 days of trust becoming irrevocable.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Add § 16061.7 notification language and designate responsible party for compliance.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6</w:t>
            </w:r>
          </w:p>
        </w:tc>
        <w:tc>
          <w:tcPr>
            <w:tcW w:type="dxa" w:w="1200"/>
            <w:tcBorders>
              <w:top w:val="single" w:color="CCCCCC" w:sz="1"/>
              <w:left w:val="single" w:color="CCCCCC" w:sz="1"/>
              <w:bottom w:val="single" w:color="CCCCCC" w:sz="1"/>
              <w:right w:val="single" w:color="CCCCCC" w:sz="1"/>
            </w:tcBorders>
            <w:shd w:fill="FD7E1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No Tax Planning Provisions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Trust contains no estate tax planning (A/B trust, QTIP, etc.). With federal exemption potentially dropping to ~$7M in 2026, and Salinas home + Ghana property + other assets, the estate may be exposed to unnecessary taxation.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Evaluate need for A/B trust split, QTIP provisions, or other tax-efficient structures based on total estate value.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7</w:t>
            </w:r>
          </w:p>
        </w:tc>
        <w:tc>
          <w:tcPr>
            <w:tcW w:type="dxa" w:w="1200"/>
            <w:tcBorders>
              <w:top w:val="single" w:color="CCCCCC" w:sz="1"/>
              <w:left w:val="single" w:color="CCCCCC" w:sz="1"/>
              <w:bottom w:val="single" w:color="CCCCCC" w:sz="1"/>
              <w:right w:val="single" w:color="CCCCCC" w:sz="1"/>
            </w:tcBorders>
            <w:shd w:fill="FD7E1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Incapacity Standard Potentially Insufficient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Trust requires two licensed physicians for incapacity determination. Given Ellena's diagnosed dementia, should address whether existing diagnosis suffices and what happens if physicians disagree.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Clarify incapacity process, consider accepting existing dementia diagnosis, add tiebreaker mechanism.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8</w:t>
            </w:r>
          </w:p>
        </w:tc>
        <w:tc>
          <w:tcPr>
            <w:tcW w:type="dxa" w:w="12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No Spendthrift Clause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Trust lacks spendthrift protection for beneficiaries. Without it, beneficiaries' creditors could reach trust assets. Cal. Prob. Code § 15300 authorizes spendthrift provisions.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Add spendthrift clause under § 15300-15302 to protect trust assets from beneficiary creditors.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Prop. 19 Property Tax Implications Not Addressed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Proposition 19 (effective Feb 2021) limits parent-child exclusions for property tax reassessment. Transfer of Salinas home to non-child beneficiary (Pam, a daughter-in-law) will trigger reassessment.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Analyze Prop. 19 impact on planned distributions. Consider whether Jack (a child) should receive Salinas home instead, or budget for reassessment.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10</w:t>
            </w:r>
          </w:p>
        </w:tc>
        <w:tc>
          <w:tcPr>
            <w:tcW w:type="dxa" w:w="12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No Digital Assets Provisions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Trust does not address digital assets, accounts, or online property. California's RUFADAA (Prob. Code §§ 870-884) governs fiduciary access to digital assets.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Add digital assets provision compliant with RUFADAA, including authorization for trustee to access digital accounts.</w:t>
            </w:r>
          </w:p>
        </w:tc>
      </w:tr>
    </w:tbl>
    <w:p>
      <w:r>
        <w:br w:type="page"/>
      </w:r>
    </w:p>
    <w:p>
      <w:pPr>
        <w:pStyle w:val="Heading1"/>
        <w:spacing w:before="200" w:after="200"/>
      </w:pPr>
      <w:r>
        <w:rPr>
          <w:rFonts w:ascii="Arial" w:cs="Arial" w:eastAsia="Arial" w:hAnsi="Arial"/>
          <w:b/>
          <w:bCs/>
          <w:color w:val="1B3A5C"/>
          <w:sz w:val="32"/>
          <w:szCs w:val="32"/>
        </w:rPr>
        <w:t xml:space="preserve">2. Pour-Over Wills (Clement &amp; Ellena)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3200"/>
        <w:gridCol w:w="2500"/>
        <w:gridCol w:w="196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Remedy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DC35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Trust Date Placeholder Not Completed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Both wills reference the trust as dated '[Insert Date, post-July 23, 2025]'. The pour-over mechanism under Prob. Code § 6300 requires the will to identify the trust by name and date. Without the correct date, the pour-over may fail.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Insert the actual trust execution date in both wills before signing. Must match the date on the executed trust.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DC35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Wills Are Unsigned and Unwitnessed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Neither will has been executed. Under Prob. Code § 6110, a California will requires: (1) testator's signature or direction, (2) two witnesses present at the same time who understand it is the testator's will.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Arrange formal will execution ceremony with both testators and at least two qualified witnesses per will.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FD7E1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No Attestation Clause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Wills lack a self-proving attestation clause. While not required for validity, an attestation clause creates a rebuttable presumption of due execution under Prob. Code § 8220, avoiding need to locate witnesses at probate.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Add self-proving attestation clause before execution.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12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No Simultaneous Death Provision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Wills do not address simultaneous death scenario. Under Prob. Code § 220-224 (Uniform Simultaneous Death Act), beneficiary must survive by 120 hours, but explicit provision prevents ambiguity.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Add simultaneous death / 120-hour survival clause.</w:t>
            </w:r>
          </w:p>
        </w:tc>
      </w:tr>
    </w:tbl>
    <w:p>
      <w:r>
        <w:br w:type="page"/>
      </w:r>
    </w:p>
    <w:p>
      <w:pPr>
        <w:pStyle w:val="Heading1"/>
        <w:spacing w:before="200" w:after="200"/>
      </w:pPr>
      <w:r>
        <w:rPr>
          <w:rFonts w:ascii="Arial" w:cs="Arial" w:eastAsia="Arial" w:hAnsi="Arial"/>
          <w:b/>
          <w:bCs/>
          <w:color w:val="1B3A5C"/>
          <w:sz w:val="32"/>
          <w:szCs w:val="32"/>
        </w:rPr>
        <w:t xml:space="preserve">3. Powers of Attorney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3200"/>
        <w:gridCol w:w="2500"/>
        <w:gridCol w:w="196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Remedy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DC35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ALL Powers Blank — POA Is Functionally Void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None of the 13 statutory power categories (A through N) are initialed. Under Prob. Code § 4401, the statutory form requires the principal to initial each power being granted. Without any initialed powers, the agent has NO authority to act.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Clement must review and initial each desired power category (A-N) before signing.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DC35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POA Is Unsigned and Unnotarized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POA lacks principal's signature and notary acknowledgment. Under Prob. Code § 4121, a POA must be signed by the principal and either (a) notarized, or (b) signed by two witnesses. For durable POA with real property powers, notarization is strongly recommended.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Execute before a notary public. Consider also having two witnesses for belt-and-suspenders validity.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DC35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Agent Names Incomplete — '[Last Name]' Placeholders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Primary agent listed as 'Pamela [Last Name]' and first alternate as 'John [Last Name]'. These placeholders make the POA void for uncertainty — it fails to identify the agents as required by Prob. Code § 4022.</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Complete agent names: 'Pamela York' and 'John York'. Verify all agent information is accurate.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1200"/>
            <w:tcBorders>
              <w:top w:val="single" w:color="CCCCCC" w:sz="1"/>
              <w:left w:val="single" w:color="CCCCCC" w:sz="1"/>
              <w:bottom w:val="single" w:color="CCCCCC" w:sz="1"/>
              <w:right w:val="single" w:color="CCCCCC" w:sz="1"/>
            </w:tcBorders>
            <w:shd w:fill="DC35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ALL Powers Blank — POA Is Functionally Void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Same as Clement's: no power categories initialed. The agent cannot act on Ellena's behalf for any purpose.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Given Ellena's dementia, capacity to execute a POA must be evaluated NOW. If she still has capacity, complete and execute immediately. If not, conservatorship may be necessary (§ 1800 et seq.).</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DC35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Capacity Concern — Ellena Has Diagnosed Dementia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Ellena has been diagnosed with dementia. Under Prob. Code § 4120, the principal must have capacity to execute a POA. A physician's assessment of current capacity is essential before execution.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Obtain physician's capacity assessment BEFORE execution. If Ellena lacks capacity, pursue conservatorship under Prob. Code §§ 1800-1898.</w:t>
            </w:r>
          </w:p>
        </w:tc>
      </w:tr>
    </w:tbl>
    <w:p>
      <w:r>
        <w:br w:type="page"/>
      </w:r>
    </w:p>
    <w:p>
      <w:pPr>
        <w:pStyle w:val="Heading1"/>
        <w:spacing w:before="200" w:after="200"/>
      </w:pPr>
      <w:r>
        <w:rPr>
          <w:rFonts w:ascii="Arial" w:cs="Arial" w:eastAsia="Arial" w:hAnsi="Arial"/>
          <w:b/>
          <w:bCs/>
          <w:color w:val="1B3A5C"/>
          <w:sz w:val="32"/>
          <w:szCs w:val="32"/>
        </w:rPr>
        <w:t xml:space="preserve">4. Advance Health Care Directives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3200"/>
        <w:gridCol w:w="2500"/>
        <w:gridCol w:w="196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Remedy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DC35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AHCD Is Unsigned, Unwitnessed, and Unnotarized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Under Prob. Code §§ 4700-4701, an AHCD must be either (a) signed by two qualified witnesses, or (b) notarized. Clement's AHCD has neither. It is legally invalid.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Execute before a notary OR with two qualified witnesses (who are not healthcare providers, agents, or operators of care facilities).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FD7E1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Name Inconsistency: 'Clem' vs. 'Clement'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AHCD uses 'Clem Dixon' while trust and other documents use 'Clement Dixon'. Name inconsistency could cause confusion or rejection by healthcare providers.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Standardize name to match trust and legal records. Include 'also known as' if informal name is used.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FD7E1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Healthcare Instructions Left Blank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Sections for specific healthcare wishes, end-of-life preferences, and organ donation are empty. While not required for validity, blank instructions undermine the purpose of the AHCD.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Complete healthcare instruction sections reflecting Clement's wishes regarding life-sustaining treatment, pain management, and organ donation.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1200"/>
            <w:tcBorders>
              <w:top w:val="single" w:color="CCCCCC" w:sz="1"/>
              <w:left w:val="single" w:color="CCCCCC" w:sz="1"/>
              <w:bottom w:val="single" w:color="CCCCCC" w:sz="1"/>
              <w:right w:val="single" w:color="CCCCCC" w:sz="1"/>
            </w:tcBorders>
            <w:shd w:fill="DC35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AHCD Is Unsigned, Unwitnessed, and Unnotarized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Same as Clement's — legally invalid under Prob. Code §§ 4700-4701.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Execute before a notary OR with two qualified witnesses. Capacity assessment needed given dementia diagnosis.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DC35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Capacity Concern for Execution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Given Ellena's dementia, her capacity to execute an AHCD under Prob. Code § 4657 must be assessed. If she lacks capacity, the AHCD cannot be validly executed, and a conservator may need to be appointed.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Obtain physician's capacity evaluation. If Ellena retains sufficient capacity for healthcare decisions, execute immediately.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6</w:t>
            </w:r>
          </w:p>
        </w:tc>
        <w:tc>
          <w:tcPr>
            <w:tcW w:type="dxa" w:w="1200"/>
            <w:tcBorders>
              <w:top w:val="single" w:color="CCCCCC" w:sz="1"/>
              <w:left w:val="single" w:color="CCCCCC" w:sz="1"/>
              <w:bottom w:val="single" w:color="CCCCCC" w:sz="1"/>
              <w:right w:val="single" w:color="CCCCCC" w:sz="1"/>
            </w:tcBorders>
            <w:shd w:fill="FD7E1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No HIPAA Authorization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Neither AHCD includes a HIPAA authorization form. Without it, healthcare agents cannot access medical records. Federal HIPAA regulations (45 CFR § 164.502) require specific written authorization.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Add HIPAA authorization forms allowing designated agents to access medical records.</w:t>
            </w:r>
          </w:p>
        </w:tc>
      </w:tr>
    </w:tbl>
    <w:p>
      <w:r>
        <w:br w:type="page"/>
      </w:r>
    </w:p>
    <w:p>
      <w:pPr>
        <w:pStyle w:val="Heading1"/>
        <w:spacing w:before="200" w:after="200"/>
      </w:pPr>
      <w:r>
        <w:rPr>
          <w:rFonts w:ascii="Arial" w:cs="Arial" w:eastAsia="Arial" w:hAnsi="Arial"/>
          <w:b/>
          <w:bCs/>
          <w:color w:val="1B3A5C"/>
          <w:sz w:val="32"/>
          <w:szCs w:val="32"/>
        </w:rPr>
        <w:t xml:space="preserve">5. Cross-Cutting Issues (All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3200"/>
        <w:gridCol w:w="2500"/>
        <w:gridCol w:w="196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Remedy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FD7E1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Medi-Cal Asset Protection Not Addressed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Effective January 1, 2026, California reinstated Medi-Cal asset limits ($130K individual / $195K couple) with a 3-year lookback period for asset transfers. With Ellena's dementia, Medi-Cal planning should be a priority.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Consult elder law attorney regarding Medi-Cal asset protection strategies, look-back period compliance, and exempt asset identification (including primary residence under certain conditions).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Federal Estate Tax Exemption Sunset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federal estate tax exemption is set to drop from approximately $13.61M to approximately $7M per person effective January 1, 2026 (Tax Cuts and Jobs Act sunset). The estate plan contains no tax planning provisions.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Evaluate total estate value against new exemption. If estate may exceed threshold, implement tax planning (A/B trust, portability election, annual gifting).</w:t>
            </w:r>
          </w:p>
        </w:tc>
      </w:tr>
    </w:tbl>
    <w:p>
      <w:r>
        <w:br w:type="page"/>
      </w:r>
    </w:p>
    <w:p>
      <w:pPr>
        <w:pStyle w:val="Heading1"/>
        <w:spacing w:before="200" w:after="200"/>
      </w:pPr>
      <w:r>
        <w:rPr>
          <w:rFonts w:ascii="Arial" w:cs="Arial" w:eastAsia="Arial" w:hAnsi="Arial"/>
          <w:b/>
          <w:bCs/>
          <w:color w:val="1B3A5C"/>
          <w:sz w:val="32"/>
          <w:szCs w:val="32"/>
        </w:rPr>
        <w:t xml:space="preserve">6. Recent California Law Changes (2024–2026)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930"/>
        <w:gridCol w:w="293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Law / Change</w:t>
            </w:r>
          </w:p>
        </w:tc>
        <w:tc>
          <w:tcPr>
            <w:tcW w:type="dxa" w:w="39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 on Dixon Estate</w:t>
            </w:r>
          </w:p>
        </w:tc>
        <w:tc>
          <w:tcPr>
            <w:tcW w:type="dxa" w:w="29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Required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Medi-Cal Asset Limits Reinstated (Jan 1, 2026)</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California restored Medi-Cal asset limits: $130,000 individual / $195,000 couple, with 3-year lookback period for transfers. Ellena's dementia care may require Medi-Cal. Asset planning is urgent.</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Consult elder law attorney immediately. Map all assets against new limits. Identify exempt assets (primary residence may qualify).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Federal Estate Tax Exemption Sunset (Jan 1, 2026)</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TCJA sunset drops exemption from ~$13.61M to ~$7M per person. Depending on total estate value (Salinas home + Ghana property + accounts), the Dixons may face estate tax exposure.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Calculate total estate value. If near or above $7M, implement A/B trust structure, portability election strategy, or gifting program.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Proposition 19 (Effective Feb 2021)</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Limits parent-child property tax exclusion. Transfer of Salinas home to Pam (daughter-in-law, not a child) will trigger full reassessment. Even transfer to Jack (child) is limited to $1M+ of assessed value difference.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Model property tax impact of planned distributions. Consider whether restructuring distributions (e.g., Jack receives Salinas home) reduces tax burden.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AB 2016 — Small Estate Affidavit Reform (2025)</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Raised small estate threshold from $184,500 to approximately $200,000 (indexed). Assets under this threshold can pass without formal probate via affidavit.</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Inventory individual asset values. Some accounts may qualify for simplified transfer even if trust funding is incomplete.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AB 565 — Virtual Representation in Trust Proceedings (2025)</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Allows virtual representation of minor or unborn beneficiaries in judicial trust proceedings, simplifying trust modifications.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Note for future reference if trust amendments are contested or require court approval.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SB 801 — Remote Notarization (2024–2026)</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California authorized remote online notarization effective January 1, 2024, expanded in 2025-2026. Documents can be notarized via secure video conference.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This may simplify execution logistics, especially for Clement or Ellena if mobility is limited. Verify notary platform is California-approved.</w:t>
            </w:r>
          </w:p>
        </w:tc>
      </w:tr>
    </w:tbl>
    <w:p>
      <w:r>
        <w:br w:type="page"/>
      </w:r>
    </w:p>
    <w:p>
      <w:pPr>
        <w:pStyle w:val="Heading1"/>
        <w:spacing w:before="200" w:after="200"/>
      </w:pPr>
      <w:r>
        <w:rPr>
          <w:rFonts w:ascii="Arial" w:cs="Arial" w:eastAsia="Arial" w:hAnsi="Arial"/>
          <w:b/>
          <w:bCs/>
          <w:color w:val="1B3A5C"/>
          <w:sz w:val="32"/>
          <w:szCs w:val="32"/>
        </w:rPr>
        <w:t xml:space="preserve">7. Recommended Priority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3600"/>
        <w:gridCol w:w="416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Why This Matters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THIS WEEK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Arrange physician capacity assessment for Ellena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If Ellena loses capacity to sign legal documents, she cannot execute POA, AHCD, trust, or will. Conservatorship becomes the only option — costly, time-consuming, and public.</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Week 1–2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Complete all agent names, property descriptions, and placeholders in all documents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 document can be executed with placeholder text. Every '[Insert...]' must be replaced with actual information.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Week 2–3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Have attorney review and finalize trust amendments (community property, revocation, tax planning, Prop. 19)</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Critical structural issues in the trust need professional drafting. These cannot be DIY fixes.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Week 2–3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Complete POA power selections (initial categories A–N) for both Clement and Ellena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Without powers selected, POAs are useless. Each power category must be individually considered and initialed.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Week 2–3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Complete AHCD healthcare instructions and add HIPAA authorization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Healthcare agents need clear directives and legal authority to access medical records.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Week 3–4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Arrange formal execution ceremony for ALL documents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Every document needs proper signatures, witnesses, and/or notarization. Consider remote notarization (SB 801) if mobility is an issue.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Week 4–6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Fund the trust — retitle all assets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An unfunded trust is an empty vessel. Salinas home deed, bank accounts, investments all need to be retitled in trust name.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Week 4–8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Consult elder law attorney re: Medi-Cal planning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With new asset limits and 3-year lookback, early planning maximizes protection for Ellena's care costs.</w:t>
            </w:r>
          </w:p>
        </w:tc>
      </w:tr>
    </w:tbl>
    <w:p>
      <w:pPr>
        <w:spacing w:before="400" w:after="200"/>
      </w:pPr>
      <w:r>
        <w:rPr>
          <w:rFonts w:ascii="Arial" w:cs="Arial" w:eastAsia="Arial" w:hAnsi="Arial"/>
          <w:b/>
          <w:bCs/>
          <w:color w:val="1B3A5C"/>
          <w:sz w:val="28"/>
          <w:szCs w:val="28"/>
        </w:rPr>
        <w:t xml:space="preserve">A Word of Encouragement</w:t>
      </w:r>
    </w:p>
    <w:p>
      <w:pPr>
        <w:spacing w:after="200"/>
      </w:pPr>
      <w:r>
        <w:rPr>
          <w:rFonts w:ascii="Arial" w:cs="Arial" w:eastAsia="Arial" w:hAnsi="Arial"/>
          <w:sz w:val="22"/>
          <w:szCs w:val="22"/>
        </w:rPr>
        <w:t xml:space="preserve">John — this report identifies many issues, but please remember: every single one of them is fixable. The Dixons had the foresight to draft these documents, and the structure is sound. What remains is completing the details, getting professional review of a few key provisions, and executing everything properly. You are not starting from scratch — you are finishing what was thoughtfully begun. With the action plan above and your Monday/Thursday check-ins, this is absolutely doable.</w:t>
      </w:r>
    </w:p>
    <w:p>
      <w:pPr>
        <w:spacing w:after="400"/>
      </w:pPr>
      <w:r>
        <w:rPr>
          <w:rFonts w:ascii="Arial" w:cs="Arial" w:eastAsia="Arial" w:hAnsi="Arial"/>
          <w:i/>
          <w:iCs/>
          <w:color w:val="666666"/>
          <w:sz w:val="22"/>
          <w:szCs w:val="22"/>
        </w:rPr>
        <w:t>— Dewey, Cheatham &amp; Howe LLP</w:t>
      </w:r>
    </w:p>
    <w:sectPr>
      <w:headerReference w:type="default" r:id="rId6"/>
      <w:footerReference w:type="default" r:id="rId7"/>
      <w:headerReference w:type="first" r:id="rId9"/>
      <w:footerReference w:type="first" r:id="rId10"/>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Dixon Estate — Legal Compliance Audit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B3A5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2026-02-08T06:15:33.549Z</dcterms:created>
  <dcterms:modified xsi:type="dcterms:W3CDTF">2026-02-08T06:15:33.551Z</dcterms:modified>
</cp:coreProperties>
</file>

<file path=docProps/custom.xml><?xml version="1.0" encoding="utf-8"?>
<Properties xmlns="http://schemas.openxmlformats.org/officeDocument/2006/custom-properties" xmlns:vt="http://schemas.openxmlformats.org/officeDocument/2006/docPropsVTypes"/>
</file>