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  <w:rPr>
          <w:rFonts w:ascii="Arial" w:cs="Arial" w:eastAsia="Arial" w:hAnsi="Arial"/>
          <w:color w:val="1F4788"/>
        </w:rPr>
      </w:pPr>
      <w:r>
        <w:t xml:space="preserve">Deep Dive v2 — Connector Recommendations</w:t>
      </w:r>
    </w:p>
    <w:p>
      <w:pPr>
        <w:spacing w:after="400"/>
        <w:jc w:val="center"/>
        <w:rPr>
          <w:rFonts w:ascii="Arial" w:cs="Arial" w:eastAsia="Arial" w:hAnsi="Arial"/>
        </w:rPr>
      </w:pPr>
      <w:r>
        <w:t xml:space="preserve">Ridgemont Studio Cowork Ecosystem</w:t>
      </w:r>
    </w:p>
    <w:p>
      <w:pPr>
        <w:spacing w:after="600"/>
        <w:jc w:val="center"/>
        <w:rPr>
          <w:rFonts w:ascii="Arial" w:cs="Arial" w:eastAsia="Arial" w:hAnsi="Arial"/>
          <w:color w:val="666666"/>
        </w:rPr>
      </w:pPr>
      <w:r>
        <w:t xml:space="preserve">February 2026</w:t>
      </w:r>
    </w:p>
    <w:p>
      <w:pPr>
        <w:pStyle w:val="Heading1"/>
        <w:spacing w:before="400" w:after="200"/>
        <w:rPr>
          <w:rFonts w:ascii="Arial" w:cs="Arial" w:eastAsia="Arial" w:hAnsi="Arial"/>
          <w:b/>
          <w:bCs/>
        </w:rPr>
      </w:pPr>
      <w:r>
        <w:t xml:space="preserve">Section 1: Already Connected (21 Connectors)</w:t>
      </w:r>
    </w:p>
    <w:p>
      <w:pPr>
        <w:spacing w:after="300"/>
        <w:rPr>
          <w:rFonts w:ascii="Arial" w:cs="Arial" w:eastAsia="Arial" w:hAnsi="Arial"/>
        </w:rPr>
      </w:pPr>
      <w:r>
        <w:t xml:space="preserve">These are connectors already installed and working.</w:t>
      </w:r>
    </w:p>
    <w:p>
      <w:pPr>
        <w:pStyle w:val="Heading2"/>
        <w:spacing w:before="200" w:after="200"/>
        <w:rPr>
          <w:rFonts w:ascii="Arial" w:cs="Arial" w:eastAsia="Arial" w:hAnsi="Arial"/>
          <w:b/>
          <w:bCs/>
        </w:rPr>
      </w:pPr>
      <w:r>
        <w:t xml:space="preserve">OAuth Connectors</w:t>
      </w:r>
    </w:p>
    <w:tbl>
      <w:tblPr>
        <w:tblW w:type="auto" w:w="1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uto"/>
        </w:trPr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Connector</w:t>
            </w:r>
          </w:p>
        </w:tc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Type</w:t>
            </w:r>
          </w:p>
        </w:tc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Agent(s) Using It</w:t>
            </w:r>
          </w:p>
        </w:tc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Status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Google Drive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OAuth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All agents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Gmail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OAuth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Master Agent, X-Posts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Google Calendar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OAuth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Master Agent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GitHub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OAuth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RSW, Frozen Cloud Website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</w:tbl>
    <w:p>
      <w:pPr>
        <w:spacing w:after="300"/>
      </w:pPr>
    </w:p>
    <w:p>
      <w:pPr>
        <w:pStyle w:val="Heading2"/>
        <w:spacing w:before="200" w:after="200"/>
        <w:rPr>
          <w:rFonts w:ascii="Arial" w:cs="Arial" w:eastAsia="Arial" w:hAnsi="Arial"/>
          <w:b/>
          <w:bCs/>
        </w:rPr>
      </w:pPr>
      <w:r>
        <w:t xml:space="preserve">MCP Connectors</w:t>
      </w:r>
    </w:p>
    <w:tbl>
      <w:tblPr>
        <w:tblW w:type="auto" w:w="1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uto"/>
        </w:trPr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Connector</w:t>
            </w:r>
          </w:p>
        </w:tc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Type</w:t>
            </w:r>
          </w:p>
        </w:tc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Agent(s) Using It</w:t>
            </w:r>
          </w:p>
        </w:tc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Status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PubMed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Dr. Vinnie Boombatz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ChEMBL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Dr. Vinnie Boombatz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Clinical Trials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Dr. Vinnie Boombatz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bioRxiv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Dr. Vinnie Boombatz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ICD-10 Codes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Dr. Vinnie Boombatz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Consensus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Dr. Vinnie Boombatz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Scholar Gateway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Dr. Vinnie Boombatz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Cloudflare Dev Platform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RSW, Frozen Cloud Website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LunarCrush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Make Videos, X-Posts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Crypto.com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X-Posts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Indeed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Master Agent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Play Sheet Music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Suno Studio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Blockscout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X-Posts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Melon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Ridgemont Catalog Manager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Cloudinary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Make Videos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Ahrefs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X-Posts, RSW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  <w:tr>
        <w:trPr>
          <w:trHeight w:val="400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Canva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X-Posts, RSW, Frozen Cloud Website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Connected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  <w:rPr>
          <w:rFonts w:ascii="Arial" w:cs="Arial" w:eastAsia="Arial" w:hAnsi="Arial"/>
          <w:b/>
          <w:bCs/>
        </w:rPr>
      </w:pPr>
      <w:r>
        <w:t xml:space="preserve">Section 2: Recommended FREE Tier 3 Connectors (8 Connectors)</w:t>
      </w:r>
    </w:p>
    <w:tbl>
      <w:tblPr>
        <w:tblW w:type="auto" w:w="1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uto"/>
        </w:trPr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Connector</w:t>
            </w:r>
          </w:p>
        </w:tc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Agent(s)</w:t>
            </w:r>
          </w:p>
        </w:tc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Why You Need It</w:t>
            </w:r>
          </w:p>
        </w:tc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Cost</w:t>
            </w:r>
          </w:p>
        </w:tc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Priority</w:t>
            </w:r>
          </w:p>
        </w:tc>
      </w:tr>
      <w:tr>
        <w:trPr>
          <w:trHeight w:val="NaNto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NPI Registry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Dr. Vinnie Boombatz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US healthcare provider lookup — free government database. Essential for provider verification and referral research.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Free (government DB)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HIGH</w:t>
            </w:r>
          </w:p>
        </w:tc>
      </w:tr>
      <w:tr>
        <w:trPr>
          <w:trHeight w:val="NaNto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Notion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Master Agent, all agents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Knowledge base and project management. Could serve as a central hub for agent documentation, project plans, and cross-agent coordination.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Free plan available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HIGH</w:t>
            </w:r>
          </w:p>
        </w:tc>
      </w:tr>
      <w:tr>
        <w:trPr>
          <w:trHeight w:val="NaNto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Figma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RSW, Frozen Cloud Website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Design system management and collaborative web design. Import design tokens, inspect layouts, and maintain consistent brand identity across both websites.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Free tier available</w:t>
            </w:r>
          </w:p>
        </w:tc>
        <w:tc>
          <w:tcPr>
            <w:shd w:color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HIGH</w:t>
            </w:r>
          </w:p>
        </w:tc>
      </w:tr>
      <w:tr>
        <w:trPr>
          <w:trHeight w:val="NaNto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MotherDuck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Catalog Manager, frozen-cloud-portal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Natural language SQL querying over catalog data. Query the 98-song catalog with plain English instead of Python scripts. 10GB free tier is more than enough.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Free (10GB tier)</w:t>
            </w:r>
          </w:p>
        </w:tc>
        <w:tc>
          <w:tcPr>
            <w:shd w:color="FFF9C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MEDIUM</w:t>
            </w:r>
          </w:p>
        </w:tc>
      </w:tr>
      <w:tr>
        <w:trPr>
          <w:trHeight w:val="NaNto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Amplitude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frozen-cloud-portal, RSW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User analytics for web properties. Track visitor behavior on ridgemontstudio.com and the internal portal.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Free (up to 10M events)</w:t>
            </w:r>
          </w:p>
        </w:tc>
        <w:tc>
          <w:tcPr>
            <w:shd w:color="FFF9C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MEDIUM</w:t>
            </w:r>
          </w:p>
        </w:tc>
      </w:tr>
      <w:tr>
        <w:trPr>
          <w:trHeight w:val="NaNto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Stripe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RSW, Catalog Manager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Payment processing for sync licensing marketplace on ridgemontstudio.com. Connector is free to install; Stripe account is free to create (only pay per transaction).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Free connector + account</w:t>
            </w:r>
          </w:p>
        </w:tc>
        <w:tc>
          <w:tcPr>
            <w:shd w:color="FFF9C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MEDIUM</w:t>
            </w:r>
          </w:p>
        </w:tc>
      </w:tr>
      <w:tr>
        <w:trPr>
          <w:trHeight w:val="NaNto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PayPal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RSW, Catalog Manager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Alternative payment method for sync licensing. Gives buyers a second option alongside Stripe.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Free connector + account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LOWER</w:t>
            </w:r>
          </w:p>
        </w:tc>
      </w:tr>
      <w:tr>
        <w:trPr>
          <w:trHeight w:val="NaNto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Zapier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Master Agent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Workflow automation connecting agents to external triggers. Free tier limited to 100 tasks/month.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Free tier (limited)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LOWER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  <w:rPr>
          <w:rFonts w:ascii="Arial" w:cs="Arial" w:eastAsia="Arial" w:hAnsi="Arial"/>
          <w:b/>
          <w:bCs/>
        </w:rPr>
      </w:pPr>
      <w:r>
        <w:t xml:space="preserve">Section 3: Paid Connectors — Music/Video Production Related</w:t>
      </w:r>
    </w:p>
    <w:tbl>
      <w:tblPr>
        <w:tblW w:type="auto" w:w="1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uto"/>
        </w:trPr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Connector</w:t>
            </w:r>
          </w:p>
        </w:tc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Agent(s)</w:t>
            </w:r>
          </w:p>
        </w:tc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Why You Need It</w:t>
            </w:r>
          </w:p>
        </w:tc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Cost</w:t>
            </w:r>
          </w:p>
        </w:tc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Monthly/Annual Cost</w:t>
            </w:r>
          </w:p>
        </w:tc>
      </w:tr>
      <w:tr>
        <w:trPr>
          <w:trHeight w:val="NaNto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Windsor.ai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X-Posts, RSW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Marketing analytics aggregator — combines data from social media ads, Google Analytics, and other marketing platforms into unified reports. Useful for tracking ROI on content promotion across YouTube, X, TikTok.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Paid subscription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~$20-100/mo depending on plan</w:t>
            </w:r>
          </w:p>
        </w:tc>
      </w:tr>
    </w:tbl>
    <w:p>
      <w:pPr>
        <w:spacing w:after="200"/>
      </w:pPr>
    </w:p>
    <w:p>
      <w:pPr>
        <w:spacing w:after="300"/>
        <w:rPr>
          <w:rFonts w:ascii="Arial" w:cs="Arial" w:eastAsia="Arial" w:hAnsi="Arial"/>
          <w:i/>
          <w:iCs/>
        </w:rPr>
      </w:pPr>
      <w:r>
        <w:t xml:space="preserve">Note: Function Health and Medidata are not included in this document as they are not relevant to music/video production or have limited applicability to the Ridgemont Studio ecosystem.</w:t>
      </w:r>
    </w:p>
    <w:p>
      <w:pPr>
        <w:pStyle w:val="Heading1"/>
        <w:spacing w:before="400" w:after="200"/>
        <w:rPr>
          <w:rFonts w:ascii="Arial" w:cs="Arial" w:eastAsia="Arial" w:hAnsi="Arial"/>
          <w:b/>
          <w:bCs/>
        </w:rPr>
      </w:pPr>
      <w:r>
        <w:t xml:space="preserve">Section 4: How to Connect</w:t>
      </w:r>
    </w:p>
    <w:p>
      <w:pPr>
        <w:spacing w:after="200"/>
        <w:rPr>
          <w:rFonts w:ascii="Arial" w:cs="Arial" w:eastAsia="Arial" w:hAnsi="Arial"/>
        </w:rPr>
      </w:pPr>
      <w:r>
        <w:t xml:space="preserve">Follow these step-by-step instructions to connect new connectors:</w:t>
      </w:r>
    </w:p>
    <w:p>
      <w:pPr>
        <w:spacing w:after="100"/>
        <w:rPr>
          <w:rFonts w:ascii="Arial" w:cs="Arial" w:eastAsia="Arial" w:hAnsi="Arial"/>
        </w:rPr>
      </w:pPr>
      <w:r>
        <w:t xml:space="preserve">1. Open claude.ai/settings/connectors in your browser (or Claude Desktop → Settings → Connectors)</w:t>
      </w:r>
    </w:p>
    <w:p>
      <w:pPr>
        <w:spacing w:after="100"/>
        <w:rPr>
          <w:rFonts w:ascii="Arial" w:cs="Arial" w:eastAsia="Arial" w:hAnsi="Arial"/>
        </w:rPr>
      </w:pPr>
      <w:r>
        <w:t xml:space="preserve">2. Search for the connector by name</w:t>
      </w:r>
    </w:p>
    <w:p>
      <w:pPr>
        <w:spacing w:after="100"/>
        <w:rPr>
          <w:rFonts w:ascii="Arial" w:cs="Arial" w:eastAsia="Arial" w:hAnsi="Arial"/>
        </w:rPr>
      </w:pPr>
      <w:r>
        <w:t xml:space="preserve">3. Click "Connect" and follow the OAuth/authorization flow</w:t>
      </w:r>
    </w:p>
    <w:p>
      <w:pPr>
        <w:spacing w:after="100"/>
        <w:rPr>
          <w:rFonts w:ascii="Arial" w:cs="Arial" w:eastAsia="Arial" w:hAnsi="Arial"/>
        </w:rPr>
      </w:pPr>
      <w:r>
        <w:t xml:space="preserve">4. The connector becomes available to ALL Cowork sessions immediately</w:t>
      </w:r>
    </w:p>
    <w:p>
      <w:pPr>
        <w:spacing w:after="100"/>
        <w:rPr>
          <w:rFonts w:ascii="Arial" w:cs="Arial" w:eastAsia="Arial" w:hAnsi="Arial"/>
        </w:rPr>
      </w:pPr>
      <w:r>
        <w:t xml:space="preserve">5. Come back to the Master Agent session and say "I connected [name]" — the Master Agent will embed the reference in the appropriate agent configs</w:t>
      </w:r>
    </w:p>
    <w:p>
      <w:pPr>
        <w:spacing w:after="300"/>
      </w:pPr>
    </w:p>
    <w:p>
      <w:pPr>
        <w:pStyle w:val="Heading1"/>
        <w:spacing w:before="400" w:after="200"/>
        <w:rPr>
          <w:rFonts w:ascii="Arial" w:cs="Arial" w:eastAsia="Arial" w:hAnsi="Arial"/>
          <w:b/>
          <w:bCs/>
        </w:rPr>
      </w:pPr>
      <w:r>
        <w:t xml:space="preserve">Section 5: Config Embeds Completed This Session</w:t>
      </w:r>
    </w:p>
    <w:tbl>
      <w:tblPr>
        <w:tblW w:type="auto" w:w="1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Agent</w:t>
            </w:r>
          </w:p>
        </w:tc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Connector Refs Added</w:t>
            </w:r>
          </w:p>
        </w:tc>
        <w:tc>
          <w:tcPr>
            <w:shd w:color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Status</w:t>
            </w:r>
          </w:p>
        </w:tc>
      </w:tr>
      <w:tr>
        <w:trPr>
          <w:trHeight w:val="NaNto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X-Posts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Canva, Ahrefs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Embedded</w:t>
            </w:r>
          </w:p>
        </w:tc>
      </w:tr>
      <w:tr>
        <w:trPr>
          <w:trHeight w:val="NaNto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Frozen Cloud Website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Canva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Embedded</w:t>
            </w:r>
          </w:p>
        </w:tc>
      </w:tr>
      <w:tr>
        <w:trPr>
          <w:trHeight w:val="NaNto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Ridgemont Studio Website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Canva, Ahrefs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Embedded</w:t>
            </w:r>
          </w:p>
        </w:tc>
      </w:tr>
      <w:tr>
        <w:trPr>
          <w:trHeight w:val="NaNto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Dr. Vinnie Boombatz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ChEMBL, Clinical Trials, bioRxiv, ICD-10, Consensus, Scholar Gateway (full research workflow)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Embedded</w:t>
            </w:r>
          </w:p>
        </w:tc>
      </w:tr>
      <w:tr>
        <w:trPr>
          <w:trHeight w:val="NaNto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Make Videos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Cloudinary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Embedded</w:t>
            </w:r>
          </w:p>
        </w:tc>
      </w:tr>
      <w:tr>
        <w:trPr>
          <w:trHeight w:val="NaNto" w:hRule="auto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Ridgemont Catalog Manager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Melon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Embedded</w:t>
            </w:r>
          </w:p>
        </w:tc>
      </w:tr>
    </w:tbl>
    <w:p>
      <w:pPr>
        <w:spacing w:after="300"/>
      </w:pPr>
    </w:p>
    <w:p>
      <w:pPr>
        <w:spacing w:after="100"/>
        <w:rPr>
          <w:rFonts w:ascii="Arial" w:cs="Arial" w:eastAsia="Arial" w:hAnsi="Arial"/>
          <w:i/>
          <w:iCs/>
          <w:color w:val="555555"/>
        </w:rPr>
      </w:pPr>
      <w:r>
        <w:t xml:space="preserve">These embeds were added during the Tier 3 thorough implementation session on February 8, 2026. Each agent's config file now references the connected connectors so the agent knows when and how to use them.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rPr>
        <w:rFonts w:ascii="Arial" w:cs="Arial" w:eastAsia="Arial" w:hAnsi="Arial"/>
        <w:color w:val="999999"/>
      </w:rPr>
    </w:pPr>
    <w:r>
      <w:t xml:space="preserve">Ridgemont Studio — Deep Dive v2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2026-02-09T01:41:08.563Z</dcterms:created>
  <dcterms:modified xsi:type="dcterms:W3CDTF">2026-02-09T01:41:08.564Z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