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35" w:rsidRPr="00887D3B" w:rsidRDefault="00A17635" w:rsidP="00A17635">
      <w:r w:rsidRPr="00887D3B">
        <w:t xml:space="preserve">The institution maintains complete transparency in its financial, academic, administrative and auxiliary functions </w:t>
      </w:r>
    </w:p>
    <w:p w:rsidR="00491C31" w:rsidRDefault="00491C31">
      <w:bookmarkStart w:id="0" w:name="_GoBack"/>
      <w:bookmarkEnd w:id="0"/>
    </w:p>
    <w:sectPr w:rsidR="0049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2D"/>
    <w:rsid w:val="00491C31"/>
    <w:rsid w:val="00A17635"/>
    <w:rsid w:val="00B8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36E91-E4D2-472F-B678-E967BA40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2</cp:revision>
  <dcterms:created xsi:type="dcterms:W3CDTF">2018-11-19T17:24:00Z</dcterms:created>
  <dcterms:modified xsi:type="dcterms:W3CDTF">2018-11-19T17:24:00Z</dcterms:modified>
</cp:coreProperties>
</file>