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0.png" ContentType="image/png"/>
  <Override PartName="/word/media/rId56.png" ContentType="image/png"/>
  <Override PartName="/word/media/rId112.png" ContentType="image/png"/>
  <Override PartName="/word/media/rId88.png" ContentType="image/png"/>
  <Override PartName="/word/media/rId32.png" ContentType="image/png"/>
  <Override PartName="/word/media/rId103.png" ContentType="image/png"/>
  <Override PartName="/word/media/rId73.png" ContentType="image/png"/>
  <Override PartName="/word/media/rId9.png" ContentType="image/png"/>
  <Override PartName="/word/media/rId53.png" ContentType="image/png"/>
  <Override PartName="/word/media/rId27.png" ContentType="image/png"/>
  <Override PartName="/word/media/rId66.png" ContentType="image/png"/>
  <Override PartName="/word/media/rId85.png" ContentType="image/png"/>
  <Override PartName="/word/media/rId108.png" ContentType="image/png"/>
  <Override PartName="/word/media/rId23.png" ContentType="image/png"/>
  <Override PartName="/word/media/rId70.png" ContentType="image/png"/>
  <Override PartName="/word/media/rId37.png" ContentType="image/png"/>
  <Override PartName="/word/media/rId7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19"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Geocoder[3]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2026)[4], needs PostgreSQL 16+. Exact-match oriented; its own documentation notes speed problems in the</w:t>
            </w:r>
            <w:r>
              <w:t xml:space="preserve"> </w:t>
            </w:r>
            <w:r>
              <w:rPr>
                <w:rStyle w:val="VerbatimChar"/>
              </w:rPr>
              <w:t xml:space="preserve">address_standardizer</w:t>
            </w:r>
            <w:r>
              <w:t xml:space="preserve">[5] wrapper for batch work</w:t>
            </w:r>
          </w:p>
        </w:tc>
      </w:tr>
      <w:tr>
        <w:tc>
          <w:tcPr/>
          <w:p>
            <w:pPr>
              <w:pStyle w:val="Compact"/>
            </w:pPr>
            <w:r>
              <w:t xml:space="preserve">osmgeocoder[6]</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[7]). Multi-country address formatting via OpenCage templates. Without libpostal it degrades to</w:t>
            </w:r>
            <w:r>
              <w:t xml:space="preserve"> </w:t>
            </w:r>
            <w:r>
              <w:t xml:space="preserve">“street names only”</w:t>
            </w:r>
          </w:p>
        </w:tc>
      </w:tr>
      <w:tr>
        <w:tc>
          <w:tcPr/>
          <w:p>
            <w:pPr>
              <w:pStyle w:val="Compact"/>
            </w:pPr>
            <w:r>
              <w:t xml:space="preserve">moofish32/postgis-geocoder[8]</w:t>
            </w:r>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r>
              <w:t xml:space="preserve">Nominatim[9]</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roadmap[10]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17"/>
    <w:bookmarkStart w:id="18"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[11]</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[12]</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word[13].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First[14],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OpenAddresses[15], the open collection of address points</w:t>
            </w:r>
          </w:p>
        </w:tc>
      </w:tr>
      <w:tr>
        <w:tc>
          <w:tcPr/>
          <w:p>
            <w:pPr>
              <w:pStyle w:val="Compact"/>
            </w:pPr>
            <w:r>
              <w:rPr>
                <w:b/>
                <w:bCs/>
              </w:rPr>
              <w:t xml:space="preserve">GNIS</w:t>
            </w:r>
          </w:p>
        </w:tc>
        <w:tc>
          <w:tcPr/>
          <w:p>
            <w:pPr>
              <w:pStyle w:val="Compact"/>
            </w:pPr>
            <w:r>
              <w:t xml:space="preserve">The USGS Geographic Names Information System[16]: lakes, summits, streams and populated places</w:t>
            </w:r>
          </w:p>
        </w:tc>
      </w:tr>
      <w:tr>
        <w:tc>
          <w:tcPr/>
          <w:p>
            <w:pPr>
              <w:pStyle w:val="Compact"/>
            </w:pPr>
            <w:r>
              <w:rPr>
                <w:b/>
                <w:bCs/>
              </w:rPr>
              <w:t xml:space="preserve">ZCTA</w:t>
            </w:r>
          </w:p>
        </w:tc>
        <w:tc>
          <w:tcPr/>
          <w:p>
            <w:pPr>
              <w:pStyle w:val="Compact"/>
            </w:pPr>
            <w:r>
              <w:t xml:space="preserve">ZIP Code Tabulation Area[17],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8"/>
    <w:bookmarkEnd w:id="19"/>
    <w:bookmarkStart w:id="46"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6"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1" name="Picture"/>
            <a:graphic>
              <a:graphicData uri="http://schemas.openxmlformats.org/drawingml/2006/picture">
                <pic:pic>
                  <pic:nvPicPr>
                    <pic:cNvPr descr="report_figures/fig_architecture.png" id="22" name="Picture"/>
                    <pic:cNvPicPr>
                      <a:picLocks noChangeArrowheads="1" noChangeAspect="1"/>
                    </pic:cNvPicPr>
                  </pic:nvPicPr>
                  <pic:blipFill>
                    <a:blip r:embed="rId20"/>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4" name="Picture"/>
            <a:graphic>
              <a:graphicData uri="http://schemas.openxmlformats.org/drawingml/2006/picture">
                <pic:pic>
                  <pic:nvPicPr>
                    <pic:cNvPr descr="report_figures/fig_query_pipeline.png" id="25" name="Picture"/>
                    <pic:cNvPicPr>
                      <a:picLocks noChangeArrowheads="1" noChangeAspect="1"/>
                    </pic:cNvPicPr>
                  </pic:nvPicPr>
                  <pic:blipFill>
                    <a:blip r:embed="rId2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6"/>
    <w:bookmarkStart w:id="31"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8" name="Picture"/>
            <a:graphic>
              <a:graphicData uri="http://schemas.openxmlformats.org/drawingml/2006/picture">
                <pic:pic>
                  <pic:nvPicPr>
                    <pic:cNvPr descr="report_figures/fig_inventory.png" id="29" name="Picture"/>
                    <pic:cNvPicPr>
                      <a:picLocks noChangeArrowheads="1" noChangeAspect="1"/>
                    </pic:cNvPicPr>
                  </pic:nvPicPr>
                  <pic:blipFill>
                    <a:blip r:embed="rId27"/>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0"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0"/>
    <w:bookmarkEnd w:id="31"/>
    <w:bookmarkStart w:id="35"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3" name="Picture"/>
            <a:graphic>
              <a:graphicData uri="http://schemas.openxmlformats.org/drawingml/2006/picture">
                <pic:pic>
                  <pic:nvPicPr>
                    <pic:cNvPr descr="report_figures/fig_data_pipeline.png" id="34" name="Picture"/>
                    <pic:cNvPicPr>
                      <a:picLocks noChangeArrowheads="1" noChangeAspect="1"/>
                    </pic:cNvPicPr>
                  </pic:nvPicPr>
                  <pic:blipFill>
                    <a:blip r:embed="rId32"/>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DuckDB[18], ogr2ogr[19]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5"/>
    <w:bookmarkStart w:id="36"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6"/>
    <w:bookmarkStart w:id="42"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38" name="Picture"/>
            <a:graphic>
              <a:graphicData uri="http://schemas.openxmlformats.org/drawingml/2006/picture">
                <pic:pic>
                  <pic:nvPicPr>
                    <pic:cNvPr descr="report_figures/fig_test_harness.png" id="39" name="Picture"/>
                    <pic:cNvPicPr>
                      <a:picLocks noChangeArrowheads="1" noChangeAspect="1"/>
                    </pic:cNvPicPr>
                  </pic:nvPicPr>
                  <pic:blipFill>
                    <a:blip r:embed="rId3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0"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End w:id="40"/>
    <w:bookmarkStart w:id="41"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1"/>
    <w:bookmarkEnd w:id="42"/>
    <w:bookmarkStart w:id="43"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3"/>
    <w:bookmarkStart w:id="45"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4"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4"/>
    <w:bookmarkEnd w:id="45"/>
    <w:bookmarkEnd w:id="46"/>
    <w:bookmarkStart w:id="127"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1"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8" name="Picture"/>
            <a:graphic>
              <a:graphicData uri="http://schemas.openxmlformats.org/drawingml/2006/picture">
                <pic:pic>
                  <pic:nvPicPr>
                    <pic:cNvPr descr="report_figures/fig_accuracy_category.png" id="49" name="Picture"/>
                    <pic:cNvPicPr>
                      <a:picLocks noChangeArrowheads="1" noChangeAspect="1"/>
                    </pic:cNvPicPr>
                  </pic:nvPicPr>
                  <pic:blipFill>
                    <a:blip r:embed="rId47"/>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1" name="Picture"/>
            <a:graphic>
              <a:graphicData uri="http://schemas.openxmlformats.org/drawingml/2006/picture">
                <pic:pic>
                  <pic:nvPicPr>
                    <pic:cNvPr descr="report_figures/fig_accuracy_quality.png" id="52" name="Picture"/>
                    <pic:cNvPicPr>
                      <a:picLocks noChangeArrowheads="1" noChangeAspect="1"/>
                    </pic:cNvPicPr>
                  </pic:nvPicPr>
                  <pic:blipFill>
                    <a:blip r:embed="rId50"/>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4" name="Picture"/>
            <a:graphic>
              <a:graphicData uri="http://schemas.openxmlformats.org/drawingml/2006/picture">
                <pic:pic>
                  <pic:nvPicPr>
                    <pic:cNvPr descr="report_figures/fig_fuzz.png" id="55" name="Picture"/>
                    <pic:cNvPicPr>
                      <a:picLocks noChangeArrowheads="1" noChangeAspect="1"/>
                    </pic:cNvPicPr>
                  </pic:nvPicPr>
                  <pic:blipFill>
                    <a:blip r:embed="rId53"/>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59"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7" name="Picture"/>
            <a:graphic>
              <a:graphicData uri="http://schemas.openxmlformats.org/drawingml/2006/picture">
                <pic:pic>
                  <pic:nvPicPr>
                    <pic:cNvPr descr="report_figures/fig_calibration.png" id="58" name="Picture"/>
                    <pic:cNvPicPr>
                      <a:picLocks noChangeArrowheads="1" noChangeAspect="1"/>
                    </pic:cNvPicPr>
                  </pic:nvPicPr>
                  <pic:blipFill>
                    <a:blip r:embed="rId56"/>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59"/>
    <w:bookmarkStart w:id="60"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0"/>
    <w:bookmarkEnd w:id="61"/>
    <w:bookmarkStart w:id="65"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3" name="Picture"/>
            <a:graphic>
              <a:graphicData uri="http://schemas.openxmlformats.org/drawingml/2006/picture">
                <pic:pic>
                  <pic:nvPicPr>
                    <pic:cNvPr descr="report_figures/fig_tuning.png" id="64" name="Picture"/>
                    <pic:cNvPicPr>
                      <a:picLocks noChangeArrowheads="1" noChangeAspect="1"/>
                    </pic:cNvPicPr>
                  </pic:nvPicPr>
                  <pic:blipFill>
                    <a:blip r:embed="rId62"/>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5"/>
    <w:bookmarkStart w:id="69"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4"/>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4"/>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4"/>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4"/>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7" name="Picture"/>
            <a:graphic>
              <a:graphicData uri="http://schemas.openxmlformats.org/drawingml/2006/picture">
                <pic:pic>
                  <pic:nvPicPr>
                    <pic:cNvPr descr="report_figures/fig_latency_3users.png" id="68" name="Picture"/>
                    <pic:cNvPicPr>
                      <a:picLocks noChangeArrowheads="1" noChangeAspect="1"/>
                    </pic:cNvPicPr>
                  </pic:nvPicPr>
                  <pic:blipFill>
                    <a:blip r:embed="rId66"/>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69"/>
    <w:bookmarkStart w:id="84"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1" name="Picture"/>
            <a:graphic>
              <a:graphicData uri="http://schemas.openxmlformats.org/drawingml/2006/picture">
                <pic:pic>
                  <pic:nvPicPr>
                    <pic:cNvPr descr="report_figures/fig_ramp.png" id="72" name="Picture"/>
                    <pic:cNvPicPr>
                      <a:picLocks noChangeArrowheads="1" noChangeAspect="1"/>
                    </pic:cNvPicPr>
                  </pic:nvPicPr>
                  <pic:blipFill>
                    <a:blip r:embed="rId70"/>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4" name="Picture"/>
            <a:graphic>
              <a:graphicData uri="http://schemas.openxmlformats.org/drawingml/2006/picture">
                <pic:pic>
                  <pic:nvPicPr>
                    <pic:cNvPr descr="report_figures/fig_endpoint_ramp.png" id="75" name="Picture"/>
                    <pic:cNvPicPr>
                      <a:picLocks noChangeArrowheads="1" noChangeAspect="1"/>
                    </pic:cNvPicPr>
                  </pic:nvPicPr>
                  <pic:blipFill>
                    <a:blip r:embed="rId73"/>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7" name="Picture"/>
            <a:graphic>
              <a:graphicData uri="http://schemas.openxmlformats.org/drawingml/2006/picture">
                <pic:pic>
                  <pic:nvPicPr>
                    <pic:cNvPr descr="report_figures/fig_throughput.png" id="78" name="Picture"/>
                    <pic:cNvPicPr>
                      <a:picLocks noChangeArrowheads="1" noChangeAspect="1"/>
                    </pic:cNvPicPr>
                  </pic:nvPicPr>
                  <pic:blipFill>
                    <a:blip r:embed="rId76"/>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79"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79"/>
    <w:bookmarkStart w:id="80"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0"/>
    <w:bookmarkStart w:id="81"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1"/>
    <w:bookmarkStart w:id="82"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2"/>
    <w:bookmarkStart w:id="83"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3"/>
    <w:bookmarkEnd w:id="84"/>
    <w:bookmarkStart w:id="102"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6" name="Picture"/>
            <a:graphic>
              <a:graphicData uri="http://schemas.openxmlformats.org/drawingml/2006/picture">
                <pic:pic>
                  <pic:nvPicPr>
                    <pic:cNvPr descr="report_figures/fig_memory.png" id="87" name="Picture"/>
                    <pic:cNvPicPr>
                      <a:picLocks noChangeArrowheads="1" noChangeAspect="1"/>
                    </pic:cNvPicPr>
                  </pic:nvPicPr>
                  <pic:blipFill>
                    <a:blip r:embed="rId85"/>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9" name="Picture"/>
            <a:graphic>
              <a:graphicData uri="http://schemas.openxmlformats.org/drawingml/2006/picture">
                <pic:pic>
                  <pic:nvPicPr>
                    <pic:cNvPr descr="report_figures/fig_cpu.png" id="90" name="Picture"/>
                    <pic:cNvPicPr>
                      <a:picLocks noChangeArrowheads="1" noChangeAspect="1"/>
                    </pic:cNvPicPr>
                  </pic:nvPicPr>
                  <pic:blipFill>
                    <a:blip r:embed="rId88"/>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1" w:name="resource-requirements"/>
    <w:p>
      <w:pPr>
        <w:pStyle w:val="Heading4"/>
      </w:pPr>
      <w:r>
        <w:t xml:space="preserve">Resource requirements</w:t>
      </w:r>
    </w:p>
    <w:bookmarkEnd w:id="91"/>
    <w:bookmarkStart w:id="92"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2"/>
    <w:bookmarkStart w:id="93"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3"/>
    <w:bookmarkStart w:id="100"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4">
        <w:r>
          <w:rPr>
            <w:rStyle w:val="Hyperlink"/>
          </w:rPr>
          <w:t xml:space="preserve">Linode/Akamai</w:t>
        </w:r>
      </w:hyperlink>
      <w:r>
        <w:t xml:space="preserve">,</w:t>
      </w:r>
      <w:r>
        <w:t xml:space="preserve"> </w:t>
      </w:r>
      <w:hyperlink r:id="rId95">
        <w:r>
          <w:rPr>
            <w:rStyle w:val="Hyperlink"/>
          </w:rPr>
          <w:t xml:space="preserve">DigitalOcean</w:t>
        </w:r>
      </w:hyperlink>
      <w:r>
        <w:t xml:space="preserve">,</w:t>
      </w:r>
      <w:r>
        <w:t xml:space="preserve"> </w:t>
      </w:r>
      <w:hyperlink r:id="rId96">
        <w:r>
          <w:rPr>
            <w:rStyle w:val="Hyperlink"/>
          </w:rPr>
          <w:t xml:space="preserve">Vultr</w:t>
        </w:r>
      </w:hyperlink>
      <w:r>
        <w:t xml:space="preserve">,</w:t>
      </w:r>
      <w:r>
        <w:t xml:space="preserve"> </w:t>
      </w:r>
      <w:hyperlink r:id="rId97">
        <w:r>
          <w:rPr>
            <w:rStyle w:val="Hyperlink"/>
          </w:rPr>
          <w:t xml:space="preserve">Hetzner</w:t>
        </w:r>
      </w:hyperlink>
      <w:r>
        <w:t xml:space="preserve">,</w:t>
      </w:r>
      <w:r>
        <w:t xml:space="preserve"> </w:t>
      </w:r>
      <w:hyperlink r:id="rId98">
        <w:r>
          <w:rPr>
            <w:rStyle w:val="Hyperlink"/>
          </w:rPr>
          <w:t xml:space="preserve">AWS Lightsail</w:t>
        </w:r>
      </w:hyperlink>
      <w:r>
        <w:t xml:space="preserve">,</w:t>
      </w:r>
      <w:r>
        <w:t xml:space="preserve"> </w:t>
      </w:r>
      <w:hyperlink r:id="rId99">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0"/>
    <w:bookmarkStart w:id="101"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1"/>
    <w:bookmarkEnd w:id="102"/>
    <w:bookmarkStart w:id="107"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4" name="Picture"/>
            <a:graphic>
              <a:graphicData uri="http://schemas.openxmlformats.org/drawingml/2006/picture">
                <pic:pic>
                  <pic:nvPicPr>
                    <pic:cNvPr descr="report_figures/fig_datavol.png" id="105" name="Picture"/>
                    <pic:cNvPicPr>
                      <a:picLocks noChangeArrowheads="1" noChangeAspect="1"/>
                    </pic:cNvPicPr>
                  </pic:nvPicPr>
                  <pic:blipFill>
                    <a:blip r:embed="rId10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6"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31.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6"/>
    <w:bookmarkEnd w:id="107"/>
    <w:bookmarkStart w:id="111"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09" name="Picture"/>
            <a:graphic>
              <a:graphicData uri="http://schemas.openxmlformats.org/drawingml/2006/picture">
                <pic:pic>
                  <pic:nvPicPr>
                    <pic:cNvPr descr="report_figures/fig_qtype.png" id="110" name="Picture"/>
                    <pic:cNvPicPr>
                      <a:picLocks noChangeArrowheads="1" noChangeAspect="1"/>
                    </pic:cNvPicPr>
                  </pic:nvPicPr>
                  <pic:blipFill>
                    <a:blip r:embed="rId108"/>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1"/>
    <w:bookmarkStart w:id="115"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3" name="Picture"/>
            <a:graphic>
              <a:graphicData uri="http://schemas.openxmlformats.org/drawingml/2006/picture">
                <pic:pic>
                  <pic:nvPicPr>
                    <pic:cNvPr descr="report_figures/fig_compat.png" id="114" name="Picture"/>
                    <pic:cNvPicPr>
                      <a:picLocks noChangeArrowheads="1" noChangeAspect="1"/>
                    </pic:cNvPicPr>
                  </pic:nvPicPr>
                  <pic:blipFill>
                    <a:blip r:embed="rId112"/>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32.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5"/>
    <w:bookmarkStart w:id="118"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6"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28[20]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6"/>
    <w:bookmarkStart w:id="117" w:name="zip4"/>
    <w:p>
      <w:pPr>
        <w:pStyle w:val="Heading4"/>
      </w:pPr>
      <w:r>
        <w:t xml:space="preserve">3.9.2 ZIP+4</w:t>
      </w:r>
    </w:p>
    <w:p>
      <w:pPr>
        <w:pStyle w:val="FirstParagraph"/>
      </w:pPr>
      <w:r>
        <w:t xml:space="preserve">The USPS ZIP+4 file[21]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7"/>
    <w:bookmarkEnd w:id="118"/>
    <w:bookmarkStart w:id="119"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33.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34.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35.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19"/>
    <w:bookmarkStart w:id="120"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36.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35).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0"/>
    <w:bookmarkStart w:id="124"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37 is the whole path, pass and fail.</w:t>
      </w:r>
    </w:p>
    <w:p>
      <w:pPr>
        <w:pStyle w:val="BodyText"/>
      </w:pPr>
      <w:r>
        <w:rPr>
          <w:b/>
          <w:bCs/>
        </w:rPr>
        <w:t xml:space="preserve">Table 37.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1"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1"/>
    <w:bookmarkStart w:id="122"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2"/>
    <w:bookmarkStart w:id="123"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38.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3"/>
    <w:bookmarkEnd w:id="124"/>
    <w:bookmarkStart w:id="126"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39.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5"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5"/>
    <w:bookmarkEnd w:id="126"/>
    <w:bookmarkEnd w:id="127"/>
    <w:bookmarkStart w:id="128"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5"/>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5"/>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5"/>
        </w:numPr>
      </w:pPr>
      <w:r>
        <w:t xml:space="preserve">At 1-4 users the per-endpoint p95 rests on few requests; the ramp’s decisions at higher user</w:t>
      </w:r>
      <w:r>
        <w:t xml:space="preserve"> </w:t>
      </w:r>
      <w:r>
        <w:t xml:space="preserve">counts rest on thousands.</w:t>
      </w:r>
    </w:p>
    <w:p>
      <w:pPr>
        <w:pStyle w:val="Compact"/>
        <w:numPr>
          <w:ilvl w:val="0"/>
          <w:numId w:val="1005"/>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5"/>
        </w:numPr>
      </w:pPr>
      <w:r>
        <w:t xml:space="preserve">The first Pelias data-volume run failed because Elasticsearch was not ready after the previous</w:t>
      </w:r>
      <w:r>
        <w:t xml:space="preserve"> </w:t>
      </w:r>
      <w:r>
        <w:t xml:space="preserve">run’s restart; it was repeated with a readiness wait.</w:t>
      </w:r>
    </w:p>
    <w:bookmarkEnd w:id="128"/>
    <w:bookmarkStart w:id="129"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40.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29"/>
    <w:bookmarkStart w:id="131"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41.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0"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0"/>
    <w:bookmarkEnd w:id="131"/>
    <w:bookmarkStart w:id="137"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2"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42.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43.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2"/>
    <w:bookmarkStart w:id="133"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3"/>
    <w:bookmarkStart w:id="134"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6"/>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6"/>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6"/>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4"/>
    <w:bookmarkStart w:id="135"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5"/>
    <w:bookmarkStart w:id="136"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6"/>
    <w:bookmarkEnd w:id="137"/>
    <w:bookmarkStart w:id="138"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7"/>
        </w:numPr>
      </w:pPr>
      <w:r>
        <w:t xml:space="preserve">Pelias: an open-source geocoder. https://pelias.io and https://github.com/pelias/pelias</w:t>
      </w:r>
    </w:p>
    <w:p>
      <w:pPr>
        <w:pStyle w:val="Compact"/>
        <w:numPr>
          <w:ilvl w:val="0"/>
          <w:numId w:val="1007"/>
        </w:numPr>
      </w:pPr>
      <w:r>
        <w:t xml:space="preserve">Elasticsearch. Elastic. https://www.elastic.co/elasticsearch</w:t>
      </w:r>
    </w:p>
    <w:p>
      <w:pPr>
        <w:pStyle w:val="Compact"/>
        <w:numPr>
          <w:ilvl w:val="0"/>
          <w:numId w:val="1007"/>
        </w:numPr>
      </w:pPr>
      <w:r>
        <w:t xml:space="preserve">PostGIS Tiger Geocoder, chapter 12 (Extras). https://postgis.net/docs/Extras.html</w:t>
      </w:r>
    </w:p>
    <w:p>
      <w:pPr>
        <w:pStyle w:val="Compact"/>
        <w:numPr>
          <w:ilvl w:val="0"/>
          <w:numId w:val="1007"/>
        </w:numPr>
      </w:pPr>
      <w:r>
        <w:t xml:space="preserve">PostGIS Tiger Geocoder 2025.1 release notes, June 2026. https://postgis.net/2026/06/PostGIS-Tiger-Geocoder-2025.1/</w:t>
      </w:r>
    </w:p>
    <w:p>
      <w:pPr>
        <w:pStyle w:val="Compact"/>
        <w:numPr>
          <w:ilvl w:val="0"/>
          <w:numId w:val="1007"/>
        </w:numPr>
      </w:pPr>
      <w:r>
        <w:t xml:space="preserve">address_standardizer: a PostGIS extension that parses addresses using lexicon, grammar and rule tables. https://postgis.net/docs/Address_Standardizer.html</w:t>
      </w:r>
    </w:p>
    <w:p>
      <w:pPr>
        <w:pStyle w:val="Compact"/>
        <w:numPr>
          <w:ilvl w:val="0"/>
          <w:numId w:val="1007"/>
        </w:numPr>
      </w:pPr>
      <w:r>
        <w:t xml:space="preserve">osmgeocoder: an OpenStreetMap and OpenAddresses geocoder using PostGIS, pg_trgm and fuzzystrmatch. https://github.com/dunkelstern/osmgeocoder</w:t>
      </w:r>
    </w:p>
    <w:p>
      <w:pPr>
        <w:pStyle w:val="Compact"/>
        <w:numPr>
          <w:ilvl w:val="0"/>
          <w:numId w:val="1007"/>
        </w:numPr>
      </w:pPr>
      <w:r>
        <w:t xml:space="preserve">fuzzystrmatch: soundex, metaphone, double metaphone and Levenshtein. PostgreSQL documentation. https://www.postgresql.org/docs/18/fuzzystrmatch.html</w:t>
      </w:r>
    </w:p>
    <w:p>
      <w:pPr>
        <w:pStyle w:val="Compact"/>
        <w:numPr>
          <w:ilvl w:val="0"/>
          <w:numId w:val="1007"/>
        </w:numPr>
      </w:pPr>
      <w:r>
        <w:t xml:space="preserve">moofish32/postgis-geocoder: a Docker packaging of the PostGIS TIGER geocoder. https://github.com/moofish32/postgis-geocoder</w:t>
      </w:r>
    </w:p>
    <w:p>
      <w:pPr>
        <w:pStyle w:val="Compact"/>
        <w:numPr>
          <w:ilvl w:val="0"/>
          <w:numId w:val="1007"/>
        </w:numPr>
      </w:pPr>
      <w:r>
        <w:t xml:space="preserve">Nominatim architecture overview, release 5.3 documentation. https://nominatim.org/release-docs/latest/develop/overview/</w:t>
      </w:r>
    </w:p>
    <w:p>
      <w:pPr>
        <w:pStyle w:val="Compact"/>
        <w:numPr>
          <w:ilvl w:val="0"/>
          <w:numId w:val="1007"/>
        </w:numPr>
      </w:pPr>
      <w:r>
        <w:t xml:space="preserve">The road to Nominatim 6, July 2025. https://nominatim.org/2025/07/14/roadmap-nominatim6.html</w:t>
      </w:r>
    </w:p>
    <w:p>
      <w:pPr>
        <w:pStyle w:val="Compact"/>
        <w:numPr>
          <w:ilvl w:val="0"/>
          <w:numId w:val="1007"/>
        </w:numPr>
      </w:pPr>
      <w:r>
        <w:t xml:space="preserve">libpostal: a C library for parsing and normalising street addresses, using statistical NLP. https://github.com/openvenues/libpostal</w:t>
      </w:r>
    </w:p>
    <w:p>
      <w:pPr>
        <w:pStyle w:val="Compact"/>
        <w:numPr>
          <w:ilvl w:val="0"/>
          <w:numId w:val="1007"/>
        </w:numPr>
      </w:pPr>
      <w:r>
        <w:t xml:space="preserve">Grafana k6: a load-testing tool with scripted virtual users. https://k6.io</w:t>
      </w:r>
    </w:p>
    <w:p>
      <w:pPr>
        <w:pStyle w:val="Compact"/>
        <w:numPr>
          <w:ilvl w:val="0"/>
          <w:numId w:val="1007"/>
        </w:numPr>
      </w:pPr>
      <w:r>
        <w:t xml:space="preserve">pg_trgm: trigram-based text similarity and indexing. PostgreSQL documentation. https://www.postgresql.org/docs/18/pgtrgm.html</w:t>
      </w:r>
    </w:p>
    <w:p>
      <w:pPr>
        <w:pStyle w:val="Compact"/>
        <w:numPr>
          <w:ilvl w:val="0"/>
          <w:numId w:val="1007"/>
        </w:numPr>
      </w:pPr>
      <w:r>
        <w:t xml:space="preserve">Who’s On First: an open gazetteer of places. https://whosonfirst.org</w:t>
      </w:r>
    </w:p>
    <w:p>
      <w:pPr>
        <w:pStyle w:val="Compact"/>
        <w:numPr>
          <w:ilvl w:val="0"/>
          <w:numId w:val="1007"/>
        </w:numPr>
      </w:pPr>
      <w:r>
        <w:t xml:space="preserve">OpenAddresses: a global collection of open address data. https://openaddresses.io</w:t>
      </w:r>
    </w:p>
    <w:p>
      <w:pPr>
        <w:pStyle w:val="Compact"/>
        <w:numPr>
          <w:ilvl w:val="0"/>
          <w:numId w:val="1007"/>
        </w:numPr>
      </w:pPr>
      <w:r>
        <w:t xml:space="preserve">USGS Geographic Names Information System (GNIS), Domestic Names. https://www.usgs.gov/us-board-on-geographic-names</w:t>
      </w:r>
    </w:p>
    <w:p>
      <w:pPr>
        <w:pStyle w:val="Compact"/>
        <w:numPr>
          <w:ilvl w:val="0"/>
          <w:numId w:val="1007"/>
        </w:numPr>
      </w:pPr>
      <w:r>
        <w:t xml:space="preserve">US Census Bureau, ZIP Code Tabulation Areas (ZCTA) gazetteer. https://www.census.gov/geographies/reference-files/time-series/geo/gazetteer-files.html</w:t>
      </w:r>
    </w:p>
    <w:p>
      <w:pPr>
        <w:pStyle w:val="Compact"/>
        <w:numPr>
          <w:ilvl w:val="0"/>
          <w:numId w:val="1007"/>
        </w:numPr>
      </w:pPr>
      <w:r>
        <w:t xml:space="preserve">DuckDB, used in the pgeo build to read Parquet and CSV sources. https://duckdb.org</w:t>
      </w:r>
    </w:p>
    <w:p>
      <w:pPr>
        <w:pStyle w:val="Compact"/>
        <w:numPr>
          <w:ilvl w:val="0"/>
          <w:numId w:val="1007"/>
        </w:numPr>
      </w:pPr>
      <w:r>
        <w:t xml:space="preserve">GDAL/OGR (ogr2ogr), used in the pgeo build to load spatial formats. https://gdal.org</w:t>
      </w:r>
    </w:p>
    <w:p>
      <w:pPr>
        <w:pStyle w:val="Compact"/>
        <w:numPr>
          <w:ilvl w:val="0"/>
          <w:numId w:val="1007"/>
        </w:numPr>
      </w:pPr>
      <w:r>
        <w:t xml:space="preserve">United States Postal Service, Publication 28: Postal Addressing Standards. https://pe.usps.com/text/pub28/welcome.htm</w:t>
      </w:r>
    </w:p>
    <w:p>
      <w:pPr>
        <w:pStyle w:val="Compact"/>
        <w:numPr>
          <w:ilvl w:val="0"/>
          <w:numId w:val="1007"/>
        </w:numPr>
      </w:pPr>
      <w:r>
        <w:t xml:space="preserve">United States Postal Service, ZIP+4 product and licence terms. https://postalpro.usps.com/address-quality/zip4</w:t>
      </w:r>
    </w:p>
    <w:bookmarkEnd w:id="138"/>
    <w:bookmarkStart w:id="139"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9"/>
    <w:bookmarkStart w:id="140"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44.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40"/>
    <w:bookmarkStart w:id="141"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45.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46.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112" Target="media/rId112.png"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103" Target="media/rId103.png"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23" Target="media/rId23.png"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62" Target="media/rId62.png" /><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2026-09-21T10:26:43Z</dcterms:created>
  <dcterms:modified xsi:type="dcterms:W3CDTF">2026-09-21T10:26:43Z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