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26.png" ContentType="image/png"/>
  <Override PartName="/word/media/rId60.png" ContentType="image/png"/>
  <Override PartName="/word/media/rId114.png" ContentType="image/png"/>
  <Override PartName="/word/media/rId91.png" ContentType="image/png"/>
  <Override PartName="/word/media/rId38.png" ContentType="image/png"/>
  <Override PartName="/word/media/rId106.png" ContentType="image/png"/>
  <Override PartName="/word/media/rId77.png" ContentType="image/png"/>
  <Override PartName="/word/media/rId9.png" ContentType="image/png"/>
  <Override PartName="/word/media/rId57.png" ContentType="image/png"/>
  <Override PartName="/word/media/rId33.png" ContentType="image/png"/>
  <Override PartName="/word/media/rId70.png" ContentType="image/png"/>
  <Override PartName="/word/media/rId88.png" ContentType="image/png"/>
  <Override PartName="/word/media/rId110.png" ContentType="image/png"/>
  <Override PartName="/word/media/rId29.png" ContentType="image/png"/>
  <Override PartName="/word/media/rId74.png" ContentType="image/png"/>
  <Override PartName="/word/media/rId43.png" ContentType="image/png"/>
  <Override PartName="/word/media/rId80.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 the established open-source geocoder (Elasticsearch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25" w:name="introduction"/>
    <w:p>
      <w:pPr>
        <w:pStyle w:val="Heading2"/>
      </w:pPr>
      <w:r>
        <w:t xml:space="preserve">1. Introduction</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bookmarkEnd w:id="13"/>
    <w:bookmarkStart w:id="14" w:name="starting-conditions"/>
    <w:p>
      <w:pPr>
        <w:pStyle w:val="Heading3"/>
      </w:pPr>
      <w:r>
        <w:t xml:space="preserve">1.2 Starting conditions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pelias.wharf.fluidgrid.org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(192.168.1.173)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23" w:name="other-geocoders-that-live-in-postgresql"/>
    <w:p>
      <w:pPr>
        <w:pStyle w:val="Heading3"/>
      </w:pPr>
      <w:r>
        <w:t xml:space="preserve">1.5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hyperlink r:id="rId17">
              <w:r>
                <w:rPr>
                  <w:rStyle w:val="Hyperlink"/>
                </w:rPr>
                <w:t xml:space="preserve">PostGIS TIGER Geocoder</w:t>
              </w:r>
            </w:hyperlink>
            <w:r>
              <w:t xml:space="preserve"> </w:t>
            </w:r>
            <w:r>
              <w:t xml:space="preserve">(</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w:t>
            </w:r>
            <w:r>
              <w:t xml:space="preserve"> </w:t>
            </w:r>
            <w:hyperlink r:id="rId18">
              <w:r>
                <w:rPr>
                  <w:rStyle w:val="Hyperlink"/>
                </w:rPr>
                <w:t xml:space="preserve">2025.1</w:t>
              </w:r>
            </w:hyperlink>
            <w:r>
              <w:t xml:space="preserve"> </w:t>
            </w:r>
            <w:r>
              <w:t xml:space="preserve">(June 2026), needs PostgreSQL 16+. Exact-match oriented; its own documentation notes speed problems in the</w:t>
            </w:r>
            <w:r>
              <w:t xml:space="preserve"> </w:t>
            </w:r>
            <w:r>
              <w:rPr>
                <w:rStyle w:val="VerbatimChar"/>
              </w:rPr>
              <w:t xml:space="preserve">address_standardizer</w:t>
            </w:r>
            <w:r>
              <w:t xml:space="preserve"> </w:t>
            </w:r>
            <w:r>
              <w:t xml:space="preserve">wrapper for batch work</w:t>
            </w:r>
          </w:p>
        </w:tc>
      </w:tr>
      <w:tr>
        <w:tc>
          <w:tcPr/>
          <w:p>
            <w:pPr>
              <w:pStyle w:val="Compact"/>
            </w:pPr>
            <w:hyperlink r:id="rId19">
              <w:r>
                <w:rPr>
                  <w:rStyle w:val="Hyperlink"/>
                </w:rPr>
                <w:t xml:space="preserve">osmgeocoder</w:t>
              </w:r>
            </w:hyperlink>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 Multi-country address formatting via OpenCage templates. Without libpostal it degrades to</w:t>
            </w:r>
            <w:r>
              <w:t xml:space="preserve"> </w:t>
            </w:r>
            <w:r>
              <w:t xml:space="preserve">“street names only”</w:t>
            </w:r>
          </w:p>
        </w:tc>
      </w:tr>
      <w:tr>
        <w:tc>
          <w:tcPr/>
          <w:p>
            <w:pPr>
              <w:pStyle w:val="Compact"/>
            </w:pPr>
            <w:hyperlink r:id="rId20">
              <w:r>
                <w:rPr>
                  <w:rStyle w:val="Hyperlink"/>
                </w:rPr>
                <w:t xml:space="preserve">moofish32/postgis-geocoder</w:t>
              </w:r>
            </w:hyperlink>
          </w:p>
        </w:tc>
        <w:tc>
          <w:tcPr/>
          <w:p>
            <w:pPr>
              <w:pStyle w:val="Compact"/>
            </w:pPr>
            <w:r>
              <w:t xml:space="preserve">none of its own</w:t>
            </w:r>
          </w:p>
        </w:tc>
        <w:tc>
          <w:tcPr/>
          <w:p>
            <w:pPr>
              <w:pStyle w:val="Compact"/>
            </w:pPr>
            <w:r>
              <w:t xml:space="preserve">TIGER</w:t>
            </w:r>
          </w:p>
        </w:tc>
        <w:tc>
          <w:tcPr/>
          <w:p>
            <w:pPr>
              <w:pStyle w:val="Compact"/>
            </w:pPr>
            <w:r>
              <w:t xml:space="preserve">SQL via</w:t>
            </w:r>
            <w:r>
              <w:t xml:space="preserve"> </w:t>
            </w:r>
            <w:r>
              <w:rPr>
                <w:rStyle w:val="VerbatimChar"/>
              </w:rPr>
              <w:t xml:space="preserve">psql</w:t>
            </w:r>
          </w:p>
        </w:tc>
        <w:tc>
          <w:tcPr/>
          <w:p>
            <w:pPr>
              <w:pStyle w:val="Compact"/>
            </w:pPr>
            <w:r>
              <w:t xml:space="preserve">A Docker packaging of the TIGER geocoder; 12 commits, inactive</w:t>
            </w:r>
          </w:p>
        </w:tc>
      </w:tr>
      <w:tr>
        <w:tc>
          <w:tcPr/>
          <w:p>
            <w:pPr>
              <w:pStyle w:val="Compact"/>
            </w:pPr>
            <w:hyperlink r:id="rId21">
              <w:r>
                <w:rPr>
                  <w:rStyle w:val="Hyperlink"/>
                </w:rPr>
                <w:t xml:space="preserve">Nominatim</w:t>
              </w:r>
            </w:hyperlink>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w:t>
            </w:r>
            <w:r>
              <w:t xml:space="preserve"> </w:t>
            </w:r>
            <w:hyperlink r:id="rId22">
              <w:r>
                <w:rPr>
                  <w:rStyle w:val="Hyperlink"/>
                </w:rPr>
                <w:t xml:space="preserve">2025 roadmap</w:t>
              </w:r>
            </w:hyperlink>
            <w:r>
              <w:t xml:space="preserve"> </w:t>
            </w:r>
            <w:r>
              <w:t xml:space="preserve">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The combination this project could not find anywhere:</w:t>
      </w:r>
      <w:r>
        <w:t xml:space="preserve"> </w:t>
      </w:r>
      <w:r>
        <w:rPr>
          <w:b/>
          <w:bCs/>
        </w:rPr>
        <w:t xml:space="preserve">a geocoder whose entire query path is SQL,</w:t>
      </w:r>
      <w:r>
        <w:rPr>
          <w:b/>
          <w:bCs/>
        </w:rPr>
        <w:t xml:space="preserve"> </w:t>
      </w:r>
      <w:r>
        <w:rPr>
          <w:b/>
          <w:bCs/>
        </w:rPr>
        <w:t xml:space="preserve">exposed over HTTP with no application code at all</w:t>
      </w:r>
      <w:r>
        <w:t xml:space="preserve"> </w:t>
      </w:r>
      <w:r>
        <w:t xml:space="preserve">(PostgREST in front of SQL functions), and</w:t>
      </w:r>
      <w:r>
        <w:t xml:space="preserve"> </w:t>
      </w:r>
      <w:r>
        <w:rPr>
          <w:b/>
          <w:bCs/>
        </w:rPr>
        <w:t xml:space="preserve">speaking an existing geocoder’s API</w:t>
      </w:r>
      <w:r>
        <w:t xml:space="preserve"> </w:t>
      </w:r>
      <w:r>
        <w:t xml:space="preserve">so that clients need no changes. That is a narrow claim</w:t>
      </w:r>
      <w:r>
        <w:t xml:space="preserve"> </w:t>
      </w:r>
      <w:r>
        <w:t xml:space="preserve">from a handful of searches rather than an exhaustive review, and the honest reading is that the</w:t>
      </w:r>
      <w:r>
        <w:t xml:space="preserve"> </w:t>
      </w:r>
      <w:r>
        <w:t xml:space="preserve">pieces are all well known – trigram matching, PL/pgSQL, PostgREST – and that assembling them</w:t>
      </w:r>
      <w:r>
        <w:t xml:space="preserve"> </w:t>
      </w:r>
      <w:r>
        <w:t xml:space="preserve">this way is uncommon rather than novel.</w:t>
      </w:r>
    </w:p>
    <w:bookmarkEnd w:id="23"/>
    <w:bookmarkStart w:id="24" w:name="terms-and-acronyms"/>
    <w:p>
      <w:pPr>
        <w:pStyle w:val="Heading3"/>
      </w:pPr>
      <w:r>
        <w:t xml:space="preserve">1.6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14)</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 the open collection of address points</w:t>
            </w:r>
          </w:p>
        </w:tc>
      </w:tr>
      <w:tr>
        <w:tc>
          <w:tcPr/>
          <w:p>
            <w:pPr>
              <w:pStyle w:val="Compact"/>
            </w:pPr>
            <w:r>
              <w:rPr>
                <w:b/>
                <w:bCs/>
              </w:rPr>
              <w:t xml:space="preserve">GNIS</w:t>
            </w:r>
          </w:p>
        </w:tc>
        <w:tc>
          <w:tcPr/>
          <w:p>
            <w:pPr>
              <w:pStyle w:val="Compact"/>
            </w:pPr>
            <w:r>
              <w:t xml:space="preserve">The USGS Geographic Names Information System: lakes, summits, streams and populated places</w:t>
            </w:r>
          </w:p>
        </w:tc>
      </w:tr>
      <w:tr>
        <w:tc>
          <w:tcPr/>
          <w:p>
            <w:pPr>
              <w:pStyle w:val="Compact"/>
            </w:pPr>
            <w:r>
              <w:rPr>
                <w:b/>
                <w:bCs/>
              </w:rPr>
              <w:t xml:space="preserve">ZCTA</w:t>
            </w:r>
          </w:p>
        </w:tc>
        <w:tc>
          <w:tcPr/>
          <w:p>
            <w:pPr>
              <w:pStyle w:val="Compact"/>
            </w:pPr>
            <w:r>
              <w:t xml:space="preserve">ZIP Code Tabulation Area,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15)</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24"/>
    <w:bookmarkEnd w:id="25"/>
    <w:bookmarkStart w:id="50" w:name="methods"/>
    <w:p>
      <w:pPr>
        <w:pStyle w:val="Heading2"/>
      </w:pPr>
      <w:r>
        <w:t xml:space="preserve">2. Methods</w:t>
      </w:r>
    </w:p>
    <w:bookmarkStart w:id="32" w:name="systems-built"/>
    <w:p>
      <w:pPr>
        <w:pStyle w:val="Heading3"/>
      </w:pPr>
      <w:r>
        <w:t xml:space="preserve">2.1 Systems built</w:t>
      </w:r>
    </w:p>
    <w:p>
      <w:pPr>
        <w:pStyle w:val="FirstParagraph"/>
      </w:pPr>
      <w:r>
        <w:drawing>
          <wp:inline>
            <wp:extent cx="5211162" cy="3623959"/>
            <wp:effectExtent b="0" l="0" r="0" t="0"/>
            <wp:docPr descr="" title="" id="27" name="Picture"/>
            <a:graphic>
              <a:graphicData uri="http://schemas.openxmlformats.org/drawingml/2006/picture">
                <pic:pic>
                  <pic:nvPicPr>
                    <pic:cNvPr descr="report_figures/fig_architecture.png" id="28" name="Picture"/>
                    <pic:cNvPicPr>
                      <a:picLocks noChangeArrowheads="1" noChangeAspect="1"/>
                    </pic:cNvPicPr>
                  </pic:nvPicPr>
                  <pic:blipFill>
                    <a:blip r:embed="rId26"/>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2"/>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2"/>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30" name="Picture"/>
            <a:graphic>
              <a:graphicData uri="http://schemas.openxmlformats.org/drawingml/2006/picture">
                <pic:pic>
                  <pic:nvPicPr>
                    <pic:cNvPr descr="report_figures/fig_query_pipeline.png" id="31" name="Picture"/>
                    <pic:cNvPicPr>
                      <a:picLocks noChangeArrowheads="1" noChangeAspect="1"/>
                    </pic:cNvPicPr>
                  </pic:nvPicPr>
                  <pic:blipFill>
                    <a:blip r:embed="rId29"/>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32"/>
    <w:bookmarkStart w:id="37" w:name="data"/>
    <w:p>
      <w:pPr>
        <w:pStyle w:val="Heading3"/>
      </w:pPr>
      <w:r>
        <w:t xml:space="preserve">2.2 Data</w:t>
      </w:r>
    </w:p>
    <w:p>
      <w:pPr>
        <w:pStyle w:val="FirstParagraph"/>
      </w:pPr>
      <w:r>
        <w:rPr>
          <w:b/>
          <w:bCs/>
        </w:rPr>
        <w:t xml:space="preserve">Table 7.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34" name="Picture"/>
            <a:graphic>
              <a:graphicData uri="http://schemas.openxmlformats.org/drawingml/2006/picture">
                <pic:pic>
                  <pic:nvPicPr>
                    <pic:cNvPr descr="report_figures/fig_inventory.png" id="35" name="Picture"/>
                    <pic:cNvPicPr>
                      <a:picLocks noChangeArrowheads="1" noChangeAspect="1"/>
                    </pic:cNvPicPr>
                  </pic:nvPicPr>
                  <pic:blipFill>
                    <a:blip r:embed="rId33"/>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8.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6"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6"/>
    <w:bookmarkEnd w:id="37"/>
    <w:bookmarkStart w:id="41" w:name="build-pipelines"/>
    <w:p>
      <w:pPr>
        <w:pStyle w:val="Heading3"/>
      </w:pPr>
      <w:r>
        <w:t xml:space="preserve">2.3 Build pipelines</w:t>
      </w:r>
    </w:p>
    <w:p>
      <w:pPr>
        <w:pStyle w:val="FirstParagraph"/>
      </w:pPr>
      <w:r>
        <w:drawing>
          <wp:inline>
            <wp:extent cx="5211162" cy="2773781"/>
            <wp:effectExtent b="0" l="0" r="0" t="0"/>
            <wp:docPr descr="" title="" id="39" name="Picture"/>
            <a:graphic>
              <a:graphicData uri="http://schemas.openxmlformats.org/drawingml/2006/picture">
                <pic:pic>
                  <pic:nvPicPr>
                    <pic:cNvPr descr="report_figures/fig_data_pipeline.png" id="40" name="Picture"/>
                    <pic:cNvPicPr>
                      <a:picLocks noChangeArrowheads="1" noChangeAspect="1"/>
                    </pic:cNvPicPr>
                  </pic:nvPicPr>
                  <pic:blipFill>
                    <a:blip r:embed="rId38"/>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 ogr2ogr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9.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27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41"/>
    <w:bookmarkStart w:id="42"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10.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11.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42"/>
    <w:bookmarkStart w:id="47" w:name="load-and-capacity-testing"/>
    <w:p>
      <w:pPr>
        <w:pStyle w:val="Heading3"/>
      </w:pPr>
      <w:r>
        <w:t xml:space="preserve">2.5 Load and capacity testing</w:t>
      </w:r>
    </w:p>
    <w:p>
      <w:pPr>
        <w:pStyle w:val="FirstParagraph"/>
      </w:pPr>
      <w:r>
        <w:drawing>
          <wp:inline>
            <wp:extent cx="5211162" cy="1856323"/>
            <wp:effectExtent b="0" l="0" r="0" t="0"/>
            <wp:docPr descr="" title="" id="44" name="Picture"/>
            <a:graphic>
              <a:graphicData uri="http://schemas.openxmlformats.org/drawingml/2006/picture">
                <pic:pic>
                  <pic:nvPicPr>
                    <pic:cNvPr descr="report_figures/fig_test_harness.png" id="45" name="Picture"/>
                    <pic:cNvPicPr>
                      <a:picLocks noChangeArrowheads="1" noChangeAspect="1"/>
                    </pic:cNvPicPr>
                  </pic:nvPicPr>
                  <pic:blipFill>
                    <a:blip r:embed="rId43"/>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12.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13.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14.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r>
        <w:t xml:space="preserve"> </w:t>
      </w:r>
      <w:r>
        <w:t xml:space="preserve">#### 2.5.1 Caching</w:t>
      </w:r>
    </w:p>
    <w:p>
      <w:pPr>
        <w:pStyle w:val="BodyText"/>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12) and drawn at random, so exact repeats are rare.</w:t>
      </w:r>
    </w:p>
    <w:bookmarkStart w:id="46"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15.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6"/>
    <w:bookmarkEnd w:id="47"/>
    <w:bookmarkStart w:id="48"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8"/>
    <w:bookmarkStart w:id="49"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r>
        <w:t xml:space="preserve"> </w:t>
      </w:r>
      <w:r>
        <w:t xml:space="preserve">#### 2.7.1 Parallelism</w:t>
      </w:r>
    </w:p>
    <w:p>
      <w:pPr>
        <w:pStyle w:val="BodyText"/>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3"/>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3"/>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3"/>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9"/>
    <w:bookmarkEnd w:id="50"/>
    <w:bookmarkStart w:id="129" w:name="results"/>
    <w:p>
      <w:pPr>
        <w:pStyle w:val="Heading2"/>
      </w:pPr>
      <w:r>
        <w:t xml:space="preserve">3. Results</w:t>
      </w:r>
    </w:p>
    <w:bookmarkStart w:id="65" w:name="accuracy"/>
    <w:p>
      <w:pPr>
        <w:pStyle w:val="Heading3"/>
      </w:pPr>
      <w:r>
        <w:t xml:space="preserve">3.1 Accuracy</w:t>
      </w:r>
    </w:p>
    <w:p>
      <w:pPr>
        <w:pStyle w:val="FirstParagraph"/>
      </w:pPr>
      <w:r>
        <w:rPr>
          <w:b/>
          <w:bCs/>
        </w:rPr>
        <w:t xml:space="preserve">Table 16.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52" name="Picture"/>
            <a:graphic>
              <a:graphicData uri="http://schemas.openxmlformats.org/drawingml/2006/picture">
                <pic:pic>
                  <pic:nvPicPr>
                    <pic:cNvPr descr="report_figures/fig_accuracy_category.png" id="53" name="Picture"/>
                    <pic:cNvPicPr>
                      <a:picLocks noChangeArrowheads="1" noChangeAspect="1"/>
                    </pic:cNvPicPr>
                  </pic:nvPicPr>
                  <pic:blipFill>
                    <a:blip r:embed="rId51"/>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17.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5" name="Picture"/>
            <a:graphic>
              <a:graphicData uri="http://schemas.openxmlformats.org/drawingml/2006/picture">
                <pic:pic>
                  <pic:nvPicPr>
                    <pic:cNvPr descr="report_figures/fig_accuracy_quality.png" id="56" name="Picture"/>
                    <pic:cNvPicPr>
                      <a:picLocks noChangeArrowheads="1" noChangeAspect="1"/>
                    </pic:cNvPicPr>
                  </pic:nvPicPr>
                  <pic:blipFill>
                    <a:blip r:embed="rId54"/>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8" name="Picture"/>
            <a:graphic>
              <a:graphicData uri="http://schemas.openxmlformats.org/drawingml/2006/picture">
                <pic:pic>
                  <pic:nvPicPr>
                    <pic:cNvPr descr="report_figures/fig_fuzz.png" id="59" name="Picture"/>
                    <pic:cNvPicPr>
                      <a:picLocks noChangeArrowheads="1" noChangeAspect="1"/>
                    </pic:cNvPicPr>
                  </pic:nvPicPr>
                  <pic:blipFill>
                    <a:blip r:embed="rId57"/>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18.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63"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61" name="Picture"/>
            <a:graphic>
              <a:graphicData uri="http://schemas.openxmlformats.org/drawingml/2006/picture">
                <pic:pic>
                  <pic:nvPicPr>
                    <pic:cNvPr descr="report_figures/fig_calibration.png" id="62" name="Picture"/>
                    <pic:cNvPicPr>
                      <a:picLocks noChangeArrowheads="1" noChangeAspect="1"/>
                    </pic:cNvPicPr>
                  </pic:nvPicPr>
                  <pic:blipFill>
                    <a:blip r:embed="rId60"/>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63"/>
    <w:bookmarkStart w:id="64" w:name="remaining-failures"/>
    <w:p>
      <w:pPr>
        <w:pStyle w:val="Heading4"/>
      </w:pPr>
      <w:r>
        <w:t xml:space="preserve">3.1.2 Remaining failures</w:t>
      </w:r>
    </w:p>
    <w:p>
      <w:pPr>
        <w:pStyle w:val="FirstParagraph"/>
      </w:pPr>
      <w:r>
        <w:t xml:space="preserve">65 of 1,560 cases still fail on</w:t>
      </w:r>
      <w:r>
        <w:t xml:space="preserve"> </w:t>
      </w:r>
      <w:r>
        <w:t xml:space="preserve">pgeo (Table 19).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19.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4"/>
    <w:bookmarkEnd w:id="65"/>
    <w:bookmarkStart w:id="69" w:name="tuning-trajectory"/>
    <w:p>
      <w:pPr>
        <w:pStyle w:val="Heading3"/>
      </w:pPr>
      <w:r>
        <w:t xml:space="preserve">3.2 Tuning trajectory</w:t>
      </w:r>
    </w:p>
    <w:p>
      <w:pPr>
        <w:pStyle w:val="FirstParagraph"/>
      </w:pPr>
      <w:r>
        <w:drawing>
          <wp:inline>
            <wp:extent cx="5334000" cy="2019335"/>
            <wp:effectExtent b="0" l="0" r="0" t="0"/>
            <wp:docPr descr="" title="" id="67" name="Picture"/>
            <a:graphic>
              <a:graphicData uri="http://schemas.openxmlformats.org/drawingml/2006/picture">
                <pic:pic>
                  <pic:nvPicPr>
                    <pic:cNvPr descr="report_figures/fig_tuning.png" id="68" name="Picture"/>
                    <pic:cNvPicPr>
                      <a:picLocks noChangeArrowheads="1" noChangeAspect="1"/>
                    </pic:cNvPicPr>
                  </pic:nvPicPr>
                  <pic:blipFill>
                    <a:blip r:embed="rId66"/>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20.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9"/>
    <w:bookmarkStart w:id="73" w:name="latency-at-the-3-user-target"/>
    <w:p>
      <w:pPr>
        <w:pStyle w:val="Heading3"/>
      </w:pPr>
      <w:r>
        <w:t xml:space="preserve">3.3 Latency at the 3-user target</w:t>
      </w:r>
    </w:p>
    <w:p>
      <w:pPr>
        <w:pStyle w:val="FirstParagraph"/>
      </w:pPr>
      <w:r>
        <w:drawing>
          <wp:inline>
            <wp:extent cx="5334000" cy="2797518"/>
            <wp:effectExtent b="0" l="0" r="0" t="0"/>
            <wp:docPr descr="" title="" id="71" name="Picture"/>
            <a:graphic>
              <a:graphicData uri="http://schemas.openxmlformats.org/drawingml/2006/picture">
                <pic:pic>
                  <pic:nvPicPr>
                    <pic:cNvPr descr="report_figures/fig_latency_3users.png" id="72" name="Picture"/>
                    <pic:cNvPicPr>
                      <a:picLocks noChangeArrowheads="1" noChangeAspect="1"/>
                    </pic:cNvPicPr>
                  </pic:nvPicPr>
                  <pic:blipFill>
                    <a:blip r:embed="rId70"/>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rPr>
          <w:b/>
          <w:bCs/>
        </w:rPr>
        <w:t xml:space="preserve">Table 21.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24).</w:t>
      </w:r>
    </w:p>
    <w:bookmarkEnd w:id="73"/>
    <w:bookmarkStart w:id="87" w:name="capacity-under-load"/>
    <w:p>
      <w:pPr>
        <w:pStyle w:val="Heading3"/>
      </w:pPr>
      <w:r>
        <w:t xml:space="preserve">3.4 Capacity under load</w:t>
      </w:r>
    </w:p>
    <w:p>
      <w:pPr>
        <w:pStyle w:val="FirstParagraph"/>
      </w:pPr>
      <w:r>
        <w:drawing>
          <wp:inline>
            <wp:extent cx="5334000" cy="2064934"/>
            <wp:effectExtent b="0" l="0" r="0" t="0"/>
            <wp:docPr descr="" title="" id="75" name="Picture"/>
            <a:graphic>
              <a:graphicData uri="http://schemas.openxmlformats.org/drawingml/2006/picture">
                <pic:pic>
                  <pic:nvPicPr>
                    <pic:cNvPr descr="report_figures/fig_ramp.png" id="76" name="Picture"/>
                    <pic:cNvPicPr>
                      <a:picLocks noChangeArrowheads="1" noChangeAspect="1"/>
                    </pic:cNvPicPr>
                  </pic:nvPicPr>
                  <pic:blipFill>
                    <a:blip r:embed="rId74"/>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22.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23.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24.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8" name="Picture"/>
            <a:graphic>
              <a:graphicData uri="http://schemas.openxmlformats.org/drawingml/2006/picture">
                <pic:pic>
                  <pic:nvPicPr>
                    <pic:cNvPr descr="report_figures/fig_endpoint_ramp.png" id="79" name="Picture"/>
                    <pic:cNvPicPr>
                      <a:picLocks noChangeArrowheads="1" noChangeAspect="1"/>
                    </pic:cNvPicPr>
                  </pic:nvPicPr>
                  <pic:blipFill>
                    <a:blip r:embed="rId77"/>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81" name="Picture"/>
            <a:graphic>
              <a:graphicData uri="http://schemas.openxmlformats.org/drawingml/2006/picture">
                <pic:pic>
                  <pic:nvPicPr>
                    <pic:cNvPr descr="report_figures/fig_throughput.png" id="82" name="Picture"/>
                    <pic:cNvPicPr>
                      <a:picLocks noChangeArrowheads="1" noChangeAspect="1"/>
                    </pic:cNvPicPr>
                  </pic:nvPicPr>
                  <pic:blipFill>
                    <a:blip r:embed="rId80"/>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83" w:name="how-each-engine-scales"/>
    <w:p>
      <w:pPr>
        <w:pStyle w:val="Heading4"/>
      </w:pPr>
      <w:r>
        <w:t xml:space="preserve">3.4.1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3"/>
    <w:bookmarkStart w:id="84" w:name="what-gives-out-first"/>
    <w:p>
      <w:pPr>
        <w:pStyle w:val="Heading4"/>
      </w:pPr>
      <w:r>
        <w:t xml:space="preserve">3.4.2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4"/>
    <w:bookmarkStart w:id="85" w:name="memory-is-not-pgeos-limit"/>
    <w:p>
      <w:pPr>
        <w:pStyle w:val="Heading4"/>
      </w:pPr>
      <w:r>
        <w:t xml:space="preserve">3.4.3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5"/>
    <w:bookmarkStart w:id="86" w:name="front-end"/>
    <w:p>
      <w:pPr>
        <w:pStyle w:val="Heading4"/>
      </w:pPr>
      <w:r>
        <w:t xml:space="preserve">3.4.4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6"/>
    <w:bookmarkEnd w:id="87"/>
    <w:bookmarkStart w:id="105" w:name="resources"/>
    <w:p>
      <w:pPr>
        <w:pStyle w:val="Heading3"/>
      </w:pPr>
      <w:r>
        <w:t xml:space="preserve">3.5 Resources</w:t>
      </w:r>
    </w:p>
    <w:p>
      <w:pPr>
        <w:pStyle w:val="FirstParagraph"/>
      </w:pPr>
      <w:r>
        <w:drawing>
          <wp:inline>
            <wp:extent cx="5334000" cy="2724118"/>
            <wp:effectExtent b="0" l="0" r="0" t="0"/>
            <wp:docPr descr="" title="" id="89" name="Picture"/>
            <a:graphic>
              <a:graphicData uri="http://schemas.openxmlformats.org/drawingml/2006/picture">
                <pic:pic>
                  <pic:nvPicPr>
                    <pic:cNvPr descr="report_figures/fig_memory.png" id="90" name="Picture"/>
                    <pic:cNvPicPr>
                      <a:picLocks noChangeArrowheads="1" noChangeAspect="1"/>
                    </pic:cNvPicPr>
                  </pic:nvPicPr>
                  <pic:blipFill>
                    <a:blip r:embed="rId88"/>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92" name="Picture"/>
            <a:graphic>
              <a:graphicData uri="http://schemas.openxmlformats.org/drawingml/2006/picture">
                <pic:pic>
                  <pic:nvPicPr>
                    <pic:cNvPr descr="report_figures/fig_cpu.png" id="93" name="Picture"/>
                    <pic:cNvPicPr>
                      <a:picLocks noChangeArrowheads="1" noChangeAspect="1"/>
                    </pic:cNvPicPr>
                  </pic:nvPicPr>
                  <pic:blipFill>
                    <a:blip r:embed="rId91"/>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4" w:name="resource-requirements"/>
    <w:p>
      <w:pPr>
        <w:pStyle w:val="Heading4"/>
      </w:pPr>
      <w:r>
        <w:t xml:space="preserve">Resource requirements</w:t>
      </w:r>
    </w:p>
    <w:bookmarkEnd w:id="94"/>
    <w:bookmarkStart w:id="95" w:name="operation"/>
    <w:p>
      <w:pPr>
        <w:pStyle w:val="Heading4"/>
      </w:pPr>
      <w:r>
        <w:t xml:space="preserve">3.5.1 Operation</w:t>
      </w:r>
    </w:p>
    <w:p>
      <w:pPr>
        <w:pStyle w:val="FirstParagraph"/>
      </w:pPr>
      <w:r>
        <w:t xml:space="preserve">Table 25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25.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26.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5"/>
    <w:bookmarkStart w:id="96"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27 gives the measured</w:t>
      </w:r>
      <w:r>
        <w:t xml:space="preserve"> </w:t>
      </w:r>
      <w:r>
        <w:t xml:space="preserve">cost of a full build of each engine.</w:t>
      </w:r>
    </w:p>
    <w:p>
      <w:pPr>
        <w:pStyle w:val="BodyText"/>
      </w:pPr>
      <w:r>
        <w:rPr>
          <w:b/>
          <w:bCs/>
        </w:rPr>
        <w:t xml:space="preserve">Table 27.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6"/>
    <w:bookmarkStart w:id="103"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28. Advertised shared-CPU VPS plans and whether each platform’s measured floor fits.</w:t>
      </w:r>
      <w:r>
        <w:t xml:space="preserve"> </w:t>
      </w:r>
      <w:r>
        <w:t xml:space="preserve">Sources:</w:t>
      </w:r>
      <w:r>
        <w:t xml:space="preserve"> </w:t>
      </w:r>
      <w:hyperlink r:id="rId97">
        <w:r>
          <w:rPr>
            <w:rStyle w:val="Hyperlink"/>
          </w:rPr>
          <w:t xml:space="preserve">Linode/Akamai</w:t>
        </w:r>
      </w:hyperlink>
      <w:r>
        <w:t xml:space="preserve">,</w:t>
      </w:r>
      <w:r>
        <w:t xml:space="preserve"> </w:t>
      </w:r>
      <w:hyperlink r:id="rId98">
        <w:r>
          <w:rPr>
            <w:rStyle w:val="Hyperlink"/>
          </w:rPr>
          <w:t xml:space="preserve">DigitalOcean</w:t>
        </w:r>
      </w:hyperlink>
      <w:r>
        <w:t xml:space="preserve">,</w:t>
      </w:r>
      <w:r>
        <w:t xml:space="preserve"> </w:t>
      </w:r>
      <w:hyperlink r:id="rId99">
        <w:r>
          <w:rPr>
            <w:rStyle w:val="Hyperlink"/>
          </w:rPr>
          <w:t xml:space="preserve">Vultr</w:t>
        </w:r>
      </w:hyperlink>
      <w:r>
        <w:t xml:space="preserve">,</w:t>
      </w:r>
      <w:r>
        <w:t xml:space="preserve"> </w:t>
      </w:r>
      <w:hyperlink r:id="rId100">
        <w:r>
          <w:rPr>
            <w:rStyle w:val="Hyperlink"/>
          </w:rPr>
          <w:t xml:space="preserve">Hetzner</w:t>
        </w:r>
      </w:hyperlink>
      <w:r>
        <w:t xml:space="preserve">,</w:t>
      </w:r>
      <w:r>
        <w:t xml:space="preserve"> </w:t>
      </w:r>
      <w:hyperlink r:id="rId101">
        <w:r>
          <w:rPr>
            <w:rStyle w:val="Hyperlink"/>
          </w:rPr>
          <w:t xml:space="preserve">AWS Lightsail</w:t>
        </w:r>
      </w:hyperlink>
      <w:r>
        <w:t xml:space="preserve">,</w:t>
      </w:r>
      <w:r>
        <w:t xml:space="preserve"> </w:t>
      </w:r>
      <w:hyperlink r:id="rId102">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3"/>
    <w:bookmarkStart w:id="104"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capacity against data volume was not measured for pgeo (Next steps).</w:t>
      </w:r>
      <w:r>
        <w:t xml:space="preserve"> </w:t>
      </w:r>
      <w:r>
        <w:t xml:space="preserve">Doubling the data (for example adding New Hampshire) roughly doubles both stores; for Pelias the</w:t>
      </w:r>
      <w:r>
        <w:t xml:space="preserve"> </w:t>
      </w:r>
      <w:r>
        <w:t xml:space="preserve">extra venues and names cost capacity per query, and for pgeo the trigram candidate sets grow in the</w:t>
      </w:r>
      <w:r>
        <w:t xml:space="preserve"> </w:t>
      </w:r>
      <w:r>
        <w:t xml:space="preserve">same way, so both need more CPU per user as coverage grows.</w:t>
      </w:r>
    </w:p>
    <w:bookmarkEnd w:id="104"/>
    <w:bookmarkEnd w:id="105"/>
    <w:bookmarkStart w:id="109" w:name="data-volume-1"/>
    <w:p>
      <w:pPr>
        <w:pStyle w:val="Heading3"/>
      </w:pPr>
      <w:r>
        <w:t xml:space="preserve">3.6 Data volume</w:t>
      </w:r>
    </w:p>
    <w:p>
      <w:pPr>
        <w:pStyle w:val="FirstParagraph"/>
      </w:pPr>
      <w:r>
        <w:drawing>
          <wp:inline>
            <wp:extent cx="5334000" cy="2074333"/>
            <wp:effectExtent b="0" l="0" r="0" t="0"/>
            <wp:docPr descr="" title="" id="107" name="Picture"/>
            <a:graphic>
              <a:graphicData uri="http://schemas.openxmlformats.org/drawingml/2006/picture">
                <pic:pic>
                  <pic:nvPicPr>
                    <pic:cNvPr descr="report_figures/fig_datavol.png" id="108" name="Picture"/>
                    <pic:cNvPicPr>
                      <a:picLocks noChangeArrowheads="1" noChangeAspect="1"/>
                    </pic:cNvPicPr>
                  </pic:nvPicPr>
                  <pic:blipFill>
                    <a:blip r:embed="rId106"/>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29.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9"/>
    <w:bookmarkStart w:id="113" w:name="query-types"/>
    <w:p>
      <w:pPr>
        <w:pStyle w:val="Heading3"/>
      </w:pPr>
      <w:r>
        <w:t xml:space="preserve">3.7 Query types</w:t>
      </w:r>
    </w:p>
    <w:p>
      <w:pPr>
        <w:pStyle w:val="FirstParagraph"/>
      </w:pPr>
      <w:r>
        <w:drawing>
          <wp:inline>
            <wp:extent cx="4354868" cy="2376216"/>
            <wp:effectExtent b="0" l="0" r="0" t="0"/>
            <wp:docPr descr="" title="" id="111" name="Picture"/>
            <a:graphic>
              <a:graphicData uri="http://schemas.openxmlformats.org/drawingml/2006/picture">
                <pic:pic>
                  <pic:nvPicPr>
                    <pic:cNvPr descr="report_figures/fig_qtype.png" id="112" name="Picture"/>
                    <pic:cNvPicPr>
                      <a:picLocks noChangeArrowheads="1" noChangeAspect="1"/>
                    </pic:cNvPicPr>
                  </pic:nvPicPr>
                  <pic:blipFill>
                    <a:blip r:embed="rId110"/>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3"/>
    <w:bookmarkStart w:id="117" w:name="compatibility"/>
    <w:p>
      <w:pPr>
        <w:pStyle w:val="Heading3"/>
      </w:pPr>
      <w:r>
        <w:t xml:space="preserve">3.8 Compatibility</w:t>
      </w:r>
    </w:p>
    <w:p>
      <w:pPr>
        <w:pStyle w:val="FirstParagraph"/>
      </w:pPr>
      <w:r>
        <w:drawing>
          <wp:inline>
            <wp:extent cx="4568941" cy="4868644"/>
            <wp:effectExtent b="0" l="0" r="0" t="0"/>
            <wp:docPr descr="" title="" id="115" name="Picture"/>
            <a:graphic>
              <a:graphicData uri="http://schemas.openxmlformats.org/drawingml/2006/picture">
                <pic:pic>
                  <pic:nvPicPr>
                    <pic:cNvPr descr="report_figures/fig_compat.png" id="116" name="Picture"/>
                    <pic:cNvPicPr>
                      <a:picLocks noChangeArrowheads="1" noChangeAspect="1"/>
                    </pic:cNvPicPr>
                  </pic:nvPicPr>
                  <pic:blipFill>
                    <a:blip r:embed="rId114"/>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30.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7"/>
    <w:bookmarkStart w:id="120"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8"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8"/>
    <w:bookmarkStart w:id="119" w:name="zip4"/>
    <w:p>
      <w:pPr>
        <w:pStyle w:val="Heading4"/>
      </w:pPr>
      <w:r>
        <w:t xml:space="preserve">3.9.2 ZIP+4</w:t>
      </w:r>
    </w:p>
    <w:p>
      <w:pPr>
        <w:pStyle w:val="FirstParagraph"/>
      </w:pPr>
      <w:r>
        <w:t xml:space="preserve">The USPS ZIP+4 file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19"/>
    <w:bookmarkEnd w:id="120"/>
    <w:bookmarkStart w:id="121"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31.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32.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33.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21"/>
    <w:bookmarkStart w:id="122"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34.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33).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2"/>
    <w:bookmarkStart w:id="126"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35 is the whole path, pass and fail.</w:t>
      </w:r>
    </w:p>
    <w:p>
      <w:pPr>
        <w:pStyle w:val="BodyText"/>
      </w:pPr>
      <w:r>
        <w:rPr>
          <w:b/>
          <w:bCs/>
        </w:rPr>
        <w:t xml:space="preserve">Table 35.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3"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3"/>
    <w:bookmarkStart w:id="124"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4"/>
    <w:bookmarkStart w:id="125"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36.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5"/>
    <w:bookmarkEnd w:id="126"/>
    <w:bookmarkStart w:id="128"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37.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7"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7"/>
    <w:bookmarkEnd w:id="128"/>
    <w:bookmarkEnd w:id="129"/>
    <w:bookmarkStart w:id="130"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4"/>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4"/>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4"/>
        </w:numPr>
      </w:pPr>
      <w:r>
        <w:t xml:space="preserve">At 1-4 users the per-endpoint p95 rests on few requests; the ramp’s decisions at higher user</w:t>
      </w:r>
      <w:r>
        <w:t xml:space="preserve"> </w:t>
      </w:r>
      <w:r>
        <w:t xml:space="preserve">counts rest on thousands.</w:t>
      </w:r>
    </w:p>
    <w:p>
      <w:pPr>
        <w:pStyle w:val="Compact"/>
        <w:numPr>
          <w:ilvl w:val="0"/>
          <w:numId w:val="1004"/>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4"/>
        </w:numPr>
      </w:pPr>
      <w:r>
        <w:t xml:space="preserve">The first Pelias data-volume run failed because Elasticsearch was not ready after the previous</w:t>
      </w:r>
      <w:r>
        <w:t xml:space="preserve"> </w:t>
      </w:r>
      <w:r>
        <w:t xml:space="preserve">run’s restart; it was repeated with a readiness wait.</w:t>
      </w:r>
    </w:p>
    <w:bookmarkEnd w:id="130"/>
    <w:bookmarkStart w:id="131" w:name="conclusions"/>
    <w:p>
      <w:pPr>
        <w:pStyle w:val="Heading2"/>
      </w:pPr>
      <w:r>
        <w:t xml:space="preserve">5. Conclusions</w:t>
      </w:r>
    </w:p>
    <w:p>
      <w:pPr>
        <w:pStyle w:val="FirstParagraph"/>
      </w:pPr>
      <w:r>
        <w:rPr>
          <w:b/>
          <w:bCs/>
        </w:rPr>
        <w:t xml:space="preserve">Table 38.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pgeo’s per-query cost grows with candidates</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31"/>
    <w:bookmarkStart w:id="132" w:name="next-steps"/>
    <w:p>
      <w:pPr>
        <w:pStyle w:val="Heading2"/>
      </w:pPr>
      <w:r>
        <w:t xml:space="preserve">6. Next steps</w:t>
      </w:r>
    </w:p>
    <w:p>
      <w:pPr>
        <w:pStyle w:val="Compact"/>
        <w:numPr>
          <w:ilvl w:val="0"/>
          <w:numId w:val="1005"/>
        </w:numPr>
      </w:pPr>
      <w:r>
        <w:rPr>
          <w:b/>
          <w:bCs/>
        </w:rPr>
        <w:t xml:space="preserve">Autocomplete speed</w:t>
      </w:r>
      <w:r>
        <w:t xml:space="preserve">: with reverse geocoding fixed, autocomplete is the endpoint that decides</w:t>
      </w:r>
      <w:r>
        <w:t xml:space="preserve"> </w:t>
      </w:r>
      <w:r>
        <w:t xml:space="preserve">pgeo’s capacity (Figure 14), and it has the tightest target. Profile the</w:t>
      </w:r>
      <w:r>
        <w:t xml:space="preserve"> </w:t>
      </w:r>
      <w:r>
        <w:t xml:space="preserve">per-request cost in PL/pgSQL: prepared statements, fewer candidate queries, and a GiST trigram</w:t>
      </w:r>
      <w:r>
        <w:t xml:space="preserve"> </w:t>
      </w:r>
      <w:r>
        <w:t xml:space="preserve">index for ordered similarity. This is where another factor of two in capacity would come from.</w:t>
      </w:r>
    </w:p>
    <w:p>
      <w:pPr>
        <w:pStyle w:val="Compact"/>
        <w:numPr>
          <w:ilvl w:val="0"/>
          <w:numId w:val="1005"/>
        </w:numPr>
      </w:pPr>
      <w:r>
        <w:rPr>
          <w:b/>
          <w:bCs/>
        </w:rPr>
        <w:t xml:space="preserve">Scale out for more users</w:t>
      </w:r>
      <w:r>
        <w:t xml:space="preserve">: read replicas behind PostgREST, or caching of frequent queries at</w:t>
      </w:r>
      <w:r>
        <w:t xml:space="preserve"> </w:t>
      </w:r>
      <w:r>
        <w:t xml:space="preserve">the edge; measure against the Pelias curve.</w:t>
      </w:r>
    </w:p>
    <w:p>
      <w:pPr>
        <w:pStyle w:val="Compact"/>
        <w:numPr>
          <w:ilvl w:val="0"/>
          <w:numId w:val="1005"/>
        </w:numPr>
      </w:pPr>
      <w:r>
        <w:rPr>
          <w:b/>
          <w:bCs/>
        </w:rPr>
        <w:t xml:space="preserve">New Hampshire</w:t>
      </w:r>
      <w:r>
        <w:t xml:space="preserve">: build both engines for two states; measure the data-volume effect on pgeo</w:t>
      </w:r>
      <w:r>
        <w:t xml:space="preserve"> </w:t>
      </w:r>
      <w:r>
        <w:t xml:space="preserve">(subset builds) as was done for Pelias.</w:t>
      </w:r>
    </w:p>
    <w:p>
      <w:pPr>
        <w:pStyle w:val="Compact"/>
        <w:numPr>
          <w:ilvl w:val="0"/>
          <w:numId w:val="1005"/>
        </w:numPr>
      </w:pPr>
      <w:r>
        <w:rPr>
          <w:b/>
          <w:bCs/>
        </w:rPr>
        <w:t xml:space="preserve">Category taxonomy</w:t>
      </w:r>
      <w:r>
        <w:t xml:space="preserve">: map source categories to Pelias’s taxonomy so</w:t>
      </w:r>
      <w:r>
        <w:t xml:space="preserve"> </w:t>
      </w:r>
      <w:r>
        <w:rPr>
          <w:rStyle w:val="VerbatimChar"/>
        </w:rPr>
        <w:t xml:space="preserve">categories=food</w:t>
      </w:r>
      <w:r>
        <w:t xml:space="preserve"> </w:t>
      </w:r>
      <w:r>
        <w:t xml:space="preserve">works.</w:t>
      </w:r>
    </w:p>
    <w:p>
      <w:pPr>
        <w:pStyle w:val="Compact"/>
        <w:numPr>
          <w:ilvl w:val="0"/>
          <w:numId w:val="1005"/>
        </w:numPr>
      </w:pPr>
      <w:r>
        <w:rPr>
          <w:b/>
          <w:bCs/>
        </w:rPr>
        <w:t xml:space="preserve">Test set</w:t>
      </w:r>
      <w:r>
        <w:t xml:space="preserve">: remove the eight false misses; add real user queries once the service is in use.</w:t>
      </w:r>
    </w:p>
    <w:p>
      <w:pPr>
        <w:pStyle w:val="Compact"/>
        <w:numPr>
          <w:ilvl w:val="0"/>
          <w:numId w:val="1005"/>
        </w:numPr>
      </w:pPr>
      <w:r>
        <w:rPr>
          <w:b/>
          <w:bCs/>
        </w:rPr>
        <w:t xml:space="preserve">Shadow comparison on real traffic</w:t>
      </w:r>
      <w:r>
        <w:t xml:space="preserve">: keep Pelias beside pgeo on the query host for a few weeks,</w:t>
      </w:r>
      <w:r>
        <w:t xml:space="preserve"> </w:t>
      </w:r>
      <w:r>
        <w:t xml:space="preserve">score both on real searches (neither engine tuned on them), then decide whether to retire Pelias</w:t>
      </w:r>
      <w:r>
        <w:t xml:space="preserve"> </w:t>
      </w:r>
      <w:r>
        <w:t xml:space="preserve">(freeing its 7.17 GB on the host). This is also the only way to settle the</w:t>
      </w:r>
      <w:r>
        <w:t xml:space="preserve"> </w:t>
      </w:r>
      <w:r>
        <w:t xml:space="preserve">tuning caveat in Section 4.</w:t>
      </w:r>
    </w:p>
    <w:p>
      <w:pPr>
        <w:pStyle w:val="Compact"/>
        <w:numPr>
          <w:ilvl w:val="0"/>
          <w:numId w:val="1005"/>
        </w:numPr>
      </w:pPr>
      <w:r>
        <w:rPr>
          <w:b/>
          <w:bCs/>
        </w:rPr>
        <w:t xml:space="preserve">libpostal model update</w:t>
      </w:r>
      <w:r>
        <w:t xml:space="preserve"> </w:t>
      </w:r>
      <w:r>
        <w:t xml:space="preserve">(Senzing libpostal-data): re-test the libpostal arm for accuracy and</w:t>
      </w:r>
      <w:r>
        <w:t xml:space="preserve"> </w:t>
      </w:r>
      <w:r>
        <w:t xml:space="preserve">memory.</w:t>
      </w:r>
    </w:p>
    <w:p>
      <w:pPr>
        <w:pStyle w:val="Compact"/>
        <w:numPr>
          <w:ilvl w:val="0"/>
          <w:numId w:val="1005"/>
        </w:numPr>
      </w:pPr>
      <w:r>
        <w:rPr>
          <w:b/>
          <w:bCs/>
        </w:rPr>
        <w:t xml:space="preserve">Authorization</w:t>
      </w:r>
      <w:r>
        <w:t xml:space="preserve"> </w:t>
      </w:r>
      <w:r>
        <w:t xml:space="preserve">(Phase 11): single sign-on plus hashed API keys at the edge before LANCER uses</w:t>
      </w:r>
      <w:r>
        <w:t xml:space="preserve"> </w:t>
      </w:r>
      <w:r>
        <w:t xml:space="preserve">the service; strip query strings from access logs.</w:t>
      </w:r>
    </w:p>
    <w:p>
      <w:pPr>
        <w:pStyle w:val="Compact"/>
        <w:numPr>
          <w:ilvl w:val="0"/>
          <w:numId w:val="1005"/>
        </w:numPr>
      </w:pPr>
      <w:r>
        <w:rPr>
          <w:b/>
          <w:bCs/>
        </w:rPr>
        <w:t xml:space="preserve">Continuous checks</w:t>
      </w:r>
      <w:r>
        <w:t xml:space="preserve">: run the accuracy gate and the compatibility contract on every build.</w:t>
      </w:r>
    </w:p>
    <w:bookmarkEnd w:id="132"/>
    <w:bookmarkStart w:id="133"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33"/>
    <w:bookmarkStart w:id="134"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39.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34"/>
    <w:bookmarkStart w:id="135"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40.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41.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26" Target="media/rId26.png" /><Relationship Type="http://schemas.openxmlformats.org/officeDocument/2006/relationships/image" Id="rId60" Target="media/rId60.png" /><Relationship Type="http://schemas.openxmlformats.org/officeDocument/2006/relationships/image" Id="rId114" Target="media/rId114.png" /><Relationship Type="http://schemas.openxmlformats.org/officeDocument/2006/relationships/image" Id="rId91" Target="media/rId91.png" /><Relationship Type="http://schemas.openxmlformats.org/officeDocument/2006/relationships/image" Id="rId38" Target="media/rId38.png" /><Relationship Type="http://schemas.openxmlformats.org/officeDocument/2006/relationships/image" Id="rId106" Target="media/rId106.png" /><Relationship Type="http://schemas.openxmlformats.org/officeDocument/2006/relationships/image" Id="rId77" Target="media/rId77.png" /><Relationship Type="http://schemas.openxmlformats.org/officeDocument/2006/relationships/image" Id="rId9" Target="media/rId9.png" /><Relationship Type="http://schemas.openxmlformats.org/officeDocument/2006/relationships/image" Id="rId57" Target="media/rId57.png" /><Relationship Type="http://schemas.openxmlformats.org/officeDocument/2006/relationships/image" Id="rId33" Target="media/rId33.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110" Target="media/rId110.png" /><Relationship Type="http://schemas.openxmlformats.org/officeDocument/2006/relationships/image" Id="rId29" Target="media/rId29.png" /><Relationship Type="http://schemas.openxmlformats.org/officeDocument/2006/relationships/image" Id="rId74" Target="media/rId74.png" /><Relationship Type="http://schemas.openxmlformats.org/officeDocument/2006/relationships/image" Id="rId43" Target="media/rId43.png" /><Relationship Type="http://schemas.openxmlformats.org/officeDocument/2006/relationships/image" Id="rId80" Target="media/rId80.png" /><Relationship Type="http://schemas.openxmlformats.org/officeDocument/2006/relationships/image" Id="rId66" Target="media/rId66.png" /><Relationship Type="http://schemas.openxmlformats.org/officeDocument/2006/relationships/hyperlink" Id="rId101" Target="https://aws.amazon.com/lightsail/pricing/"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9" Target="https://github.com/dunkelstern/osmgeocoder" TargetMode="External" /><Relationship Type="http://schemas.openxmlformats.org/officeDocument/2006/relationships/hyperlink" Id="rId20" Target="https://github.com/moofish32/postgis-geocoder" TargetMode="External" /><Relationship Type="http://schemas.openxmlformats.org/officeDocument/2006/relationships/hyperlink" Id="rId22" Target="https://nominatim.org/2025/07/14/roadmap-nominatim6.html" TargetMode="External" /><Relationship Type="http://schemas.openxmlformats.org/officeDocument/2006/relationships/hyperlink" Id="rId21" Target="https://nominatim.org/release-docs/latest/develop/overview/" TargetMode="External" /><Relationship Type="http://schemas.openxmlformats.org/officeDocument/2006/relationships/hyperlink" Id="rId18" Target="https://postgis.net/2026/06/PostGIS-Tiger-Geocoder-2025.1/" TargetMode="External" /><Relationship Type="http://schemas.openxmlformats.org/officeDocument/2006/relationships/hyperlink" Id="rId17"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98" Target="https://www.digitalocean.com/pricing/droplets" TargetMode="External" /><Relationship Type="http://schemas.openxmlformats.org/officeDocument/2006/relationships/hyperlink" Id="rId100" Target="https://www.hetzner.com/cloud/" TargetMode="External" /><Relationship Type="http://schemas.openxmlformats.org/officeDocument/2006/relationships/hyperlink" Id="rId99"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101" Target="https://aws.amazon.com/lightsail/pricing/"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9" Target="https://github.com/dunkelstern/osmgeocoder" TargetMode="External" /><Relationship Type="http://schemas.openxmlformats.org/officeDocument/2006/relationships/hyperlink" Id="rId20" Target="https://github.com/moofish32/postgis-geocoder" TargetMode="External" /><Relationship Type="http://schemas.openxmlformats.org/officeDocument/2006/relationships/hyperlink" Id="rId22" Target="https://nominatim.org/2025/07/14/roadmap-nominatim6.html" TargetMode="External" /><Relationship Type="http://schemas.openxmlformats.org/officeDocument/2006/relationships/hyperlink" Id="rId21" Target="https://nominatim.org/release-docs/latest/develop/overview/" TargetMode="External" /><Relationship Type="http://schemas.openxmlformats.org/officeDocument/2006/relationships/hyperlink" Id="rId18" Target="https://postgis.net/2026/06/PostGIS-Tiger-Geocoder-2025.1/" TargetMode="External" /><Relationship Type="http://schemas.openxmlformats.org/officeDocument/2006/relationships/hyperlink" Id="rId17"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98" Target="https://www.digitalocean.com/pricing/droplets" TargetMode="External" /><Relationship Type="http://schemas.openxmlformats.org/officeDocument/2006/relationships/hyperlink" Id="rId100" Target="https://www.hetzner.com/cloud/" TargetMode="External" /><Relationship Type="http://schemas.openxmlformats.org/officeDocument/2006/relationships/hyperlink" Id="rId99"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2026-09-21T00:45:07Z</dcterms:created>
  <dcterms:modified xsi:type="dcterms:W3CDTF">2026-09-21T00:45:07Z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