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22.png" ContentType="image/png"/>
  <Override PartName="/word/media/rId58.png" ContentType="image/png"/>
  <Override PartName="/word/media/rId114.png" ContentType="image/png"/>
  <Override PartName="/word/media/rId90.png" ContentType="image/png"/>
  <Override PartName="/word/media/rId34.png" ContentType="image/png"/>
  <Override PartName="/word/media/rId105.png" ContentType="image/png"/>
  <Override PartName="/word/media/rId75.png" ContentType="image/png"/>
  <Override PartName="/word/media/rId9.png" ContentType="image/png"/>
  <Override PartName="/word/media/rId55.png" ContentType="image/png"/>
  <Override PartName="/word/media/rId29.png" ContentType="image/png"/>
  <Override PartName="/word/media/rId68.png" ContentType="image/png"/>
  <Override PartName="/word/media/rId87.png" ContentType="image/png"/>
  <Override PartName="/word/media/rId110.png" ContentType="image/png"/>
  <Override PartName="/word/media/rId25.png" ContentType="image/png"/>
  <Override PartName="/word/media/rId72.png" ContentType="image/png"/>
  <Override PartName="/word/media/rId39.png" ContentType="image/png"/>
  <Override PartName="/word/media/rId7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21"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8" w:name="pelias-and-what-this-project-owes-it"/>
    <w:p>
      <w:pPr>
        <w:pStyle w:val="Heading3"/>
      </w:pPr>
      <w:r>
        <w:t xml:space="preserve">1.5 Pelias, and what this project owes it</w:t>
      </w:r>
    </w:p>
    <w:p>
      <w:pPr>
        <w:pStyle w:val="FirstParagraph"/>
      </w:pPr>
      <w:r>
        <w:t xml:space="preserve">pgeo exists because Pelias existed first. Every measurement in this report is made against it,</w:t>
      </w:r>
      <w:r>
        <w:t xml:space="preserve"> </w:t>
      </w:r>
      <w:r>
        <w:t xml:space="preserve">the API pgeo implements is its API, and the test oracle that decided what a correct answer looks</w:t>
      </w:r>
      <w:r>
        <w:t xml:space="preserve"> </w:t>
      </w:r>
      <w:r>
        <w:t xml:space="preserve">like was Pelias itself. That debt deserves stating properly rather than in a footnote.</w:t>
      </w:r>
    </w:p>
    <w:p>
      <w:pPr>
        <w:pStyle w:val="BodyText"/>
      </w:pPr>
      <w:r>
        <w:t xml:space="preserve">Pelias[1] began at Mapzen in 2013-2014 as an open-source geocoder built on</w:t>
      </w:r>
      <w:r>
        <w:t xml:space="preserve"> </w:t>
      </w:r>
      <w:r>
        <w:t xml:space="preserve">Elasticsearch, and was released as the hosted Mapzen Search in 2015. When Mapzen shut down in</w:t>
      </w:r>
      <w:r>
        <w:t xml:space="preserve"> </w:t>
      </w:r>
      <w:r>
        <w:t xml:space="preserve">January 2018[3], the hosted services went with it – but the code did not:</w:t>
      </w:r>
      <w:r>
        <w:t xml:space="preserve"> </w:t>
      </w:r>
      <w:r>
        <w:t xml:space="preserve">members of the same team founded Geocode Earth that month and have maintained the project</w:t>
      </w:r>
      <w:r>
        <w:t xml:space="preserve"> </w:t>
      </w:r>
      <w:r>
        <w:t xml:space="preserve">since[4, 5]. It remains actively developed in 2026, under</w:t>
      </w:r>
      <w:r>
        <w:t xml:space="preserve"> </w:t>
      </w:r>
      <w:r>
        <w:t xml:space="preserve">the MIT licence[6], with a community of business and individual contributors.</w:t>
      </w:r>
    </w:p>
    <w:p>
      <w:pPr>
        <w:pStyle w:val="BodyText"/>
      </w:pPr>
      <w:r>
        <w:t xml:space="preserve">Three of its design decisions shaped this project directly:</w:t>
      </w:r>
    </w:p>
    <w:p>
      <w:pPr>
        <w:pStyle w:val="Compact"/>
        <w:numPr>
          <w:ilvl w:val="0"/>
          <w:numId w:val="1002"/>
        </w:numPr>
      </w:pPr>
      <w:r>
        <w:rPr>
          <w:b/>
          <w:bCs/>
        </w:rPr>
        <w:t xml:space="preserve">Modularity.</w:t>
      </w:r>
      <w:r>
        <w:t xml:space="preserve"> </w:t>
      </w:r>
      <w:r>
        <w:t xml:space="preserve">Pelias is five services around Elasticsearch – API, placeholder, point-in-polygon,</w:t>
      </w:r>
      <w:r>
        <w:t xml:space="preserve"> </w:t>
      </w:r>
      <w:r>
        <w:t xml:space="preserve">libpostal and interpolation – explicitly so that</w:t>
      </w:r>
      <w:r>
        <w:t xml:space="preserve"> </w:t>
      </w:r>
      <w:r>
        <w:t xml:space="preserve">“you don’t need to be an expert in everything</w:t>
      </w:r>
      <w:r>
        <w:t xml:space="preserve"> </w:t>
      </w:r>
      <w:r>
        <w:t xml:space="preserve">to make changes”</w:t>
      </w:r>
      <w:r>
        <w:t xml:space="preserve">. That is the architecture this report measures the cost of, and the cost is</w:t>
      </w:r>
      <w:r>
        <w:t xml:space="preserve"> </w:t>
      </w:r>
      <w:r>
        <w:t xml:space="preserve">real; but the same decomposition is why a reader can understand what each part does, and why</w:t>
      </w:r>
      <w:r>
        <w:t xml:space="preserve"> </w:t>
      </w:r>
      <w:r>
        <w:t xml:space="preserve">Section 3.12 can say exactly which service sets the memory floor.</w:t>
      </w:r>
    </w:p>
    <w:p>
      <w:pPr>
        <w:pStyle w:val="Compact"/>
        <w:numPr>
          <w:ilvl w:val="0"/>
          <w:numId w:val="1002"/>
        </w:numPr>
      </w:pPr>
      <w:r>
        <w:rPr>
          <w:b/>
          <w:bCs/>
        </w:rPr>
        <w:t xml:space="preserve">A documented, stable HTTP API.</w:t>
      </w:r>
      <w:r>
        <w:t xml:space="preserve"> </w:t>
      </w:r>
      <w:r>
        <w:t xml:space="preserve">Pelias published an API worth copying: coherent, GeoJSON,</w:t>
      </w:r>
      <w:r>
        <w:t xml:space="preserve"> </w:t>
      </w:r>
      <w:r>
        <w:t xml:space="preserve">with a</w:t>
      </w:r>
      <w:r>
        <w:t xml:space="preserve"> </w:t>
      </w:r>
      <w:r>
        <w:rPr>
          <w:rStyle w:val="VerbatimChar"/>
        </w:rPr>
        <w:t xml:space="preserve">geocoding</w:t>
      </w:r>
      <w:r>
        <w:t xml:space="preserve"> </w:t>
      </w:r>
      <w:r>
        <w:t xml:space="preserve">block that carries query, engine and errors. pgeo did not design an interface;</w:t>
      </w:r>
      <w:r>
        <w:t xml:space="preserve"> </w:t>
      </w:r>
      <w:r>
        <w:t xml:space="preserve">it implemented this one, which is why an existing client can be repointed without changes.</w:t>
      </w:r>
    </w:p>
    <w:p>
      <w:pPr>
        <w:pStyle w:val="Compact"/>
        <w:numPr>
          <w:ilvl w:val="0"/>
          <w:numId w:val="1002"/>
        </w:numPr>
      </w:pPr>
      <w:r>
        <w:rPr>
          <w:b/>
          <w:bCs/>
        </w:rPr>
        <w:t xml:space="preserve">Open data as a first-class input.</w:t>
      </w:r>
      <w:r>
        <w:t xml:space="preserve"> </w:t>
      </w:r>
      <w:r>
        <w:t xml:space="preserve">Pelias’s importers for OpenAddresses, OpenStreetMap, Who’s</w:t>
      </w:r>
      <w:r>
        <w:t xml:space="preserve"> </w:t>
      </w:r>
      <w:r>
        <w:t xml:space="preserve">On First and CSV are what make a multi-source geocoder tractable at all. pgeo reads the same</w:t>
      </w:r>
      <w:r>
        <w:t xml:space="preserve"> </w:t>
      </w:r>
      <w:r>
        <w:t xml:space="preserve">sources, and in two cases reads them</w:t>
      </w:r>
      <w:r>
        <w:t xml:space="preserve"> </w:t>
      </w:r>
      <w:r>
        <w:rPr>
          <w:i/>
          <w:iCs/>
        </w:rPr>
        <w:t xml:space="preserve">through</w:t>
      </w:r>
      <w:r>
        <w:t xml:space="preserve"> </w:t>
      </w:r>
      <w:r>
        <w:t xml:space="preserve">Pelias’s own tooling: the interpolation database</w:t>
      </w:r>
      <w:r>
        <w:t xml:space="preserve"> </w:t>
      </w:r>
      <w:r>
        <w:t xml:space="preserve">and the OpenAddresses conversion.</w:t>
      </w:r>
    </w:p>
    <w:p>
      <w:pPr>
        <w:pStyle w:val="FirstParagraph"/>
      </w:pPr>
      <w:r>
        <w:t xml:space="preserve">Where this report finds pgeo ahead – accuracy on messy input, memory footprint, component count</w:t>
      </w:r>
      <w:r>
        <w:t xml:space="preserve"> </w:t>
      </w:r>
      <w:r>
        <w:t xml:space="preserve">– it is ahead on a problem Pelias defined, measured with a test set whose correct answers were</w:t>
      </w:r>
      <w:r>
        <w:t xml:space="preserve"> </w:t>
      </w:r>
      <w:r>
        <w:t xml:space="preserve">agreed by running Pelias. Where Pelias is ahead, on throughput per CPU and on coverage beyond one</w:t>
      </w:r>
      <w:r>
        <w:t xml:space="preserve"> </w:t>
      </w:r>
      <w:r>
        <w:t xml:space="preserve">state, it is ahead by design decisions that this project chose not to make rather than failed to</w:t>
      </w:r>
      <w:r>
        <w:t xml:space="preserve"> </w:t>
      </w:r>
      <w:r>
        <w:t xml:space="preserve">match. A fair summary is that pgeo is a specialisation: it trades the generality Pelias was built</w:t>
      </w:r>
      <w:r>
        <w:t xml:space="preserve"> </w:t>
      </w:r>
      <w:r>
        <w:t xml:space="preserve">for against a much smaller machine, for one state, for a handful of users.</w:t>
      </w:r>
    </w:p>
    <w:bookmarkStart w:id="17" w:name="X01be5286ebd40e1125bcff798e3667d905242d7"/>
    <w:p>
      <w:pPr>
        <w:pStyle w:val="Heading4"/>
      </w:pPr>
      <w:r>
        <w:t xml:space="preserve">1.5.1 Is Pelias the right thing to measure against?</w:t>
      </w:r>
    </w:p>
    <w:p>
      <w:pPr>
        <w:pStyle w:val="FirstParagraph"/>
      </w:pPr>
      <w:r>
        <w:t xml:space="preserve">Worth asking directly, because the whole study rests on the answer.</w:t>
      </w:r>
    </w:p>
    <w:p>
      <w:pPr>
        <w:pStyle w:val="BodyText"/>
      </w:pPr>
      <w:r>
        <w:rPr>
          <w:b/>
          <w:bCs/>
        </w:rPr>
        <w:t xml:space="preserve">For features and functions, yes, and by some distance.</w:t>
      </w:r>
      <w:r>
        <w:t xml:space="preserve"> </w:t>
      </w:r>
      <w:r>
        <w:t xml:space="preserve">Pelias is the only open-source geocoder</w:t>
      </w:r>
      <w:r>
        <w:t xml:space="preserve"> </w:t>
      </w:r>
      <w:r>
        <w:t xml:space="preserve">that shares pgeo’s central premise – several independent open sources merged into one index.</w:t>
      </w:r>
      <w:r>
        <w:t xml:space="preserve"> </w:t>
      </w:r>
      <w:r>
        <w:t xml:space="preserve">Nominatim[7] and Photon[8] are OpenStreetMap only; the TIGER</w:t>
      </w:r>
      <w:r>
        <w:t xml:space="preserve"> </w:t>
      </w:r>
      <w:r>
        <w:t xml:space="preserve">geocoder[9] is US Census only; pgGeocoder[10] is Japanese</w:t>
      </w:r>
      <w:r>
        <w:t xml:space="preserve"> </w:t>
      </w:r>
      <w:r>
        <w:t xml:space="preserve">government data only. Pelias imports OpenStreetMap, OpenAddresses, Who’s On First, Geonames,</w:t>
      </w:r>
      <w:r>
        <w:t xml:space="preserve"> </w:t>
      </w:r>
      <w:r>
        <w:t xml:space="preserve">polylines and arbitrary CSV, which is exactly the problem pgeo set out to solve. It also has the</w:t>
      </w:r>
      <w:r>
        <w:t xml:space="preserve"> </w:t>
      </w:r>
      <w:r>
        <w:t xml:space="preserve">widest API surface of the group: search, structured search, autocomplete, reverse and place.</w:t>
      </w:r>
    </w:p>
    <w:p>
      <w:pPr>
        <w:pStyle w:val="BodyText"/>
      </w:pPr>
      <w:r>
        <w:rPr>
          <w:b/>
          <w:bCs/>
        </w:rPr>
        <w:t xml:space="preserve">For flexibility, yes.</w:t>
      </w:r>
      <w:r>
        <w:t xml:space="preserve"> </w:t>
      </w:r>
      <w:r>
        <w:t xml:space="preserve">Pelias is the most configurable of the alternatives – custom importers,</w:t>
      </w:r>
      <w:r>
        <w:t xml:space="preserve"> </w:t>
      </w:r>
      <w:r>
        <w:t xml:space="preserve">private datasets, and an explicit goal of working</w:t>
      </w:r>
      <w:r>
        <w:t xml:space="preserve"> </w:t>
      </w:r>
      <w:r>
        <w:t xml:space="preserve">“equally well for a small city and the entire</w:t>
      </w:r>
      <w:r>
        <w:t xml:space="preserve"> </w:t>
      </w:r>
      <w:r>
        <w:t xml:space="preserve">planet”</w:t>
      </w:r>
      <w:r>
        <w:t xml:space="preserve">. Measuring against the most adaptable option is the harder test, which is the right one to</w:t>
      </w:r>
      <w:r>
        <w:t xml:space="preserve"> </w:t>
      </w:r>
      <w:r>
        <w:t xml:space="preserve">set.</w:t>
      </w:r>
    </w:p>
    <w:p>
      <w:pPr>
        <w:pStyle w:val="BodyText"/>
      </w:pPr>
      <w:r>
        <w:rPr>
          <w:b/>
          <w:bCs/>
        </w:rPr>
        <w:t xml:space="preserve">For scalability, only partly, and the gap is specific.</w:t>
      </w:r>
      <w:r>
        <w:t xml:space="preserve"> </w:t>
      </w:r>
      <w:r>
        <w:t xml:space="preserve">Pelias is a fair reference for</w:t>
      </w:r>
      <w:r>
        <w:t xml:space="preserve"> </w:t>
      </w:r>
      <w:r>
        <w:t xml:space="preserve">concurrent users on one machine, which is what this project needed. It is not the reference for</w:t>
      </w:r>
      <w:r>
        <w:t xml:space="preserve"> </w:t>
      </w:r>
      <w:r>
        <w:t xml:space="preserve">either extreme. At the top end, Nominatim’s planet deployment (roughly a terabyte of disk and</w:t>
      </w:r>
      <w:r>
        <w:t xml:space="preserve"> </w:t>
      </w:r>
      <w:r>
        <w:t xml:space="preserve">128 GB-class memory) and Photon’s prebuilt planet index define what large means. More importantly</w:t>
      </w:r>
      <w:r>
        <w:t xml:space="preserve"> </w:t>
      </w:r>
      <w:r>
        <w:t xml:space="preserve">for this study,</w:t>
      </w:r>
      <w:r>
        <w:t xml:space="preserve"> </w:t>
      </w:r>
      <w:r>
        <w:rPr>
          <w:b/>
          <w:bCs/>
        </w:rPr>
        <w:t xml:space="preserve">Photon exists because Nominatim is weak at type-ahead, and it is optimised for</w:t>
      </w:r>
      <w:r>
        <w:rPr>
          <w:b/>
          <w:bCs/>
        </w:rPr>
        <w:t xml:space="preserve"> </w:t>
      </w:r>
      <w:r>
        <w:rPr>
          <w:b/>
          <w:bCs/>
        </w:rPr>
        <w:t xml:space="preserve">autocomplete in tens of milliseconds</w:t>
      </w:r>
      <w:r>
        <w:t xml:space="preserve"> </w:t>
      </w:r>
      <w:r>
        <w:t xml:space="preserve">– and autocomplete is precisely the endpoint that limits</w:t>
      </w:r>
      <w:r>
        <w:t xml:space="preserve"> </w:t>
      </w:r>
      <w:r>
        <w:t xml:space="preserve">pgeo on every configuration tested (Figure 14). The comparison that would press</w:t>
      </w:r>
      <w:r>
        <w:t xml:space="preserve"> </w:t>
      </w:r>
      <w:r>
        <w:t xml:space="preserve">hardest on pgeo’s weakest axis is the one this study does not make.</w:t>
      </w:r>
    </w:p>
    <w:p>
      <w:pPr>
        <w:pStyle w:val="BodyText"/>
      </w:pPr>
      <w:r>
        <w:t xml:space="preserve">Photon would also change the build comparison rather than just the query one: it distributes a</w:t>
      </w:r>
      <w:r>
        <w:t xml:space="preserve"> </w:t>
      </w:r>
      <w:r>
        <w:t xml:space="preserve">prebuilt index, so an operator downloads rather than builds, and the 5.5 GB build machine this</w:t>
      </w:r>
      <w:r>
        <w:t xml:space="preserve"> </w:t>
      </w:r>
      <w:r>
        <w:t xml:space="preserve">report says pgeo needs (Section 3.5) has no Photon equivalent. That is a different trade from the</w:t>
      </w:r>
      <w:r>
        <w:t xml:space="preserve"> </w:t>
      </w:r>
      <w:r>
        <w:t xml:space="preserve">one measured here, and a real one.</w:t>
      </w:r>
    </w:p>
    <w:bookmarkEnd w:id="17"/>
    <w:bookmarkEnd w:id="18"/>
    <w:bookmarkStart w:id="19" w:name="other-geocoders-that-live-in-postgresql"/>
    <w:p>
      <w:pPr>
        <w:pStyle w:val="Heading3"/>
      </w:pPr>
      <w:r>
        <w:t xml:space="preserve">1.6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Geocoder[9]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2026)[11], needs PostgreSQL 16+. Exact-match oriented; its own documentation notes speed problems in the</w:t>
            </w:r>
            <w:r>
              <w:t xml:space="preserve"> </w:t>
            </w:r>
            <w:r>
              <w:rPr>
                <w:rStyle w:val="VerbatimChar"/>
              </w:rPr>
              <w:t xml:space="preserve">address_standardizer</w:t>
            </w:r>
            <w:r>
              <w:t xml:space="preserve">[12] wrapper for batch work</w:t>
            </w:r>
          </w:p>
        </w:tc>
      </w:tr>
      <w:tr>
        <w:tc>
          <w:tcPr/>
          <w:p>
            <w:pPr>
              <w:pStyle w:val="Compact"/>
            </w:pPr>
            <w:r>
              <w:t xml:space="preserve">osmgeocoder[13]</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[14]). Multi-country address formatting via OpenCage templates. Without libpostal it degrades to</w:t>
            </w:r>
            <w:r>
              <w:t xml:space="preserve"> </w:t>
            </w:r>
            <w:r>
              <w:t xml:space="preserve">“street names only”</w:t>
            </w:r>
          </w:p>
        </w:tc>
      </w:tr>
      <w:tr>
        <w:tc>
          <w:tcPr/>
          <w:p>
            <w:pPr>
              <w:pStyle w:val="Compact"/>
            </w:pPr>
            <w:r>
              <w:t xml:space="preserve">pgGeocoder[10]</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packagings[15, 16]</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Nominatim[7]</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roadmap[17]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OpenCage’s[18]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9"/>
    <w:bookmarkStart w:id="20" w:name="terms-and-acronyms"/>
    <w:p>
      <w:pPr>
        <w:pStyle w:val="Heading3"/>
      </w:pPr>
      <w:r>
        <w:t xml:space="preserve">1.7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[19]</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[20]</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word[21].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First[22],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OpenAddresses[23], the open collection of address points</w:t>
            </w:r>
          </w:p>
        </w:tc>
      </w:tr>
      <w:tr>
        <w:tc>
          <w:tcPr/>
          <w:p>
            <w:pPr>
              <w:pStyle w:val="Compact"/>
            </w:pPr>
            <w:r>
              <w:rPr>
                <w:b/>
                <w:bCs/>
              </w:rPr>
              <w:t xml:space="preserve">GNIS</w:t>
            </w:r>
          </w:p>
        </w:tc>
        <w:tc>
          <w:tcPr/>
          <w:p>
            <w:pPr>
              <w:pStyle w:val="Compact"/>
            </w:pPr>
            <w:r>
              <w:t xml:space="preserve">The USGS Geographic Names Information System[24]: lakes, summits, streams and populated places</w:t>
            </w:r>
          </w:p>
        </w:tc>
      </w:tr>
      <w:tr>
        <w:tc>
          <w:tcPr/>
          <w:p>
            <w:pPr>
              <w:pStyle w:val="Compact"/>
            </w:pPr>
            <w:r>
              <w:rPr>
                <w:b/>
                <w:bCs/>
              </w:rPr>
              <w:t xml:space="preserve">ZCTA</w:t>
            </w:r>
          </w:p>
        </w:tc>
        <w:tc>
          <w:tcPr/>
          <w:p>
            <w:pPr>
              <w:pStyle w:val="Compact"/>
            </w:pPr>
            <w:r>
              <w:t xml:space="preserve">ZIP Code Tabulation Area[25],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20"/>
    <w:bookmarkEnd w:id="21"/>
    <w:bookmarkStart w:id="48"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8"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3" name="Picture"/>
            <a:graphic>
              <a:graphicData uri="http://schemas.openxmlformats.org/drawingml/2006/picture">
                <pic:pic>
                  <pic:nvPicPr>
                    <pic:cNvPr descr="report_figures/fig_architecture.png" id="24" name="Picture"/>
                    <pic:cNvPicPr>
                      <a:picLocks noChangeArrowheads="1" noChangeAspect="1"/>
                    </pic:cNvPicPr>
                  </pic:nvPicPr>
                  <pic:blipFill>
                    <a:blip r:embed="rId22"/>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3"/>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3"/>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6" name="Picture"/>
            <a:graphic>
              <a:graphicData uri="http://schemas.openxmlformats.org/drawingml/2006/picture">
                <pic:pic>
                  <pic:nvPicPr>
                    <pic:cNvPr descr="report_figures/fig_query_pipeline.png" id="27" name="Picture"/>
                    <pic:cNvPicPr>
                      <a:picLocks noChangeArrowheads="1" noChangeAspect="1"/>
                    </pic:cNvPicPr>
                  </pic:nvPicPr>
                  <pic:blipFill>
                    <a:blip r:embed="rId25"/>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8"/>
    <w:bookmarkStart w:id="33"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30" name="Picture"/>
            <a:graphic>
              <a:graphicData uri="http://schemas.openxmlformats.org/drawingml/2006/picture">
                <pic:pic>
                  <pic:nvPicPr>
                    <pic:cNvPr descr="report_figures/fig_inventory.png" id="31" name="Picture"/>
                    <pic:cNvPicPr>
                      <a:picLocks noChangeArrowheads="1" noChangeAspect="1"/>
                    </pic:cNvPicPr>
                  </pic:nvPicPr>
                  <pic:blipFill>
                    <a:blip r:embed="rId29"/>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2"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2"/>
    <w:bookmarkEnd w:id="33"/>
    <w:bookmarkStart w:id="37"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5" name="Picture"/>
            <a:graphic>
              <a:graphicData uri="http://schemas.openxmlformats.org/drawingml/2006/picture">
                <pic:pic>
                  <pic:nvPicPr>
                    <pic:cNvPr descr="report_figures/fig_data_pipeline.png" id="36" name="Picture"/>
                    <pic:cNvPicPr>
                      <a:picLocks noChangeArrowheads="1" noChangeAspect="1"/>
                    </pic:cNvPicPr>
                  </pic:nvPicPr>
                  <pic:blipFill>
                    <a:blip r:embed="rId34"/>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DuckDB[26], ogr2ogr[27]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7"/>
    <w:bookmarkStart w:id="38"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8"/>
    <w:bookmarkStart w:id="44"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40" name="Picture"/>
            <a:graphic>
              <a:graphicData uri="http://schemas.openxmlformats.org/drawingml/2006/picture">
                <pic:pic>
                  <pic:nvPicPr>
                    <pic:cNvPr descr="report_figures/fig_test_harness.png" id="41" name="Picture"/>
                    <pic:cNvPicPr>
                      <a:picLocks noChangeArrowheads="1" noChangeAspect="1"/>
                    </pic:cNvPicPr>
                  </pic:nvPicPr>
                  <pic:blipFill>
                    <a:blip r:embed="rId39"/>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2"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2"/>
    <w:bookmarkStart w:id="43"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3"/>
    <w:bookmarkEnd w:id="44"/>
    <w:bookmarkStart w:id="45"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5"/>
    <w:bookmarkStart w:id="47"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6"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4"/>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4"/>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4"/>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6"/>
    <w:bookmarkEnd w:id="47"/>
    <w:bookmarkEnd w:id="48"/>
    <w:bookmarkStart w:id="129"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3"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50" name="Picture"/>
            <a:graphic>
              <a:graphicData uri="http://schemas.openxmlformats.org/drawingml/2006/picture">
                <pic:pic>
                  <pic:nvPicPr>
                    <pic:cNvPr descr="report_figures/fig_accuracy_category.png" id="51" name="Picture"/>
                    <pic:cNvPicPr>
                      <a:picLocks noChangeArrowheads="1" noChangeAspect="1"/>
                    </pic:cNvPicPr>
                  </pic:nvPicPr>
                  <pic:blipFill>
                    <a:blip r:embed="rId49"/>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3" name="Picture"/>
            <a:graphic>
              <a:graphicData uri="http://schemas.openxmlformats.org/drawingml/2006/picture">
                <pic:pic>
                  <pic:nvPicPr>
                    <pic:cNvPr descr="report_figures/fig_accuracy_quality.png" id="54" name="Picture"/>
                    <pic:cNvPicPr>
                      <a:picLocks noChangeArrowheads="1" noChangeAspect="1"/>
                    </pic:cNvPicPr>
                  </pic:nvPicPr>
                  <pic:blipFill>
                    <a:blip r:embed="rId52"/>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6" name="Picture"/>
            <a:graphic>
              <a:graphicData uri="http://schemas.openxmlformats.org/drawingml/2006/picture">
                <pic:pic>
                  <pic:nvPicPr>
                    <pic:cNvPr descr="report_figures/fig_fuzz.png" id="57" name="Picture"/>
                    <pic:cNvPicPr>
                      <a:picLocks noChangeArrowheads="1" noChangeAspect="1"/>
                    </pic:cNvPicPr>
                  </pic:nvPicPr>
                  <pic:blipFill>
                    <a:blip r:embed="rId55"/>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61"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9" name="Picture"/>
            <a:graphic>
              <a:graphicData uri="http://schemas.openxmlformats.org/drawingml/2006/picture">
                <pic:pic>
                  <pic:nvPicPr>
                    <pic:cNvPr descr="report_figures/fig_calibration.png" id="60" name="Picture"/>
                    <pic:cNvPicPr>
                      <a:picLocks noChangeArrowheads="1" noChangeAspect="1"/>
                    </pic:cNvPicPr>
                  </pic:nvPicPr>
                  <pic:blipFill>
                    <a:blip r:embed="rId58"/>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61"/>
    <w:bookmarkStart w:id="62"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2"/>
    <w:bookmarkEnd w:id="63"/>
    <w:bookmarkStart w:id="67"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5" name="Picture"/>
            <a:graphic>
              <a:graphicData uri="http://schemas.openxmlformats.org/drawingml/2006/picture">
                <pic:pic>
                  <pic:nvPicPr>
                    <pic:cNvPr descr="report_figures/fig_tuning.png" id="66" name="Picture"/>
                    <pic:cNvPicPr>
                      <a:picLocks noChangeArrowheads="1" noChangeAspect="1"/>
                    </pic:cNvPicPr>
                  </pic:nvPicPr>
                  <pic:blipFill>
                    <a:blip r:embed="rId64"/>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7"/>
    <w:bookmarkStart w:id="71"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5"/>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5"/>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5"/>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5"/>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9" name="Picture"/>
            <a:graphic>
              <a:graphicData uri="http://schemas.openxmlformats.org/drawingml/2006/picture">
                <pic:pic>
                  <pic:nvPicPr>
                    <pic:cNvPr descr="report_figures/fig_latency_3users.png" id="70" name="Picture"/>
                    <pic:cNvPicPr>
                      <a:picLocks noChangeArrowheads="1" noChangeAspect="1"/>
                    </pic:cNvPicPr>
                  </pic:nvPicPr>
                  <pic:blipFill>
                    <a:blip r:embed="rId68"/>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71"/>
    <w:bookmarkStart w:id="86"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3" name="Picture"/>
            <a:graphic>
              <a:graphicData uri="http://schemas.openxmlformats.org/drawingml/2006/picture">
                <pic:pic>
                  <pic:nvPicPr>
                    <pic:cNvPr descr="report_figures/fig_ramp.png" id="74" name="Picture"/>
                    <pic:cNvPicPr>
                      <a:picLocks noChangeArrowheads="1" noChangeAspect="1"/>
                    </pic:cNvPicPr>
                  </pic:nvPicPr>
                  <pic:blipFill>
                    <a:blip r:embed="rId72"/>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6" name="Picture"/>
            <a:graphic>
              <a:graphicData uri="http://schemas.openxmlformats.org/drawingml/2006/picture">
                <pic:pic>
                  <pic:nvPicPr>
                    <pic:cNvPr descr="report_figures/fig_endpoint_ramp.png" id="77" name="Picture"/>
                    <pic:cNvPicPr>
                      <a:picLocks noChangeArrowheads="1" noChangeAspect="1"/>
                    </pic:cNvPicPr>
                  </pic:nvPicPr>
                  <pic:blipFill>
                    <a:blip r:embed="rId75"/>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9" name="Picture"/>
            <a:graphic>
              <a:graphicData uri="http://schemas.openxmlformats.org/drawingml/2006/picture">
                <pic:pic>
                  <pic:nvPicPr>
                    <pic:cNvPr descr="report_figures/fig_throughput.png" id="80" name="Picture"/>
                    <pic:cNvPicPr>
                      <a:picLocks noChangeArrowheads="1" noChangeAspect="1"/>
                    </pic:cNvPicPr>
                  </pic:nvPicPr>
                  <pic:blipFill>
                    <a:blip r:embed="rId78"/>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81"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81"/>
    <w:bookmarkStart w:id="82"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2"/>
    <w:bookmarkStart w:id="83"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3"/>
    <w:bookmarkStart w:id="84"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4"/>
    <w:bookmarkStart w:id="85"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5"/>
    <w:bookmarkEnd w:id="86"/>
    <w:bookmarkStart w:id="104"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8" name="Picture"/>
            <a:graphic>
              <a:graphicData uri="http://schemas.openxmlformats.org/drawingml/2006/picture">
                <pic:pic>
                  <pic:nvPicPr>
                    <pic:cNvPr descr="report_figures/fig_memory.png" id="89" name="Picture"/>
                    <pic:cNvPicPr>
                      <a:picLocks noChangeArrowheads="1" noChangeAspect="1"/>
                    </pic:cNvPicPr>
                  </pic:nvPicPr>
                  <pic:blipFill>
                    <a:blip r:embed="rId87"/>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91" name="Picture"/>
            <a:graphic>
              <a:graphicData uri="http://schemas.openxmlformats.org/drawingml/2006/picture">
                <pic:pic>
                  <pic:nvPicPr>
                    <pic:cNvPr descr="report_figures/fig_cpu.png" id="92" name="Picture"/>
                    <pic:cNvPicPr>
                      <a:picLocks noChangeArrowheads="1" noChangeAspect="1"/>
                    </pic:cNvPicPr>
                  </pic:nvPicPr>
                  <pic:blipFill>
                    <a:blip r:embed="rId90"/>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3" w:name="resource-requirements"/>
    <w:p>
      <w:pPr>
        <w:pStyle w:val="Heading4"/>
      </w:pPr>
      <w:r>
        <w:t xml:space="preserve">Resource requirements</w:t>
      </w:r>
    </w:p>
    <w:bookmarkEnd w:id="93"/>
    <w:bookmarkStart w:id="94"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4"/>
    <w:bookmarkStart w:id="95"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5"/>
    <w:bookmarkStart w:id="102"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6">
        <w:r>
          <w:rPr>
            <w:rStyle w:val="Hyperlink"/>
          </w:rPr>
          <w:t xml:space="preserve">Linode/Akamai</w:t>
        </w:r>
      </w:hyperlink>
      <w:r>
        <w:t xml:space="preserve">,</w:t>
      </w:r>
      <w:r>
        <w:t xml:space="preserve"> </w:t>
      </w:r>
      <w:hyperlink r:id="rId97">
        <w:r>
          <w:rPr>
            <w:rStyle w:val="Hyperlink"/>
          </w:rPr>
          <w:t xml:space="preserve">DigitalOcean</w:t>
        </w:r>
      </w:hyperlink>
      <w:r>
        <w:t xml:space="preserve">,</w:t>
      </w:r>
      <w:r>
        <w:t xml:space="preserve"> </w:t>
      </w:r>
      <w:hyperlink r:id="rId98">
        <w:r>
          <w:rPr>
            <w:rStyle w:val="Hyperlink"/>
          </w:rPr>
          <w:t xml:space="preserve">Vultr</w:t>
        </w:r>
      </w:hyperlink>
      <w:r>
        <w:t xml:space="preserve">,</w:t>
      </w:r>
      <w:r>
        <w:t xml:space="preserve"> </w:t>
      </w:r>
      <w:hyperlink r:id="rId99">
        <w:r>
          <w:rPr>
            <w:rStyle w:val="Hyperlink"/>
          </w:rPr>
          <w:t xml:space="preserve">Hetzner</w:t>
        </w:r>
      </w:hyperlink>
      <w:r>
        <w:t xml:space="preserve">,</w:t>
      </w:r>
      <w:r>
        <w:t xml:space="preserve"> </w:t>
      </w:r>
      <w:hyperlink r:id="rId100">
        <w:r>
          <w:rPr>
            <w:rStyle w:val="Hyperlink"/>
          </w:rPr>
          <w:t xml:space="preserve">AWS Lightsail</w:t>
        </w:r>
      </w:hyperlink>
      <w:r>
        <w:t xml:space="preserve">,</w:t>
      </w:r>
      <w:r>
        <w:t xml:space="preserve"> </w:t>
      </w:r>
      <w:hyperlink r:id="rId101">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2"/>
    <w:bookmarkStart w:id="103"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3"/>
    <w:bookmarkEnd w:id="104"/>
    <w:bookmarkStart w:id="109"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6" name="Picture"/>
            <a:graphic>
              <a:graphicData uri="http://schemas.openxmlformats.org/drawingml/2006/picture">
                <pic:pic>
                  <pic:nvPicPr>
                    <pic:cNvPr descr="report_figures/fig_datavol.png" id="107" name="Picture"/>
                    <pic:cNvPicPr>
                      <a:picLocks noChangeArrowheads="1" noChangeAspect="1"/>
                    </pic:cNvPicPr>
                  </pic:nvPicPr>
                  <pic:blipFill>
                    <a:blip r:embed="rId105"/>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8"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8"/>
    <w:bookmarkEnd w:id="109"/>
    <w:bookmarkStart w:id="113"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11" name="Picture"/>
            <a:graphic>
              <a:graphicData uri="http://schemas.openxmlformats.org/drawingml/2006/picture">
                <pic:pic>
                  <pic:nvPicPr>
                    <pic:cNvPr descr="report_figures/fig_qtype.png" id="112" name="Picture"/>
                    <pic:cNvPicPr>
                      <a:picLocks noChangeArrowheads="1" noChangeAspect="1"/>
                    </pic:cNvPicPr>
                  </pic:nvPicPr>
                  <pic:blipFill>
                    <a:blip r:embed="rId110"/>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3"/>
    <w:bookmarkStart w:id="117"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5" name="Picture"/>
            <a:graphic>
              <a:graphicData uri="http://schemas.openxmlformats.org/drawingml/2006/picture">
                <pic:pic>
                  <pic:nvPicPr>
                    <pic:cNvPr descr="report_figures/fig_compat.png" id="116" name="Picture"/>
                    <pic:cNvPicPr>
                      <a:picLocks noChangeArrowheads="1" noChangeAspect="1"/>
                    </pic:cNvPicPr>
                  </pic:nvPicPr>
                  <pic:blipFill>
                    <a:blip r:embed="rId114"/>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7"/>
    <w:bookmarkStart w:id="120"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8"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28[28]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8"/>
    <w:bookmarkStart w:id="119" w:name="zip4"/>
    <w:p>
      <w:pPr>
        <w:pStyle w:val="Heading4"/>
      </w:pPr>
      <w:r>
        <w:t xml:space="preserve">3.9.2 ZIP+4</w:t>
      </w:r>
    </w:p>
    <w:p>
      <w:pPr>
        <w:pStyle w:val="FirstParagraph"/>
      </w:pPr>
      <w:r>
        <w:t xml:space="preserve">The USPS ZIP+4 file[29]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9"/>
    <w:bookmarkEnd w:id="120"/>
    <w:bookmarkStart w:id="121"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21"/>
    <w:bookmarkStart w:id="122"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2"/>
    <w:bookmarkStart w:id="126"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3"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3"/>
    <w:bookmarkStart w:id="124"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4"/>
    <w:bookmarkStart w:id="125"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5"/>
    <w:bookmarkEnd w:id="126"/>
    <w:bookmarkStart w:id="128"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7"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7"/>
    <w:bookmarkEnd w:id="128"/>
    <w:bookmarkEnd w:id="129"/>
    <w:bookmarkStart w:id="130"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6"/>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6"/>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6"/>
        </w:numPr>
      </w:pPr>
      <w:r>
        <w:t xml:space="preserve">At 1-4 users the per-endpoint p95 rests on few requests; the ramp’s decisions at higher user</w:t>
      </w:r>
      <w:r>
        <w:t xml:space="preserve"> </w:t>
      </w:r>
      <w:r>
        <w:t xml:space="preserve">counts rest on thousands.</w:t>
      </w:r>
    </w:p>
    <w:p>
      <w:pPr>
        <w:pStyle w:val="Compact"/>
        <w:numPr>
          <w:ilvl w:val="0"/>
          <w:numId w:val="1006"/>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6"/>
        </w:numPr>
      </w:pPr>
      <w:r>
        <w:t xml:space="preserve">The first Pelias data-volume run failed because Elasticsearch was not ready after the previous</w:t>
      </w:r>
      <w:r>
        <w:t xml:space="preserve"> </w:t>
      </w:r>
      <w:r>
        <w:t xml:space="preserve">run’s restart; it was repeated with a readiness wait.</w:t>
      </w:r>
    </w:p>
    <w:bookmarkEnd w:id="130"/>
    <w:bookmarkStart w:id="131"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31"/>
    <w:bookmarkStart w:id="133"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Compare against Photon</w:t>
            </w:r>
            <w:r>
              <w:t xml:space="preserve"> </w:t>
            </w:r>
            <w:r>
              <w:t xml:space="preserve">on autocomplete</w:t>
            </w:r>
          </w:p>
        </w:tc>
        <w:tc>
          <w:tcPr/>
          <w:p>
            <w:pPr>
              <w:pStyle w:val="Compact"/>
            </w:pPr>
            <w:r>
              <w:t xml:space="preserve">2-3 days</w:t>
            </w:r>
          </w:p>
        </w:tc>
        <w:tc>
          <w:tcPr/>
          <w:p>
            <w:pPr>
              <w:pStyle w:val="Compact"/>
            </w:pPr>
            <w:r>
              <w:t xml:space="preserve">High – it is the type-ahead specialist and pgeo’s binding endpoint</w:t>
            </w:r>
          </w:p>
        </w:tc>
        <w:tc>
          <w:tcPr/>
          <w:p>
            <w:pPr>
              <w:pStyle w:val="Compact"/>
            </w:pPr>
            <w:r>
              <w:t xml:space="preserve">The missing half of the capacity story (Section 1.5.1). It would either confirm pgeo is competitive at type-ahead or show the gap is larger than 4x on the axis that matters most</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2"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2"/>
    <w:bookmarkEnd w:id="133"/>
    <w:bookmarkStart w:id="139"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4"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4"/>
    <w:bookmarkStart w:id="135"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5"/>
    <w:bookmarkStart w:id="136"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7"/>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7"/>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7"/>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6"/>
    <w:bookmarkStart w:id="137"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7"/>
    <w:bookmarkStart w:id="138"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8"/>
    <w:bookmarkEnd w:id="139"/>
    <w:bookmarkStart w:id="140" w:name="acknowledgements"/>
    <w:p>
      <w:pPr>
        <w:pStyle w:val="Heading2"/>
      </w:pPr>
      <w:r>
        <w:t xml:space="preserve">Acknowledgements</w:t>
      </w:r>
    </w:p>
    <w:p>
      <w:pPr>
        <w:pStyle w:val="FirstParagraph"/>
      </w:pPr>
      <w:r>
        <w:t xml:space="preserve">This study measures pgeo against</w:t>
      </w:r>
      <w:r>
        <w:t xml:space="preserve"> </w:t>
      </w:r>
      <w:r>
        <w:rPr>
          <w:b/>
          <w:bCs/>
        </w:rPr>
        <w:t xml:space="preserve">Pelias</w:t>
      </w:r>
      <w:r>
        <w:t xml:space="preserve">, and would not exist without it. Pelias was built at</w:t>
      </w:r>
      <w:r>
        <w:t xml:space="preserve"> </w:t>
      </w:r>
      <w:r>
        <w:t xml:space="preserve">Mapzen from 2013 and has been maintained since January 2018 by Geocode Earth, under the MIT</w:t>
      </w:r>
      <w:r>
        <w:t xml:space="preserve"> </w:t>
      </w:r>
      <w:r>
        <w:t xml:space="preserve">licence, with a community of contributors. It supplied the API pgeo implements, the tooling that</w:t>
      </w:r>
      <w:r>
        <w:t xml:space="preserve"> </w:t>
      </w:r>
      <w:r>
        <w:t xml:space="preserve">prepares two of the data sources, and the reference answers that decided what</w:t>
      </w:r>
      <w:r>
        <w:t xml:space="preserve"> </w:t>
      </w:r>
      <w:r>
        <w:t xml:space="preserve">“correct”</w:t>
      </w:r>
      <w:r>
        <w:t xml:space="preserve"> </w:t>
      </w:r>
      <w:r>
        <w:t xml:space="preserve">means in</w:t>
      </w:r>
      <w:r>
        <w:t xml:space="preserve"> </w:t>
      </w:r>
      <w:r>
        <w:t xml:space="preserve">Section 3.1. Where this report shows pgeo ahead, it is ahead on a problem Pelias defined</w:t>
      </w:r>
      <w:r>
        <w:t xml:space="preserve"> </w:t>
      </w:r>
      <w:r>
        <w:t xml:space="preserve">(Section 1.5).</w:t>
      </w:r>
    </w:p>
    <w:p>
      <w:pPr>
        <w:pStyle w:val="BodyText"/>
      </w:pPr>
      <w:r>
        <w:t xml:space="preserve">The open data this work depends on is maintained by the OpenStreetMap contributors, the</w:t>
      </w:r>
      <w:r>
        <w:t xml:space="preserve"> </w:t>
      </w:r>
      <w:r>
        <w:t xml:space="preserve">OpenAddresses project, Who’s On First, the USGS, the US Census Bureau and the Overture Maps</w:t>
      </w:r>
      <w:r>
        <w:t xml:space="preserve"> </w:t>
      </w:r>
      <w:r>
        <w:t xml:space="preserve">Foundation. Each carries its own licence; see NOTICE in the repository.</w:t>
      </w:r>
    </w:p>
    <w:bookmarkEnd w:id="140"/>
    <w:bookmarkStart w:id="141"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8"/>
        </w:numPr>
      </w:pPr>
      <w:r>
        <w:t xml:space="preserve">Pelias: an open-source geocoder. https://pelias.io and https://github.com/pelias/pelias</w:t>
      </w:r>
    </w:p>
    <w:p>
      <w:pPr>
        <w:pStyle w:val="Compact"/>
        <w:numPr>
          <w:ilvl w:val="0"/>
          <w:numId w:val="1008"/>
        </w:numPr>
      </w:pPr>
      <w:r>
        <w:t xml:space="preserve">Elasticsearch. Elastic. https://www.elastic.co/elasticsearch</w:t>
      </w:r>
    </w:p>
    <w:p>
      <w:pPr>
        <w:pStyle w:val="Compact"/>
        <w:numPr>
          <w:ilvl w:val="0"/>
          <w:numId w:val="1008"/>
        </w:numPr>
      </w:pPr>
      <w:r>
        <w:t xml:space="preserve">Pelias open-source project update, 2 January 2018 (the Mapzen shutdown announcement). https://pelias.io/announcements/2018-01-02-pelias-update/</w:t>
      </w:r>
    </w:p>
    <w:p>
      <w:pPr>
        <w:pStyle w:val="Compact"/>
        <w:numPr>
          <w:ilvl w:val="0"/>
          <w:numId w:val="1008"/>
        </w:numPr>
      </w:pPr>
      <w:r>
        <w:t xml:space="preserve">Geocode Earth: the company founded in January 2018 by former Mapzen staff, which maintains Pelias. https://geocode.earth/opensource/</w:t>
      </w:r>
    </w:p>
    <w:p>
      <w:pPr>
        <w:pStyle w:val="Compact"/>
        <w:numPr>
          <w:ilvl w:val="0"/>
          <w:numId w:val="1008"/>
        </w:numPr>
      </w:pPr>
      <w:r>
        <w:t xml:space="preserve">A trip down memory lane, Geocode Earth, 2020. https://geocode.earth/blog/2020/memory-lane/</w:t>
      </w:r>
    </w:p>
    <w:p>
      <w:pPr>
        <w:pStyle w:val="Compact"/>
        <w:numPr>
          <w:ilvl w:val="0"/>
          <w:numId w:val="1008"/>
        </w:numPr>
      </w:pPr>
      <w:r>
        <w:t xml:space="preserve">Pelias is released under the MIT License. https://github.com/pelias/pelias/blob/master/LICENSE</w:t>
      </w:r>
    </w:p>
    <w:p>
      <w:pPr>
        <w:pStyle w:val="Compact"/>
        <w:numPr>
          <w:ilvl w:val="0"/>
          <w:numId w:val="1008"/>
        </w:numPr>
      </w:pPr>
      <w:r>
        <w:t xml:space="preserve">Nominatim architecture overview, release 5.3 documentation. https://nominatim.org/release-docs/latest/develop/overview/</w:t>
      </w:r>
    </w:p>
    <w:p>
      <w:pPr>
        <w:pStyle w:val="Compact"/>
        <w:numPr>
          <w:ilvl w:val="0"/>
          <w:numId w:val="1008"/>
        </w:numPr>
      </w:pPr>
      <w:r>
        <w:t xml:space="preserve">Photon: an open-source geocoder for OpenStreetMap data. https://github.com/komoot/photon</w:t>
      </w:r>
    </w:p>
    <w:p>
      <w:pPr>
        <w:pStyle w:val="Compact"/>
        <w:numPr>
          <w:ilvl w:val="0"/>
          <w:numId w:val="1008"/>
        </w:numPr>
      </w:pPr>
      <w:r>
        <w:t xml:space="preserve">PostGIS Tiger Geocoder, chapter 12 (Extras). https://postgis.net/docs/Extras.html</w:t>
      </w:r>
    </w:p>
    <w:p>
      <w:pPr>
        <w:pStyle w:val="Compact"/>
        <w:numPr>
          <w:ilvl w:val="0"/>
          <w:numId w:val="1008"/>
        </w:numPr>
      </w:pPr>
      <w:r>
        <w:t xml:space="preserve">pgGeocoder: a Japanese geocoder implemented entirely in PostgreSQL functions. https://github.com/mbasa/pgGeocoder</w:t>
      </w:r>
    </w:p>
    <w:p>
      <w:pPr>
        <w:pStyle w:val="Compact"/>
        <w:numPr>
          <w:ilvl w:val="0"/>
          <w:numId w:val="1008"/>
        </w:numPr>
      </w:pPr>
      <w:r>
        <w:t xml:space="preserve">PostGIS Tiger Geocoder 2025.1 release notes, June 2026. https://postgis.net/2026/06/PostGIS-Tiger-Geocoder-2025.1/</w:t>
      </w:r>
    </w:p>
    <w:p>
      <w:pPr>
        <w:pStyle w:val="Compact"/>
        <w:numPr>
          <w:ilvl w:val="0"/>
          <w:numId w:val="1008"/>
        </w:numPr>
      </w:pPr>
      <w:r>
        <w:t xml:space="preserve">address_standardizer: a PostGIS extension that parses addresses using lexicon, grammar and rule tables. https://postgis.net/docs/Address_Standardizer.html</w:t>
      </w:r>
    </w:p>
    <w:p>
      <w:pPr>
        <w:pStyle w:val="Compact"/>
        <w:numPr>
          <w:ilvl w:val="0"/>
          <w:numId w:val="1008"/>
        </w:numPr>
      </w:pPr>
      <w:r>
        <w:t xml:space="preserve">osmgeocoder: an OpenStreetMap and OpenAddresses geocoder using PostGIS, pg_trgm and fuzzystrmatch. https://github.com/dunkelstern/osmgeocoder</w:t>
      </w:r>
    </w:p>
    <w:p>
      <w:pPr>
        <w:pStyle w:val="Compact"/>
        <w:numPr>
          <w:ilvl w:val="0"/>
          <w:numId w:val="1008"/>
        </w:numPr>
      </w:pPr>
      <w:r>
        <w:t xml:space="preserve">fuzzystrmatch: soundex, metaphone, double metaphone and Levenshtein. PostgreSQL documentation. https://www.postgresql.org/docs/18/fuzzystrmatch.html</w:t>
      </w:r>
    </w:p>
    <w:p>
      <w:pPr>
        <w:pStyle w:val="Compact"/>
        <w:numPr>
          <w:ilvl w:val="0"/>
          <w:numId w:val="1008"/>
        </w:numPr>
      </w:pPr>
      <w:r>
        <w:t xml:space="preserve">moofish32/postgis-geocoder: a Docker packaging of the PostGIS TIGER geocoder. https://github.com/moofish32/postgis-geocoder</w:t>
      </w:r>
    </w:p>
    <w:p>
      <w:pPr>
        <w:pStyle w:val="Compact"/>
        <w:numPr>
          <w:ilvl w:val="0"/>
          <w:numId w:val="1008"/>
        </w:numPr>
      </w:pPr>
      <w:r>
        <w:t xml:space="preserve">MattTriano/postgis_geocoder: a Docker and Python packaging of the PostGIS TIGER geocoder. https://github.com/MattTriano/postgis_geocoder</w:t>
      </w:r>
    </w:p>
    <w:p>
      <w:pPr>
        <w:pStyle w:val="Compact"/>
        <w:numPr>
          <w:ilvl w:val="0"/>
          <w:numId w:val="1008"/>
        </w:numPr>
      </w:pPr>
      <w:r>
        <w:t xml:space="preserve">The road to Nominatim 6, July 2025. https://nominatim.org/2025/07/14/roadmap-nominatim6.html</w:t>
      </w:r>
    </w:p>
    <w:p>
      <w:pPr>
        <w:pStyle w:val="Compact"/>
        <w:numPr>
          <w:ilvl w:val="0"/>
          <w:numId w:val="1008"/>
        </w:numPr>
      </w:pPr>
      <w:r>
        <w:t xml:space="preserve">OpenCage geocoding foreign data wrapper for PostgreSQL (calls a remote API from SQL). https://blog.opencagedata.com/post/geocoding-in-postgresql</w:t>
      </w:r>
    </w:p>
    <w:p>
      <w:pPr>
        <w:pStyle w:val="Compact"/>
        <w:numPr>
          <w:ilvl w:val="0"/>
          <w:numId w:val="1008"/>
        </w:numPr>
      </w:pPr>
      <w:r>
        <w:t xml:space="preserve">libpostal: a C library for parsing and normalising street addresses, using statistical NLP. https://github.com/openvenues/libpostal</w:t>
      </w:r>
    </w:p>
    <w:p>
      <w:pPr>
        <w:pStyle w:val="Compact"/>
        <w:numPr>
          <w:ilvl w:val="0"/>
          <w:numId w:val="1008"/>
        </w:numPr>
      </w:pPr>
      <w:r>
        <w:t xml:space="preserve">Grafana k6: a load-testing tool with scripted virtual users. https://k6.io</w:t>
      </w:r>
    </w:p>
    <w:p>
      <w:pPr>
        <w:pStyle w:val="Compact"/>
        <w:numPr>
          <w:ilvl w:val="0"/>
          <w:numId w:val="1008"/>
        </w:numPr>
      </w:pPr>
      <w:r>
        <w:t xml:space="preserve">pg_trgm: trigram-based text similarity and indexing. PostgreSQL documentation. https://www.postgresql.org/docs/18/pgtrgm.html</w:t>
      </w:r>
    </w:p>
    <w:p>
      <w:pPr>
        <w:pStyle w:val="Compact"/>
        <w:numPr>
          <w:ilvl w:val="0"/>
          <w:numId w:val="1008"/>
        </w:numPr>
      </w:pPr>
      <w:r>
        <w:t xml:space="preserve">Who’s On First: an open gazetteer of places. https://whosonfirst.org</w:t>
      </w:r>
    </w:p>
    <w:p>
      <w:pPr>
        <w:pStyle w:val="Compact"/>
        <w:numPr>
          <w:ilvl w:val="0"/>
          <w:numId w:val="1008"/>
        </w:numPr>
      </w:pPr>
      <w:r>
        <w:t xml:space="preserve">OpenAddresses: a global collection of open address data. https://openaddresses.io</w:t>
      </w:r>
    </w:p>
    <w:p>
      <w:pPr>
        <w:pStyle w:val="Compact"/>
        <w:numPr>
          <w:ilvl w:val="0"/>
          <w:numId w:val="1008"/>
        </w:numPr>
      </w:pPr>
      <w:r>
        <w:t xml:space="preserve">USGS Geographic Names Information System (GNIS), Domestic Names. https://www.usgs.gov/us-board-on-geographic-names</w:t>
      </w:r>
    </w:p>
    <w:p>
      <w:pPr>
        <w:pStyle w:val="Compact"/>
        <w:numPr>
          <w:ilvl w:val="0"/>
          <w:numId w:val="1008"/>
        </w:numPr>
      </w:pPr>
      <w:r>
        <w:t xml:space="preserve">US Census Bureau, ZIP Code Tabulation Areas (ZCTA) gazetteer. https://www.census.gov/geographies/reference-files/time-series/geo/gazetteer-files.html</w:t>
      </w:r>
    </w:p>
    <w:p>
      <w:pPr>
        <w:pStyle w:val="Compact"/>
        <w:numPr>
          <w:ilvl w:val="0"/>
          <w:numId w:val="1008"/>
        </w:numPr>
      </w:pPr>
      <w:r>
        <w:t xml:space="preserve">DuckDB, used in the pgeo build to read Parquet and CSV sources. https://duckdb.org</w:t>
      </w:r>
    </w:p>
    <w:p>
      <w:pPr>
        <w:pStyle w:val="Compact"/>
        <w:numPr>
          <w:ilvl w:val="0"/>
          <w:numId w:val="1008"/>
        </w:numPr>
      </w:pPr>
      <w:r>
        <w:t xml:space="preserve">GDAL/OGR (ogr2ogr), used in the pgeo build to load spatial formats. https://gdal.org</w:t>
      </w:r>
    </w:p>
    <w:p>
      <w:pPr>
        <w:pStyle w:val="Compact"/>
        <w:numPr>
          <w:ilvl w:val="0"/>
          <w:numId w:val="1008"/>
        </w:numPr>
      </w:pPr>
      <w:r>
        <w:t xml:space="preserve">United States Postal Service, Publication 28: Postal Addressing Standards. https://pe.usps.com/text/pub28/welcome.htm</w:t>
      </w:r>
    </w:p>
    <w:p>
      <w:pPr>
        <w:pStyle w:val="Compact"/>
        <w:numPr>
          <w:ilvl w:val="0"/>
          <w:numId w:val="1008"/>
        </w:numPr>
      </w:pPr>
      <w:r>
        <w:t xml:space="preserve">United States Postal Service, ZIP+4 product and licence terms. https://postalpro.usps.com/address-quality/zip4</w:t>
      </w:r>
    </w:p>
    <w:bookmarkEnd w:id="141"/>
    <w:bookmarkStart w:id="142"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42"/>
    <w:bookmarkStart w:id="143"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3"/>
    <w:bookmarkStart w:id="144"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90" Target="media/rId90.png" /><Relationship Type="http://schemas.openxmlformats.org/officeDocument/2006/relationships/image" Id="rId34" Target="media/rId34.png" /><Relationship Type="http://schemas.openxmlformats.org/officeDocument/2006/relationships/image" Id="rId105" Target="media/rId105.png" /><Relationship Type="http://schemas.openxmlformats.org/officeDocument/2006/relationships/image" Id="rId75" Target="media/rId75.png" /><Relationship Type="http://schemas.openxmlformats.org/officeDocument/2006/relationships/image" Id="rId9" Target="media/rId9.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10" Target="media/rId110.png" /><Relationship Type="http://schemas.openxmlformats.org/officeDocument/2006/relationships/image" Id="rId25" Target="media/rId25.png" /><Relationship Type="http://schemas.openxmlformats.org/officeDocument/2006/relationships/image" Id="rId72" Target="media/rId72.png" /><Relationship Type="http://schemas.openxmlformats.org/officeDocument/2006/relationships/image" Id="rId39" Target="media/rId39.png" /><Relationship Type="http://schemas.openxmlformats.org/officeDocument/2006/relationships/image" Id="rId78" Target="media/rId78.png" /><Relationship Type="http://schemas.openxmlformats.org/officeDocument/2006/relationships/image" Id="rId64" Target="media/rId64.png" /><Relationship Type="http://schemas.openxmlformats.org/officeDocument/2006/relationships/hyperlink" Id="rId100" Target="https://aws.amazon.com/lightsail/pricing/" TargetMode="External" /><Relationship Type="http://schemas.openxmlformats.org/officeDocument/2006/relationships/hyperlink" Id="rId101" Target="https://docs.oracle.com/en-us/iaas/Content/FreeTier/freetier_topic-Always_Free_Resources.htm" TargetMode="External" /><Relationship Type="http://schemas.openxmlformats.org/officeDocument/2006/relationships/hyperlink" Id="rId96" Target="https://techdocs.akamai.com/cloud-computing/docs/shared-cpu-compute-instances" TargetMode="External" /><Relationship Type="http://schemas.openxmlformats.org/officeDocument/2006/relationships/hyperlink" Id="rId97" Target="https://www.digitalocean.com/pricing/droplets" TargetMode="External" /><Relationship Type="http://schemas.openxmlformats.org/officeDocument/2006/relationships/hyperlink" Id="rId99" Target="https://www.hetzner.com/cloud/" TargetMode="External" /><Relationship Type="http://schemas.openxmlformats.org/officeDocument/2006/relationships/hyperlink" Id="rId98"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100" Target="https://aws.amazon.com/lightsail/pricing/" TargetMode="External" /><Relationship Type="http://schemas.openxmlformats.org/officeDocument/2006/relationships/hyperlink" Id="rId101" Target="https://docs.oracle.com/en-us/iaas/Content/FreeTier/freetier_topic-Always_Free_Resources.htm" TargetMode="External" /><Relationship Type="http://schemas.openxmlformats.org/officeDocument/2006/relationships/hyperlink" Id="rId96" Target="https://techdocs.akamai.com/cloud-computing/docs/shared-cpu-compute-instances" TargetMode="External" /><Relationship Type="http://schemas.openxmlformats.org/officeDocument/2006/relationships/hyperlink" Id="rId97" Target="https://www.digitalocean.com/pricing/droplets" TargetMode="External" /><Relationship Type="http://schemas.openxmlformats.org/officeDocument/2006/relationships/hyperlink" Id="rId99" Target="https://www.hetzner.com/cloud/" TargetMode="External" /><Relationship Type="http://schemas.openxmlformats.org/officeDocument/2006/relationships/hyperlink" Id="rId98"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2026-09-21T12:04:34Z</dcterms:created>
  <dcterms:modified xsi:type="dcterms:W3CDTF">2026-09-21T12:04:34Z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