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0.png" ContentType="image/png"/>
  <Override PartName="/word/media/rId54.png" ContentType="image/png"/>
  <Override PartName="/word/media/rId109.png" ContentType="image/png"/>
  <Override PartName="/word/media/rId86.png" ContentType="image/png"/>
  <Override PartName="/word/media/rId32.png" ContentType="image/png"/>
  <Override PartName="/word/media/rId101.png" ContentType="image/png"/>
  <Override PartName="/word/media/rId71.png" ContentType="image/png"/>
  <Override PartName="/word/media/rId9.png" ContentType="image/png"/>
  <Override PartName="/word/media/rId51.png" ContentType="image/png"/>
  <Override PartName="/word/media/rId27.png" ContentType="image/png"/>
  <Override PartName="/word/media/rId64.png" ContentType="image/png"/>
  <Override PartName="/word/media/rId83.png" ContentType="image/png"/>
  <Override PartName="/word/media/rId105.png" ContentType="image/png"/>
  <Override PartName="/word/media/rId23.png" ContentType="image/png"/>
  <Override PartName="/word/media/rId68.png" ContentType="image/png"/>
  <Override PartName="/word/media/rId37.png" ContentType="image/png"/>
  <Override PartName="/word/media/rId7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moofish32/postgis-geocoder[8]</w:t>
            </w:r>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r>
              <w:t xml:space="preserve">Nominatim[9]</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roadmap[10]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[11]</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[12]</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word[13].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First[14],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OpenAddresses[15], the open collection of address points</w:t>
            </w:r>
          </w:p>
        </w:tc>
      </w:tr>
      <w:tr>
        <w:tc>
          <w:tcPr/>
          <w:p>
            <w:pPr>
              <w:pStyle w:val="Compact"/>
            </w:pPr>
            <w:r>
              <w:rPr>
                <w:b/>
                <w:bCs/>
              </w:rPr>
              <w:t xml:space="preserve">GNIS</w:t>
            </w:r>
          </w:p>
        </w:tc>
        <w:tc>
          <w:tcPr/>
          <w:p>
            <w:pPr>
              <w:pStyle w:val="Compact"/>
            </w:pPr>
            <w:r>
              <w:t xml:space="preserve">The USGS Geographic Names Information System[16]: lakes, summits, streams and populated places</w:t>
            </w:r>
          </w:p>
        </w:tc>
      </w:tr>
      <w:tr>
        <w:tc>
          <w:tcPr/>
          <w:p>
            <w:pPr>
              <w:pStyle w:val="Compact"/>
            </w:pPr>
            <w:r>
              <w:rPr>
                <w:b/>
                <w:bCs/>
              </w:rPr>
              <w:t xml:space="preserve">ZCTA</w:t>
            </w:r>
          </w:p>
        </w:tc>
        <w:tc>
          <w:tcPr/>
          <w:p>
            <w:pPr>
              <w:pStyle w:val="Compact"/>
            </w:pPr>
            <w:r>
              <w:t xml:space="preserve">ZIP Code Tabulation Area[17],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4"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6"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DuckDB[18], ogr2ogr[19]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1"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r>
        <w:t xml:space="preserve"> </w:t>
      </w:r>
      <w:r>
        <w:t xml:space="preserve">#### 2.5.1 Caching</w:t>
      </w:r>
    </w:p>
    <w:p>
      <w:pPr>
        <w:pStyle w:val="BodyText"/>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Start w:id="40"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0"/>
    <w:bookmarkEnd w:id="41"/>
    <w:bookmarkStart w:id="42"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2"/>
    <w:bookmarkStart w:id="43"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r>
        <w:t xml:space="preserve"> </w:t>
      </w:r>
      <w:r>
        <w:t xml:space="preserve">#### 2.7.1 Parallelism</w:t>
      </w:r>
    </w:p>
    <w:p>
      <w:pPr>
        <w:pStyle w:val="BodyText"/>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3"/>
    <w:bookmarkEnd w:id="44"/>
    <w:bookmarkStart w:id="124"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59"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6" name="Picture"/>
            <a:graphic>
              <a:graphicData uri="http://schemas.openxmlformats.org/drawingml/2006/picture">
                <pic:pic>
                  <pic:nvPicPr>
                    <pic:cNvPr descr="report_figures/fig_accuracy_category.png" id="47" name="Picture"/>
                    <pic:cNvPicPr>
                      <a:picLocks noChangeArrowheads="1" noChangeAspect="1"/>
                    </pic:cNvPicPr>
                  </pic:nvPicPr>
                  <pic:blipFill>
                    <a:blip r:embed="rId45"/>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49" name="Picture"/>
            <a:graphic>
              <a:graphicData uri="http://schemas.openxmlformats.org/drawingml/2006/picture">
                <pic:pic>
                  <pic:nvPicPr>
                    <pic:cNvPr descr="report_figures/fig_accuracy_quality.png" id="50" name="Picture"/>
                    <pic:cNvPicPr>
                      <a:picLocks noChangeArrowheads="1" noChangeAspect="1"/>
                    </pic:cNvPicPr>
                  </pic:nvPicPr>
                  <pic:blipFill>
                    <a:blip r:embed="rId48"/>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2" name="Picture"/>
            <a:graphic>
              <a:graphicData uri="http://schemas.openxmlformats.org/drawingml/2006/picture">
                <pic:pic>
                  <pic:nvPicPr>
                    <pic:cNvPr descr="report_figures/fig_fuzz.png" id="53" name="Picture"/>
                    <pic:cNvPicPr>
                      <a:picLocks noChangeArrowheads="1" noChangeAspect="1"/>
                    </pic:cNvPicPr>
                  </pic:nvPicPr>
                  <pic:blipFill>
                    <a:blip r:embed="rId51"/>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7"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5" name="Picture"/>
            <a:graphic>
              <a:graphicData uri="http://schemas.openxmlformats.org/drawingml/2006/picture">
                <pic:pic>
                  <pic:nvPicPr>
                    <pic:cNvPr descr="report_figures/fig_calibration.png" id="56" name="Picture"/>
                    <pic:cNvPicPr>
                      <a:picLocks noChangeArrowheads="1" noChangeAspect="1"/>
                    </pic:cNvPicPr>
                  </pic:nvPicPr>
                  <pic:blipFill>
                    <a:blip r:embed="rId54"/>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7"/>
    <w:bookmarkStart w:id="58"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58"/>
    <w:bookmarkEnd w:id="59"/>
    <w:bookmarkStart w:id="63"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1" name="Picture"/>
            <a:graphic>
              <a:graphicData uri="http://schemas.openxmlformats.org/drawingml/2006/picture">
                <pic:pic>
                  <pic:nvPicPr>
                    <pic:cNvPr descr="report_figures/fig_tuning.png" id="62" name="Picture"/>
                    <pic:cNvPicPr>
                      <a:picLocks noChangeArrowheads="1" noChangeAspect="1"/>
                    </pic:cNvPicPr>
                  </pic:nvPicPr>
                  <pic:blipFill>
                    <a:blip r:embed="rId60"/>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3"/>
    <w:bookmarkStart w:id="67"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5" name="Picture"/>
            <a:graphic>
              <a:graphicData uri="http://schemas.openxmlformats.org/drawingml/2006/picture">
                <pic:pic>
                  <pic:nvPicPr>
                    <pic:cNvPr descr="report_figures/fig_latency_3users.png" id="66" name="Picture"/>
                    <pic:cNvPicPr>
                      <a:picLocks noChangeArrowheads="1" noChangeAspect="1"/>
                    </pic:cNvPicPr>
                  </pic:nvPicPr>
                  <pic:blipFill>
                    <a:blip r:embed="rId64"/>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7"/>
    <w:bookmarkStart w:id="82"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69" name="Picture"/>
            <a:graphic>
              <a:graphicData uri="http://schemas.openxmlformats.org/drawingml/2006/picture">
                <pic:pic>
                  <pic:nvPicPr>
                    <pic:cNvPr descr="report_figures/fig_ramp.png" id="70" name="Picture"/>
                    <pic:cNvPicPr>
                      <a:picLocks noChangeArrowheads="1" noChangeAspect="1"/>
                    </pic:cNvPicPr>
                  </pic:nvPicPr>
                  <pic:blipFill>
                    <a:blip r:embed="rId68"/>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2" name="Picture"/>
            <a:graphic>
              <a:graphicData uri="http://schemas.openxmlformats.org/drawingml/2006/picture">
                <pic:pic>
                  <pic:nvPicPr>
                    <pic:cNvPr descr="report_figures/fig_endpoint_ramp.png" id="73" name="Picture"/>
                    <pic:cNvPicPr>
                      <a:picLocks noChangeArrowheads="1" noChangeAspect="1"/>
                    </pic:cNvPicPr>
                  </pic:nvPicPr>
                  <pic:blipFill>
                    <a:blip r:embed="rId71"/>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5" name="Picture"/>
            <a:graphic>
              <a:graphicData uri="http://schemas.openxmlformats.org/drawingml/2006/picture">
                <pic:pic>
                  <pic:nvPicPr>
                    <pic:cNvPr descr="report_figures/fig_throughput.png" id="76" name="Picture"/>
                    <pic:cNvPicPr>
                      <a:picLocks noChangeArrowheads="1" noChangeAspect="1"/>
                    </pic:cNvPicPr>
                  </pic:nvPicPr>
                  <pic:blipFill>
                    <a:blip r:embed="rId74"/>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7"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77"/>
    <w:bookmarkStart w:id="78"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78"/>
    <w:bookmarkStart w:id="79"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79"/>
    <w:bookmarkStart w:id="80"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0"/>
    <w:bookmarkStart w:id="81"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1"/>
    <w:bookmarkEnd w:id="82"/>
    <w:bookmarkStart w:id="100"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4" name="Picture"/>
            <a:graphic>
              <a:graphicData uri="http://schemas.openxmlformats.org/drawingml/2006/picture">
                <pic:pic>
                  <pic:nvPicPr>
                    <pic:cNvPr descr="report_figures/fig_memory.png" id="85" name="Picture"/>
                    <pic:cNvPicPr>
                      <a:picLocks noChangeArrowheads="1" noChangeAspect="1"/>
                    </pic:cNvPicPr>
                  </pic:nvPicPr>
                  <pic:blipFill>
                    <a:blip r:embed="rId83"/>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7" name="Picture"/>
            <a:graphic>
              <a:graphicData uri="http://schemas.openxmlformats.org/drawingml/2006/picture">
                <pic:pic>
                  <pic:nvPicPr>
                    <pic:cNvPr descr="report_figures/fig_cpu.png" id="88" name="Picture"/>
                    <pic:cNvPicPr>
                      <a:picLocks noChangeArrowheads="1" noChangeAspect="1"/>
                    </pic:cNvPicPr>
                  </pic:nvPicPr>
                  <pic:blipFill>
                    <a:blip r:embed="rId86"/>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89" w:name="resource-requirements"/>
    <w:p>
      <w:pPr>
        <w:pStyle w:val="Heading4"/>
      </w:pPr>
      <w:r>
        <w:t xml:space="preserve">Resource requirements</w:t>
      </w:r>
    </w:p>
    <w:bookmarkEnd w:id="89"/>
    <w:bookmarkStart w:id="90"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0"/>
    <w:bookmarkStart w:id="91"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1"/>
    <w:bookmarkStart w:id="98"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2">
        <w:r>
          <w:rPr>
            <w:rStyle w:val="Hyperlink"/>
          </w:rPr>
          <w:t xml:space="preserve">Linode/Akamai</w:t>
        </w:r>
      </w:hyperlink>
      <w:r>
        <w:t xml:space="preserve">,</w:t>
      </w:r>
      <w:r>
        <w:t xml:space="preserve"> </w:t>
      </w:r>
      <w:hyperlink r:id="rId93">
        <w:r>
          <w:rPr>
            <w:rStyle w:val="Hyperlink"/>
          </w:rPr>
          <w:t xml:space="preserve">DigitalOcean</w:t>
        </w:r>
      </w:hyperlink>
      <w:r>
        <w:t xml:space="preserve">,</w:t>
      </w:r>
      <w:r>
        <w:t xml:space="preserve"> </w:t>
      </w:r>
      <w:hyperlink r:id="rId94">
        <w:r>
          <w:rPr>
            <w:rStyle w:val="Hyperlink"/>
          </w:rPr>
          <w:t xml:space="preserve">Vultr</w:t>
        </w:r>
      </w:hyperlink>
      <w:r>
        <w:t xml:space="preserve">,</w:t>
      </w:r>
      <w:r>
        <w:t xml:space="preserve"> </w:t>
      </w:r>
      <w:hyperlink r:id="rId95">
        <w:r>
          <w:rPr>
            <w:rStyle w:val="Hyperlink"/>
          </w:rPr>
          <w:t xml:space="preserve">Hetzner</w:t>
        </w:r>
      </w:hyperlink>
      <w:r>
        <w:t xml:space="preserve">,</w:t>
      </w:r>
      <w:r>
        <w:t xml:space="preserve"> </w:t>
      </w:r>
      <w:hyperlink r:id="rId96">
        <w:r>
          <w:rPr>
            <w:rStyle w:val="Hyperlink"/>
          </w:rPr>
          <w:t xml:space="preserve">AWS Lightsail</w:t>
        </w:r>
      </w:hyperlink>
      <w:r>
        <w:t xml:space="preserve">,</w:t>
      </w:r>
      <w:r>
        <w:t xml:space="preserve"> </w:t>
      </w:r>
      <w:hyperlink r:id="rId97">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98"/>
    <w:bookmarkStart w:id="99"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capacity against data volume was not measured for pgeo (Next steps).</w:t>
      </w:r>
      <w:r>
        <w:t xml:space="preserve"> </w:t>
      </w:r>
      <w:r>
        <w:t xml:space="preserve">Doubling the data (for example adding New Hampshire) roughly doubles both stores; for Pelias the</w:t>
      </w:r>
      <w:r>
        <w:t xml:space="preserve"> </w:t>
      </w:r>
      <w:r>
        <w:t xml:space="preserve">extra venues and names cost capacity per query, and for pgeo the trigram candidate sets grow in the</w:t>
      </w:r>
      <w:r>
        <w:t xml:space="preserve"> </w:t>
      </w:r>
      <w:r>
        <w:t xml:space="preserve">same way, so both need more CPU per user as coverage grows.</w:t>
      </w:r>
    </w:p>
    <w:bookmarkEnd w:id="99"/>
    <w:bookmarkEnd w:id="100"/>
    <w:bookmarkStart w:id="104"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2" name="Picture"/>
            <a:graphic>
              <a:graphicData uri="http://schemas.openxmlformats.org/drawingml/2006/picture">
                <pic:pic>
                  <pic:nvPicPr>
                    <pic:cNvPr descr="report_figures/fig_datavol.png" id="103" name="Picture"/>
                    <pic:cNvPicPr>
                      <a:picLocks noChangeArrowheads="1" noChangeAspect="1"/>
                    </pic:cNvPicPr>
                  </pic:nvPicPr>
                  <pic:blipFill>
                    <a:blip r:embed="rId101"/>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4"/>
    <w:bookmarkStart w:id="108"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06" name="Picture"/>
            <a:graphic>
              <a:graphicData uri="http://schemas.openxmlformats.org/drawingml/2006/picture">
                <pic:pic>
                  <pic:nvPicPr>
                    <pic:cNvPr descr="report_figures/fig_qtype.png" id="107" name="Picture"/>
                    <pic:cNvPicPr>
                      <a:picLocks noChangeArrowheads="1" noChangeAspect="1"/>
                    </pic:cNvPicPr>
                  </pic:nvPicPr>
                  <pic:blipFill>
                    <a:blip r:embed="rId105"/>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08"/>
    <w:bookmarkStart w:id="112"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0" name="Picture"/>
            <a:graphic>
              <a:graphicData uri="http://schemas.openxmlformats.org/drawingml/2006/picture">
                <pic:pic>
                  <pic:nvPicPr>
                    <pic:cNvPr descr="report_figures/fig_compat.png" id="111" name="Picture"/>
                    <pic:cNvPicPr>
                      <a:picLocks noChangeArrowheads="1" noChangeAspect="1"/>
                    </pic:cNvPicPr>
                  </pic:nvPicPr>
                  <pic:blipFill>
                    <a:blip r:embed="rId109"/>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31.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2"/>
    <w:bookmarkStart w:id="115"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3"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28[20]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3"/>
    <w:bookmarkStart w:id="114" w:name="zip4"/>
    <w:p>
      <w:pPr>
        <w:pStyle w:val="Heading4"/>
      </w:pPr>
      <w:r>
        <w:t xml:space="preserve">3.9.2 ZIP+4</w:t>
      </w:r>
    </w:p>
    <w:p>
      <w:pPr>
        <w:pStyle w:val="FirstParagraph"/>
      </w:pPr>
      <w:r>
        <w:t xml:space="preserve">The USPS ZIP+4 file[21]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4"/>
    <w:bookmarkEnd w:id="115"/>
    <w:bookmarkStart w:id="116"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32.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33.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34.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6"/>
    <w:bookmarkStart w:id="117"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35.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34).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17"/>
    <w:bookmarkStart w:id="121"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36 is the whole path, pass and fail.</w:t>
      </w:r>
    </w:p>
    <w:p>
      <w:pPr>
        <w:pStyle w:val="BodyText"/>
      </w:pPr>
      <w:r>
        <w:rPr>
          <w:b/>
          <w:bCs/>
        </w:rPr>
        <w:t xml:space="preserve">Table 36.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18"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18"/>
    <w:bookmarkStart w:id="119"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19"/>
    <w:bookmarkStart w:id="120"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37.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0"/>
    <w:bookmarkEnd w:id="121"/>
    <w:bookmarkStart w:id="123"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38.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2"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2"/>
    <w:bookmarkEnd w:id="123"/>
    <w:bookmarkEnd w:id="124"/>
    <w:bookmarkStart w:id="125"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5"/>
    <w:bookmarkStart w:id="126"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39.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pgeo’s per-query cost grows with candidates</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6"/>
    <w:bookmarkStart w:id="128"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40.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27"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27"/>
    <w:bookmarkEnd w:id="128"/>
    <w:bookmarkStart w:id="134"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29"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41.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42.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29"/>
    <w:bookmarkStart w:id="130"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0"/>
    <w:bookmarkStart w:id="131"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1"/>
    <w:bookmarkStart w:id="132"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2"/>
    <w:bookmarkStart w:id="133"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3"/>
    <w:bookmarkEnd w:id="134"/>
    <w:bookmarkStart w:id="135"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5"/>
    <w:bookmarkStart w:id="136"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6"/>
    <w:bookmarkStart w:id="137"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43.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37"/>
    <w:bookmarkStart w:id="138"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44.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45.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109" Target="media/rId109.png" /><Relationship Type="http://schemas.openxmlformats.org/officeDocument/2006/relationships/image" Id="rId86" Target="media/rId86.png" /><Relationship Type="http://schemas.openxmlformats.org/officeDocument/2006/relationships/image" Id="rId32" Target="media/rId32.png" /><Relationship Type="http://schemas.openxmlformats.org/officeDocument/2006/relationships/image" Id="rId101" Target="media/rId101.png" /><Relationship Type="http://schemas.openxmlformats.org/officeDocument/2006/relationships/image" Id="rId71" Target="media/rId71.png" /><Relationship Type="http://schemas.openxmlformats.org/officeDocument/2006/relationships/image" Id="rId9" Target="media/rId9.png" /><Relationship Type="http://schemas.openxmlformats.org/officeDocument/2006/relationships/image" Id="rId51" Target="media/rId51.png" /><Relationship Type="http://schemas.openxmlformats.org/officeDocument/2006/relationships/image" Id="rId27" Target="media/rId27.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105" Target="media/rId105.png" /><Relationship Type="http://schemas.openxmlformats.org/officeDocument/2006/relationships/image" Id="rId23" Target="media/rId23.png" /><Relationship Type="http://schemas.openxmlformats.org/officeDocument/2006/relationships/image" Id="rId68" Target="media/rId68.png" /><Relationship Type="http://schemas.openxmlformats.org/officeDocument/2006/relationships/image" Id="rId37" Target="media/rId37.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hyperlink" Id="rId96" Target="https://aws.amazon.com/lightsail/pricing/" TargetMode="External" /><Relationship Type="http://schemas.openxmlformats.org/officeDocument/2006/relationships/hyperlink" Id="rId97" Target="https://docs.oracle.com/en-us/iaas/Content/FreeTier/freetier_topic-Always_Free_Resources.htm" TargetMode="External" /><Relationship Type="http://schemas.openxmlformats.org/officeDocument/2006/relationships/hyperlink" Id="rId92" Target="https://techdocs.akamai.com/cloud-computing/docs/shared-cpu-compute-instances" TargetMode="External" /><Relationship Type="http://schemas.openxmlformats.org/officeDocument/2006/relationships/hyperlink" Id="rId93" Target="https://www.digitalocean.com/pricing/droplets" TargetMode="External" /><Relationship Type="http://schemas.openxmlformats.org/officeDocument/2006/relationships/hyperlink" Id="rId95" Target="https://www.hetzner.com/cloud/" TargetMode="External" /><Relationship Type="http://schemas.openxmlformats.org/officeDocument/2006/relationships/hyperlink" Id="rId94"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6" Target="https://aws.amazon.com/lightsail/pricing/" TargetMode="External" /><Relationship Type="http://schemas.openxmlformats.org/officeDocument/2006/relationships/hyperlink" Id="rId97" Target="https://docs.oracle.com/en-us/iaas/Content/FreeTier/freetier_topic-Always_Free_Resources.htm" TargetMode="External" /><Relationship Type="http://schemas.openxmlformats.org/officeDocument/2006/relationships/hyperlink" Id="rId92" Target="https://techdocs.akamai.com/cloud-computing/docs/shared-cpu-compute-instances" TargetMode="External" /><Relationship Type="http://schemas.openxmlformats.org/officeDocument/2006/relationships/hyperlink" Id="rId93" Target="https://www.digitalocean.com/pricing/droplets" TargetMode="External" /><Relationship Type="http://schemas.openxmlformats.org/officeDocument/2006/relationships/hyperlink" Id="rId95" Target="https://www.hetzner.com/cloud/" TargetMode="External" /><Relationship Type="http://schemas.openxmlformats.org/officeDocument/2006/relationships/hyperlink" Id="rId94"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2026-09-21T01:32:21Z</dcterms:created>
  <dcterms:modified xsi:type="dcterms:W3CDTF">2026-09-21T01:32:21Z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