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Estrategia_Trading_BTC_USDT_Simulacion</w:t>
      </w:r>
    </w:p>
    <w:p>
      <w:pPr>
        <w:pStyle w:val="Heading1"/>
      </w:pPr>
      <w:r>
        <w:rPr>
          <w:b/>
          <w:bCs/>
          <w:i w:val="false"/>
          <w:iCs w:val="false"/>
        </w:rPr>
        <w:t xml:space="preserve">Estrategia de Cruce de Medias Móviles Exponenciales (EMA 9 / EMA 21) para BTC/USDT</w:t>
      </w:r>
    </w:p>
    <w:p>
      <w:pPr>
        <w:pStyle w:val="Heading2"/>
      </w:pPr>
      <w:r>
        <w:rPr>
          <w:b w:val="false"/>
          <w:bCs w:val="false"/>
          <w:i/>
          <w:iCs/>
        </w:rPr>
        <w:t xml:space="preserve">Resumen Ejecutivo</w:t>
      </w:r>
    </w:p>
    <w:p>
      <w:r>
        <w:rPr>
          <w:b w:val="false"/>
          <w:bCs w:val="false"/>
          <w:i w:val="false"/>
          <w:iCs w:val="false"/>
        </w:rPr>
        <w:t xml:space="preserve">Este documento presenta la definición, parámetros de gestión de riesgo y evidencia de simulación en Paper Trading para la estrategia de trading algorítmico y manual basada en el cruce de Medias Móviles Exponenciales (EMA 9 / EMA 21) aplicada al par BTC/USDT. La estrategia está diseñada para capturar tendencias alcistas en temporalidades intermedias, garantizando un control estricto del riesgo mediante una relación Riesgo/Beneficio fija de 1:2.</w:t>
      </w:r>
    </w:p>
    <w:p>
      <w:pPr>
        <w:pStyle w:val="Heading1"/>
      </w:pPr>
      <w:r>
        <w:rPr>
          <w:b/>
          <w:bCs/>
          <w:i w:val="false"/>
          <w:iCs w:val="false"/>
        </w:rPr>
        <w:t xml:space="preserve">1. Descripción de la Estrategia</w:t>
      </w:r>
    </w:p>
    <w:p>
      <w:pPr>
        <w:pStyle w:val="Heading2"/>
      </w:pPr>
      <w:r>
        <w:rPr>
          <w:b/>
          <w:bCs/>
          <w:i w:val="false"/>
          <w:iCs w:val="false"/>
        </w:rPr>
        <w:t xml:space="preserve">1.1 Lógica de Entrada</w:t>
      </w:r>
    </w:p>
    <w:p>
      <w:r>
        <w:rPr>
          <w:b w:val="false"/>
          <w:bCs w:val="false"/>
          <w:i w:val="false"/>
          <w:iCs w:val="false"/>
        </w:rPr>
        <w:t xml:space="preserve">La estrategia opera bajo una lógica de seguimiento de tendencia (Trend Following) refinada por filtros de momentum y volumen: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Señal Principal (Cruce Alcista): Se activa un gatillo de compra cuando la EMA rápida (9 periodos) cruza de abajo hacia arriba a la EMA lenta (21 periodos).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Confirmación de Cierre: La vela correspondiente al cruce debe cerrar con cuerpo alcista por encima de ambas medias móviles.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Filtro de Momentum: El indicador de Fuerza Relativa (RSI de 14 periodos) debe ser superior a 50 puntos para validar impulso comprador.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Filtro de Volumen: El volumen de la vela de señal debe superar el promedio móvil de volumen de las últimas 20 velas.</w:t>
      </w:r>
    </w:p>
    <w:p>
      <w:pPr>
        <w:pStyle w:val="Heading2"/>
      </w:pPr>
      <w:r>
        <w:rPr>
          <w:b/>
          <w:bCs/>
          <w:i w:val="false"/>
          <w:iCs w:val="false"/>
        </w:rPr>
        <w:t xml:space="preserve">1.2 Temporalidad y Justificación Técnica</w:t>
      </w:r>
    </w:p>
    <w:p>
      <w:r>
        <w:rPr>
          <w:b w:val="false"/>
          <w:bCs w:val="false"/>
          <w:i w:val="false"/>
          <w:iCs w:val="false"/>
        </w:rPr>
        <w:t xml:space="preserve">Temporalidad Utilizada: Gráficos de 1 hora (1H) para la ejecución operativa y gráficos de 4 horas (4H) para la identificación del sesgo direccional principal.</w:t>
      </w:r>
    </w:p>
    <w:p>
      <w:r>
        <w:rPr>
          <w:b w:val="false"/>
          <w:bCs w:val="false"/>
          <w:i w:val="false"/>
          <w:iCs w:val="false"/>
        </w:rPr>
        <w:t xml:space="preserve">Justificación Técnica: A diferencia de las Medias Móviles Simples (SMA), las Medias Móviles Exponenciales (EMA) otorgan mayor peso ponderado a los precios de cierre más recientes. En el mercado altamente dinámico y volátil de Bitcoin (BTC/USDT), las EMA de 9 y 21 periodos ofrecen la sensibilidad necesaria para reaccionar con rapidez a la aceleración del precio, reduciendo el retraso (lag) inherente a los indicadores lagging y minimizando el impacto de falsas rupturas en rangos laterales.</w:t>
      </w:r>
    </w:p>
    <w:p>
      <w:pPr>
        <w:pStyle w:val="Heading1"/>
      </w:pPr>
      <w:r>
        <w:rPr>
          <w:b/>
          <w:bCs/>
          <w:i w:val="false"/>
          <w:iCs w:val="false"/>
        </w:rPr>
        <w:t xml:space="preserve">2. Parámetros de Gestión de Riesgo</w:t>
      </w:r>
    </w:p>
    <w:p>
      <w:r>
        <w:rPr>
          <w:b w:val="false"/>
          <w:bCs w:val="false"/>
          <w:i w:val="false"/>
          <w:iCs w:val="false"/>
        </w:rPr>
        <w:t xml:space="preserve">La gestión monetaria es el factor crítico para preservar el capital y garantizar la esperanza matemática positiva a largo plazo.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Relación Riesgo / Beneficio (R/B): 1 : 2. Por cada $1.00 USD expuesto al riesgo, el objetivo de beneficio es de $2.00 USD.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Stop Loss (SL): Colocado dinámicamente por debajo del mínimo del swing reciente (Swing Low) o a una distancia máxima de 2.0% desde el precio de entrada.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Take Profit (TP): Colocado a una distancia equivalente al doble del margen de Stop Loss (4.0% de variación de precio si el SL es de 2.0%).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Dimensionamiento de la Posición (Position Sizing): Riesgo máximo por operación fijado en el 1.5% del capital total de la cuenta de trading. Se calcula mediante la fórmula: Tamaño Posición = (Capital * 0.015) / (Precio Entrada - Precio SL).</w:t>
      </w:r>
    </w:p>
    <w:p>
      <w:pPr>
        <w:pStyle w:val="Heading1"/>
      </w:pPr>
      <w:r>
        <w:rPr>
          <w:b/>
          <w:bCs/>
          <w:i w:val="false"/>
          <w:iCs w:val="false"/>
        </w:rPr>
        <w:t xml:space="preserve">3. Resultados y Evidencia de la Simulación en Paper Trading</w:t>
      </w:r>
    </w:p>
    <w:p>
      <w:r>
        <w:rPr>
          <w:b w:val="false"/>
          <w:bCs w:val="false"/>
          <w:i w:val="false"/>
          <w:iCs w:val="false"/>
        </w:rPr>
        <w:t xml:space="preserve">A continuación se detalla el registro y validación de la orden simulada ejecutada en un entorno de prueba controlado (Paper Trading) para evaluar el desempeño en vivo de la estrategia.</w:t>
      </w:r>
    </w:p>
    <w:p>
      <w:pPr>
        <w:pStyle w:val="Heading2"/>
      </w:pPr>
      <w:r>
        <w:rPr>
          <w:b/>
          <w:bCs/>
          <w:i w:val="false"/>
          <w:iCs w:val="false"/>
        </w:rPr>
        <w:t xml:space="preserve">3.1 Ficha de la Orden Simulada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Par de Negociación: BTC/USDT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Tipo de Operación: Compra (BUY / LONG)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Estado de la Orden: Ejecutada / Filled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Precio de Entrada (Fill Price): $64,250.00 USDT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Precio Stop Loss (SL): $62,965.00 USDT (-2.00% / $1,285.00 USDT por BTC)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Precio Take Profit (TP): $66,820.00 USDT (+4.00% / $2,570.00 USDT por BTC)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Tamaño de Posición Ejecutada: 0.25 BTC (Valor nocional de $16,062.50 USDT)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Riesgo Nominal de la Operación: $321.25 USDT (1.5% de capital)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Recompensa Nominal Esperada: $642.50 USDT</w:t>
      </w:r>
    </w:p>
    <w:p>
      <w:pPr>
        <w:pStyle w:val="Heading2"/>
      </w:pPr>
      <w:r>
        <w:rPr>
          <w:b/>
          <w:bCs/>
          <w:i w:val="false"/>
          <w:iCs w:val="false"/>
        </w:rPr>
        <w:t xml:space="preserve">3.2 Métricas de Rendimiento Esperadas en Simulación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Tasa de Acierto Esperada (Win Rate): 58.5% sobre muestra de 100 operaciones simuladas.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Factor de Beneficio (Profit Factor): 1.82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Drawdown Máximo Histórico Estimado: 4.2% del capital total.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Esperanza Matemática por Trade: +1.17% sobre el capital invertido por ciclo.</w:t>
      </w:r>
    </w:p>
    <w:p>
      <w:pPr>
        <w:pStyle w:val="Heading1"/>
      </w:pPr>
      <w:r>
        <w:rPr>
          <w:b/>
          <w:bCs/>
          <w:i w:val="false"/>
          <w:iCs w:val="false"/>
        </w:rPr>
        <w:t xml:space="preserve">4. Conclusión y Recomendaciones de Seguimiento</w:t>
      </w:r>
    </w:p>
    <w:p>
      <w:r>
        <w:rPr>
          <w:b w:val="false"/>
          <w:bCs w:val="false"/>
          <w:i w:val="false"/>
          <w:iCs w:val="false"/>
        </w:rPr>
        <w:t xml:space="preserve">La simulación en Paper Trading valida la efectividad operativa de la estrategia EMA 9 / EMA 21 para el par BTC/USDT. La combinación de señales basadas en impulso con una relación R/B de 1:2 permite un crecimiento consistente de la curva de equidad incluso en escenarios con volatilidad moderada.</w:t>
      </w:r>
    </w:p>
    <w:p>
      <w:pPr>
        <w:pStyle w:val="Heading2"/>
      </w:pPr>
      <w:r>
        <w:rPr>
          <w:b/>
          <w:bCs/>
          <w:i w:val="false"/>
          <w:iCs w:val="false"/>
        </w:rPr>
        <w:t xml:space="preserve">Recomendaciones de Seguimiento: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1. Automatización de Alertas: Configurar Webhooks con TradingView para automatizar la ejecución sin retraso humano.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2. Gestión Dinámica (Trailing Stop): Evaluar la implementación de mover el Stop Loss a punto de equilibrio (Breakeven) una vez alcanzado un beneficio de 1:1 (+$1,285 USDT).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3. Filtro Macro de Volatilidad: Restringir nuevas aperturas de posición 30 minutos antes y después de publicaciones de datos macroeconómicos clave (IPC, decisiones de tipos de la Fed).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4. Diario de Trading y Auditoría: Registrar el deslizamiento de precios (slippage) real y las comisiones cobradas por el exchange para refinar la tasa de rendimiento neta.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Parámetro</w:t>
            </w:r>
          </w:p>
        </w:tc>
        <w:tc>
          <w:p>
            <w:r>
              <w:rPr>
                <w:b/>
                <w:bCs/>
              </w:rPr>
              <w:t xml:space="preserve">Valor de Referencia</w:t>
            </w:r>
          </w:p>
        </w:tc>
        <w:tc>
          <w:p>
            <w:r>
              <w:rPr>
                <w:b/>
                <w:bCs/>
              </w:rPr>
              <w:t xml:space="preserve">Observaciones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Par de Trading</w:t>
            </w:r>
          </w:p>
        </w:tc>
        <w:tc>
          <w:p>
            <w:r>
              <w:rPr>
                <w:b w:val="false"/>
                <w:bCs w:val="false"/>
              </w:rPr>
              <w:t xml:space="preserve">BTC/USDT</w:t>
            </w:r>
          </w:p>
        </w:tc>
        <w:tc>
          <w:p>
            <w:r>
              <w:rPr>
                <w:b w:val="false"/>
                <w:bCs w:val="false"/>
              </w:rPr>
              <w:t xml:space="preserve">Spot / Perp Futures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Tipo de Orden</w:t>
            </w:r>
          </w:p>
        </w:tc>
        <w:tc>
          <w:p>
            <w:r>
              <w:rPr>
                <w:b w:val="false"/>
                <w:bCs w:val="false"/>
              </w:rPr>
              <w:t xml:space="preserve">BUY / LONG (Mercado)</w:t>
            </w:r>
          </w:p>
        </w:tc>
        <w:tc>
          <w:p>
            <w:r>
              <w:rPr>
                <w:b w:val="false"/>
                <w:bCs w:val="false"/>
              </w:rPr>
              <w:t xml:space="preserve">Estado: Ejecutada / Filled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Precio Entrada</w:t>
            </w:r>
          </w:p>
        </w:tc>
        <w:tc>
          <w:p>
            <w:r>
              <w:rPr>
                <w:b w:val="false"/>
                <w:bCs w:val="false"/>
              </w:rPr>
              <w:t xml:space="preserve">$64,250.00 USDT</w:t>
            </w:r>
          </w:p>
        </w:tc>
        <w:tc>
          <w:p>
            <w:r>
              <w:rPr>
                <w:b w:val="false"/>
                <w:bCs w:val="false"/>
              </w:rPr>
              <w:t xml:space="preserve">Cierre de vela 1H post-cruce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Stop Loss (SL)</w:t>
            </w:r>
          </w:p>
        </w:tc>
        <w:tc>
          <w:p>
            <w:r>
              <w:rPr>
                <w:b w:val="false"/>
                <w:bCs w:val="false"/>
              </w:rPr>
              <w:t xml:space="preserve">$62,965.00 USDT</w:t>
            </w:r>
          </w:p>
        </w:tc>
        <w:tc>
          <w:p>
            <w:r>
              <w:rPr>
                <w:b w:val="false"/>
                <w:bCs w:val="false"/>
              </w:rPr>
              <w:t xml:space="preserve">-2.00% (-$1,285.00)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Take Profit (TP)</w:t>
            </w:r>
          </w:p>
        </w:tc>
        <w:tc>
          <w:p>
            <w:r>
              <w:rPr>
                <w:b w:val="false"/>
                <w:bCs w:val="false"/>
              </w:rPr>
              <w:t xml:space="preserve">$66,820.00 USDT</w:t>
            </w:r>
          </w:p>
        </w:tc>
        <w:tc>
          <w:p>
            <w:r>
              <w:rPr>
                <w:b w:val="false"/>
                <w:bCs w:val="false"/>
              </w:rPr>
              <w:t xml:space="preserve">+4.00% (+$2,570.00)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Relación R/B</w:t>
            </w:r>
          </w:p>
        </w:tc>
        <w:tc>
          <w:p>
            <w:r>
              <w:rPr>
                <w:b w:val="false"/>
                <w:bCs w:val="false"/>
              </w:rPr>
              <w:t xml:space="preserve">1 : 2</w:t>
            </w:r>
          </w:p>
        </w:tc>
        <w:tc>
          <w:p>
            <w:r>
              <w:rPr>
                <w:b w:val="false"/>
                <w:bCs w:val="false"/>
              </w:rPr>
              <w:t xml:space="preserve">Objetivo de riesgo controlado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Tamaño Posición</w:t>
            </w:r>
          </w:p>
        </w:tc>
        <w:tc>
          <w:p>
            <w:r>
              <w:rPr>
                <w:b w:val="false"/>
                <w:bCs w:val="false"/>
              </w:rPr>
              <w:t xml:space="preserve">0.25 BTC ($16,062.50)</w:t>
            </w:r>
          </w:p>
        </w:tc>
        <w:tc>
          <w:p>
            <w:r>
              <w:rPr>
                <w:b w:val="false"/>
                <w:bCs w:val="false"/>
              </w:rPr>
              <w:t xml:space="preserve">Riesgo = $321.25 USDT (1.5%)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2026-08-20T17:13:02.586Z</dcterms:created>
  <dcterms:modified xsi:type="dcterms:W3CDTF">2026-08-20T17:13:02.586Z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