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ESG 증권상품</w:t>
      </w:r>
    </w:p>
    <w:p>
      <w:r>
        <w:t>1.2. Description</w:t>
      </w:r>
    </w:p>
    <w:p>
      <w:r>
        <w:rPr>
          <w:sz w:val="16"/>
        </w:rPr>
        <w:tab/>
        <w:t>ESG 증권상품 정보를 제공 ('20년01월02일 데이터부터 제공)</w:t>
      </w:r>
    </w:p>
    <w:p>
      <w:r>
        <w:rPr>
          <w:sz w:val="16"/>
        </w:rPr>
        <w:tab/>
        <w:t>Server endpoint url : https://data-dbg.krx.co.kr/svc/apis/esg/esg_etp_info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현재가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전일비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상장좌수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거래량(좌)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int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거래대금(원)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ABBRV":"__","TDD_CLSPRC":"0","CMPPREVDD_PRC":"0","FLUC_RT":"0","LIST_SHRS":"0","ACC_TRDVOL":"0","ACC_TRDVAL":"0"},{"BAS_DD":"__","ISU_ABBRV":"__","TDD_CLSPRC":"0","CMPPREVDD_PRC":"0","FLUC_RT":"0","LIST_SHRS":"0","ACC_TRDVOL":"0","ACC_TRDVAL":"0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