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7E8BA" w14:textId="77777777" w:rsidR="008A0BD6" w:rsidRPr="008A0BD6" w:rsidRDefault="008A0BD6" w:rsidP="008A0BD6">
      <w:pPr>
        <w:rPr>
          <w:b/>
          <w:bCs/>
          <w:u w:val="single"/>
        </w:rPr>
      </w:pPr>
      <w:r w:rsidRPr="008A0BD6">
        <w:rPr>
          <w:b/>
          <w:bCs/>
          <w:u w:val="single"/>
        </w:rPr>
        <w:t>Common Types of Hand Posturing in Autism</w:t>
      </w:r>
    </w:p>
    <w:p w14:paraId="21C7EE9B" w14:textId="77777777" w:rsidR="008A0BD6" w:rsidRPr="008A0BD6" w:rsidRDefault="008A0BD6" w:rsidP="008A0BD6">
      <w:r w:rsidRPr="008A0BD6">
        <w:t>There are several common types of hand posturing that are frequently observed in individuals with autism. These behaviors may vary from person to person and can change over time. Here are some of the common types of hand posturing in autism:</w:t>
      </w:r>
    </w:p>
    <w:tbl>
      <w:tblPr>
        <w:tblW w:w="9801"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035"/>
        <w:gridCol w:w="7766"/>
      </w:tblGrid>
      <w:tr w:rsidR="008A0BD6" w:rsidRPr="008A0BD6" w14:paraId="19E7A7C2" w14:textId="77777777" w:rsidTr="008A0BD6">
        <w:trPr>
          <w:trHeight w:val="861"/>
          <w:tblHeader/>
        </w:trPr>
        <w:tc>
          <w:tcPr>
            <w:tcW w:w="0" w:type="auto"/>
            <w:tcBorders>
              <w:top w:val="single" w:sz="12" w:space="0" w:color="000000"/>
              <w:left w:val="single" w:sz="12" w:space="0" w:color="000000"/>
              <w:bottom w:val="single" w:sz="12" w:space="0" w:color="000000"/>
              <w:right w:val="single" w:sz="12" w:space="0" w:color="000000"/>
            </w:tcBorders>
            <w:shd w:val="clear" w:color="auto" w:fill="F6F5F3"/>
            <w:tcMar>
              <w:top w:w="45" w:type="dxa"/>
              <w:left w:w="45" w:type="dxa"/>
              <w:bottom w:w="45" w:type="dxa"/>
              <w:right w:w="45" w:type="dxa"/>
            </w:tcMar>
            <w:vAlign w:val="center"/>
            <w:hideMark/>
          </w:tcPr>
          <w:p w14:paraId="0E196B48" w14:textId="77777777" w:rsidR="008A0BD6" w:rsidRPr="008A0BD6" w:rsidRDefault="008A0BD6" w:rsidP="008A0BD6">
            <w:pPr>
              <w:rPr>
                <w:b/>
                <w:bCs/>
              </w:rPr>
            </w:pPr>
            <w:r w:rsidRPr="008A0BD6">
              <w:rPr>
                <w:b/>
                <w:bCs/>
              </w:rPr>
              <w:t>Type of Hand Posturing</w:t>
            </w:r>
          </w:p>
        </w:tc>
        <w:tc>
          <w:tcPr>
            <w:tcW w:w="0" w:type="auto"/>
            <w:tcBorders>
              <w:top w:val="single" w:sz="12" w:space="0" w:color="000000"/>
              <w:left w:val="single" w:sz="12" w:space="0" w:color="000000"/>
              <w:bottom w:val="single" w:sz="12" w:space="0" w:color="000000"/>
              <w:right w:val="single" w:sz="12" w:space="0" w:color="000000"/>
            </w:tcBorders>
            <w:shd w:val="clear" w:color="auto" w:fill="F6F5F3"/>
            <w:tcMar>
              <w:top w:w="45" w:type="dxa"/>
              <w:left w:w="45" w:type="dxa"/>
              <w:bottom w:w="45" w:type="dxa"/>
              <w:right w:w="45" w:type="dxa"/>
            </w:tcMar>
            <w:vAlign w:val="center"/>
            <w:hideMark/>
          </w:tcPr>
          <w:p w14:paraId="00355AC3" w14:textId="77777777" w:rsidR="008A0BD6" w:rsidRPr="008A0BD6" w:rsidRDefault="008A0BD6" w:rsidP="008A0BD6">
            <w:pPr>
              <w:rPr>
                <w:b/>
                <w:bCs/>
              </w:rPr>
            </w:pPr>
            <w:r w:rsidRPr="008A0BD6">
              <w:rPr>
                <w:b/>
                <w:bCs/>
              </w:rPr>
              <w:t>Description</w:t>
            </w:r>
          </w:p>
        </w:tc>
      </w:tr>
      <w:tr w:rsidR="008A0BD6" w:rsidRPr="008A0BD6" w14:paraId="35DC43F4" w14:textId="77777777" w:rsidTr="008A0BD6">
        <w:trPr>
          <w:trHeight w:val="879"/>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5" w:type="dxa"/>
              <w:left w:w="45" w:type="dxa"/>
              <w:bottom w:w="45" w:type="dxa"/>
              <w:right w:w="45" w:type="dxa"/>
            </w:tcMar>
            <w:vAlign w:val="center"/>
            <w:hideMark/>
          </w:tcPr>
          <w:p w14:paraId="671B8ACD" w14:textId="77777777" w:rsidR="008A0BD6" w:rsidRPr="008A0BD6" w:rsidRDefault="008A0BD6" w:rsidP="008A0BD6">
            <w:r w:rsidRPr="008A0BD6">
              <w:t>Hand Flapping</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5" w:type="dxa"/>
              <w:left w:w="45" w:type="dxa"/>
              <w:bottom w:w="45" w:type="dxa"/>
              <w:right w:w="45" w:type="dxa"/>
            </w:tcMar>
            <w:vAlign w:val="center"/>
            <w:hideMark/>
          </w:tcPr>
          <w:p w14:paraId="26A8D410" w14:textId="77777777" w:rsidR="008A0BD6" w:rsidRPr="008A0BD6" w:rsidRDefault="008A0BD6" w:rsidP="008A0BD6">
            <w:r w:rsidRPr="008A0BD6">
              <w:t>Rapid and repetitive movements of the hands, often with fingers extended and the wrist flexed. This behavior is usually seen as the hands moving up and down rapidly.</w:t>
            </w:r>
          </w:p>
        </w:tc>
      </w:tr>
      <w:tr w:rsidR="008A0BD6" w:rsidRPr="008A0BD6" w14:paraId="1C2B46AD" w14:textId="77777777" w:rsidTr="008A0BD6">
        <w:trPr>
          <w:trHeight w:val="861"/>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5" w:type="dxa"/>
              <w:left w:w="45" w:type="dxa"/>
              <w:bottom w:w="45" w:type="dxa"/>
              <w:right w:w="45" w:type="dxa"/>
            </w:tcMar>
            <w:vAlign w:val="center"/>
            <w:hideMark/>
          </w:tcPr>
          <w:p w14:paraId="5E27AED2" w14:textId="77777777" w:rsidR="008A0BD6" w:rsidRPr="008A0BD6" w:rsidRDefault="008A0BD6" w:rsidP="008A0BD6">
            <w:r w:rsidRPr="008A0BD6">
              <w:t>Hand Stereotypies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5" w:type="dxa"/>
              <w:left w:w="45" w:type="dxa"/>
              <w:bottom w:w="45" w:type="dxa"/>
              <w:right w:w="45" w:type="dxa"/>
            </w:tcMar>
            <w:vAlign w:val="center"/>
            <w:hideMark/>
          </w:tcPr>
          <w:p w14:paraId="336A9D8F" w14:textId="77777777" w:rsidR="008A0BD6" w:rsidRPr="008A0BD6" w:rsidRDefault="008A0BD6" w:rsidP="008A0BD6">
            <w:r w:rsidRPr="008A0BD6">
              <w:t>Repetitive and rhythmic movements of the hands, such as clapping, tapping, or rubbing the hands together. These movements may have a specific pattern or sequence.</w:t>
            </w:r>
          </w:p>
        </w:tc>
      </w:tr>
      <w:tr w:rsidR="008A0BD6" w:rsidRPr="008A0BD6" w14:paraId="0B63542D" w14:textId="77777777" w:rsidTr="008A0BD6">
        <w:trPr>
          <w:trHeight w:val="861"/>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5" w:type="dxa"/>
              <w:left w:w="45" w:type="dxa"/>
              <w:bottom w:w="45" w:type="dxa"/>
              <w:right w:w="45" w:type="dxa"/>
            </w:tcMar>
            <w:vAlign w:val="center"/>
            <w:hideMark/>
          </w:tcPr>
          <w:p w14:paraId="43431884" w14:textId="77777777" w:rsidR="008A0BD6" w:rsidRPr="008A0BD6" w:rsidRDefault="008A0BD6" w:rsidP="008A0BD6">
            <w:r w:rsidRPr="008A0BD6">
              <w:t>Hand Flicking</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5" w:type="dxa"/>
              <w:left w:w="45" w:type="dxa"/>
              <w:bottom w:w="45" w:type="dxa"/>
              <w:right w:w="45" w:type="dxa"/>
            </w:tcMar>
            <w:vAlign w:val="center"/>
            <w:hideMark/>
          </w:tcPr>
          <w:p w14:paraId="0010463D" w14:textId="77777777" w:rsidR="008A0BD6" w:rsidRPr="008A0BD6" w:rsidRDefault="008A0BD6" w:rsidP="008A0BD6">
            <w:r w:rsidRPr="008A0BD6">
              <w:t>Quick and flicking movements of the fingers or the entire hand. This behavior can involve flicking the fingers in front of the eyes or flicking the hand in a particular direction.</w:t>
            </w:r>
          </w:p>
        </w:tc>
      </w:tr>
      <w:tr w:rsidR="008A0BD6" w:rsidRPr="008A0BD6" w14:paraId="28BE97AF" w14:textId="77777777" w:rsidTr="008A0BD6">
        <w:trPr>
          <w:trHeight w:val="1224"/>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5" w:type="dxa"/>
              <w:left w:w="45" w:type="dxa"/>
              <w:bottom w:w="45" w:type="dxa"/>
              <w:right w:w="45" w:type="dxa"/>
            </w:tcMar>
            <w:vAlign w:val="center"/>
            <w:hideMark/>
          </w:tcPr>
          <w:p w14:paraId="7CA0F6CC" w14:textId="77777777" w:rsidR="008A0BD6" w:rsidRPr="008A0BD6" w:rsidRDefault="008A0BD6" w:rsidP="008A0BD6">
            <w:r w:rsidRPr="008A0BD6">
              <w:t>Hand Wringing</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5" w:type="dxa"/>
              <w:left w:w="45" w:type="dxa"/>
              <w:bottom w:w="45" w:type="dxa"/>
              <w:right w:w="45" w:type="dxa"/>
            </w:tcMar>
            <w:vAlign w:val="center"/>
            <w:hideMark/>
          </w:tcPr>
          <w:p w14:paraId="4628DD4C" w14:textId="77777777" w:rsidR="008A0BD6" w:rsidRPr="008A0BD6" w:rsidRDefault="008A0BD6" w:rsidP="008A0BD6">
            <w:r w:rsidRPr="008A0BD6">
              <w:t>Twisting or wringing the hands together, often with repetitive movements. This behavior can be characterized by rubbing the palms together in a circular motion or interlocking the fingers and twisting the hands.</w:t>
            </w:r>
          </w:p>
        </w:tc>
      </w:tr>
      <w:tr w:rsidR="008A0BD6" w:rsidRPr="008A0BD6" w14:paraId="2648C27C" w14:textId="77777777" w:rsidTr="008A0BD6">
        <w:trPr>
          <w:trHeight w:val="861"/>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5" w:type="dxa"/>
              <w:left w:w="45" w:type="dxa"/>
              <w:bottom w:w="45" w:type="dxa"/>
              <w:right w:w="45" w:type="dxa"/>
            </w:tcMar>
            <w:vAlign w:val="center"/>
            <w:hideMark/>
          </w:tcPr>
          <w:p w14:paraId="32CDDDB5" w14:textId="77777777" w:rsidR="008A0BD6" w:rsidRPr="008A0BD6" w:rsidRDefault="008A0BD6" w:rsidP="008A0BD6">
            <w:r w:rsidRPr="008A0BD6">
              <w:t>Repetitive Hand Movements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5" w:type="dxa"/>
              <w:left w:w="45" w:type="dxa"/>
              <w:bottom w:w="45" w:type="dxa"/>
              <w:right w:w="45" w:type="dxa"/>
            </w:tcMar>
            <w:vAlign w:val="center"/>
            <w:hideMark/>
          </w:tcPr>
          <w:p w14:paraId="1EBF2706" w14:textId="77777777" w:rsidR="008A0BD6" w:rsidRPr="008A0BD6" w:rsidRDefault="008A0BD6" w:rsidP="008A0BD6">
            <w:r w:rsidRPr="008A0BD6">
              <w:t>Repeated movements of the hands, such as tapping, squeezing, or rubbing objects. These movements may serve a self-</w:t>
            </w:r>
            <w:proofErr w:type="gramStart"/>
            <w:r w:rsidRPr="008A0BD6">
              <w:t>soothing</w:t>
            </w:r>
            <w:proofErr w:type="gramEnd"/>
            <w:r w:rsidRPr="008A0BD6">
              <w:t xml:space="preserve"> or sensory-seeking purpose.</w:t>
            </w:r>
          </w:p>
        </w:tc>
      </w:tr>
      <w:tr w:rsidR="008A0BD6" w:rsidRPr="008A0BD6" w14:paraId="060F3D01" w14:textId="77777777" w:rsidTr="008A0BD6">
        <w:trPr>
          <w:trHeight w:val="1224"/>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5" w:type="dxa"/>
              <w:left w:w="45" w:type="dxa"/>
              <w:bottom w:w="45" w:type="dxa"/>
              <w:right w:w="45" w:type="dxa"/>
            </w:tcMar>
            <w:vAlign w:val="center"/>
            <w:hideMark/>
          </w:tcPr>
          <w:p w14:paraId="5059D674" w14:textId="77777777" w:rsidR="008A0BD6" w:rsidRPr="008A0BD6" w:rsidRDefault="008A0BD6" w:rsidP="008A0BD6">
            <w:r w:rsidRPr="008A0BD6">
              <w:t>Self-Stimulatory Hand Behaviors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5" w:type="dxa"/>
              <w:left w:w="45" w:type="dxa"/>
              <w:bottom w:w="45" w:type="dxa"/>
              <w:right w:w="45" w:type="dxa"/>
            </w:tcMar>
            <w:vAlign w:val="center"/>
            <w:hideMark/>
          </w:tcPr>
          <w:p w14:paraId="2184FDF4" w14:textId="77777777" w:rsidR="008A0BD6" w:rsidRPr="008A0BD6" w:rsidRDefault="008A0BD6" w:rsidP="008A0BD6">
            <w:r w:rsidRPr="008A0BD6">
              <w:t xml:space="preserve">Hand posturing behaviors that individuals engage </w:t>
            </w:r>
            <w:proofErr w:type="gramStart"/>
            <w:r w:rsidRPr="008A0BD6">
              <w:t>in to</w:t>
            </w:r>
            <w:proofErr w:type="gramEnd"/>
            <w:r w:rsidRPr="008A0BD6">
              <w:t xml:space="preserve"> self-stimulate or self-regulate. These behaviors can involve a combination of different hand movements, such as flapping, tapping, and rubbing.</w:t>
            </w:r>
          </w:p>
        </w:tc>
      </w:tr>
    </w:tbl>
    <w:p w14:paraId="117D513A" w14:textId="77777777" w:rsidR="006E28A6" w:rsidRPr="008A0BD6" w:rsidRDefault="006E28A6" w:rsidP="008A0BD6"/>
    <w:sectPr w:rsidR="006E28A6" w:rsidRPr="008A0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BD6"/>
    <w:rsid w:val="000D30BB"/>
    <w:rsid w:val="000F2E91"/>
    <w:rsid w:val="004109A7"/>
    <w:rsid w:val="0045156E"/>
    <w:rsid w:val="006E28A6"/>
    <w:rsid w:val="008A0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8AD1"/>
  <w15:chartTrackingRefBased/>
  <w15:docId w15:val="{10B42225-4F88-4ED6-B2BD-91A087C92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BD6"/>
    <w:rPr>
      <w:rFonts w:eastAsiaTheme="majorEastAsia" w:cstheme="majorBidi"/>
      <w:color w:val="272727" w:themeColor="text1" w:themeTint="D8"/>
    </w:rPr>
  </w:style>
  <w:style w:type="paragraph" w:styleId="Title">
    <w:name w:val="Title"/>
    <w:basedOn w:val="Normal"/>
    <w:next w:val="Normal"/>
    <w:link w:val="TitleChar"/>
    <w:uiPriority w:val="10"/>
    <w:qFormat/>
    <w:rsid w:val="008A0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BD6"/>
    <w:pPr>
      <w:spacing w:before="160"/>
      <w:jc w:val="center"/>
    </w:pPr>
    <w:rPr>
      <w:i/>
      <w:iCs/>
      <w:color w:val="404040" w:themeColor="text1" w:themeTint="BF"/>
    </w:rPr>
  </w:style>
  <w:style w:type="character" w:customStyle="1" w:styleId="QuoteChar">
    <w:name w:val="Quote Char"/>
    <w:basedOn w:val="DefaultParagraphFont"/>
    <w:link w:val="Quote"/>
    <w:uiPriority w:val="29"/>
    <w:rsid w:val="008A0BD6"/>
    <w:rPr>
      <w:i/>
      <w:iCs/>
      <w:color w:val="404040" w:themeColor="text1" w:themeTint="BF"/>
    </w:rPr>
  </w:style>
  <w:style w:type="paragraph" w:styleId="ListParagraph">
    <w:name w:val="List Paragraph"/>
    <w:basedOn w:val="Normal"/>
    <w:uiPriority w:val="34"/>
    <w:qFormat/>
    <w:rsid w:val="008A0BD6"/>
    <w:pPr>
      <w:ind w:left="720"/>
      <w:contextualSpacing/>
    </w:pPr>
  </w:style>
  <w:style w:type="character" w:styleId="IntenseEmphasis">
    <w:name w:val="Intense Emphasis"/>
    <w:basedOn w:val="DefaultParagraphFont"/>
    <w:uiPriority w:val="21"/>
    <w:qFormat/>
    <w:rsid w:val="008A0BD6"/>
    <w:rPr>
      <w:i/>
      <w:iCs/>
      <w:color w:val="0F4761" w:themeColor="accent1" w:themeShade="BF"/>
    </w:rPr>
  </w:style>
  <w:style w:type="paragraph" w:styleId="IntenseQuote">
    <w:name w:val="Intense Quote"/>
    <w:basedOn w:val="Normal"/>
    <w:next w:val="Normal"/>
    <w:link w:val="IntenseQuoteChar"/>
    <w:uiPriority w:val="30"/>
    <w:qFormat/>
    <w:rsid w:val="008A0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BD6"/>
    <w:rPr>
      <w:i/>
      <w:iCs/>
      <w:color w:val="0F4761" w:themeColor="accent1" w:themeShade="BF"/>
    </w:rPr>
  </w:style>
  <w:style w:type="character" w:styleId="IntenseReference">
    <w:name w:val="Intense Reference"/>
    <w:basedOn w:val="DefaultParagraphFont"/>
    <w:uiPriority w:val="32"/>
    <w:qFormat/>
    <w:rsid w:val="008A0B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88f0574-adf0-4820-ab8e-62198bfae84d}" enabled="1" method="Privileged" siteId="{c57d1a73-0e5c-464b-afb7-086dc67f3d46}"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226</Words>
  <Characters>1289</Characters>
  <Application>Microsoft Office Word</Application>
  <DocSecurity>0</DocSecurity>
  <Lines>10</Lines>
  <Paragraphs>3</Paragraphs>
  <ScaleCrop>false</ScaleCrop>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Unterberger, Jeffrey He/Him (AHN)</dc:creator>
  <cp:keywords/>
  <dc:description/>
  <cp:lastModifiedBy>Unterberger, Jeffrey He/Him (AHN)</cp:lastModifiedBy>
  <cp:revision>1</cp:revision>
  <dcterms:created xsi:type="dcterms:W3CDTF">2026-01-21T17:19:00Z</dcterms:created>
  <dcterms:modified xsi:type="dcterms:W3CDTF">2026-01-21T17:19:00Z</dcterms:modified>
</cp:coreProperties>
</file>