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uppressAutoHyphens/>
        <w:autoSpaceDN w:val="0"/>
        <w:spacing w:before="280" w:after="280" w:line="360" w:lineRule="auto"/>
        <w:rPr>
          <w:b/>
          <w:kern w:val="2"/>
          <w:sz w:val="32"/>
          <w:szCs w:val="40"/>
          <w:lang w:eastAsia="ko-KR"/>
        </w:rPr>
      </w:pPr>
      <w:r>
        <w:rPr>
          <w:b/>
          <w:kern w:val="2"/>
          <w:sz w:val="32"/>
          <w:szCs w:val="40"/>
          <w:lang w:eastAsia="ko-KR"/>
        </w:rPr>
        <w:t>Soundscape and human behaviour in urban open space: a systematic review and meta-analysis of forward and reverse pathways</w:t>
      </w:r>
    </w:p>
    <w:p>
      <w:pPr>
        <w:autoSpaceDN w:val="0"/>
        <w:spacing w:before="240" w:after="200" w:line="360" w:lineRule="auto"/>
        <w:rPr>
          <w:color w:val="000000"/>
          <w:szCs w:val="20"/>
          <w:lang w:eastAsia="ko-KR"/>
        </w:rPr>
      </w:pPr>
      <w:r>
        <w:rPr>
          <w:color w:val="000000"/>
          <w:szCs w:val="20"/>
        </w:rPr>
        <w:t>Hyun In Jo</w:t>
      </w:r>
      <w:r>
        <w:rPr>
          <w:color w:val="000000"/>
          <w:szCs w:val="20"/>
          <w:vertAlign w:val="superscript"/>
        </w:rPr>
        <w:t>1</w:t>
      </w:r>
    </w:p>
    <w:p>
      <w:pPr>
        <w:autoSpaceDN w:val="0"/>
        <w:spacing w:line="360" w:lineRule="auto"/>
        <w:rPr>
          <w:lang w:eastAsia="ko-KR"/>
        </w:rPr>
      </w:pPr>
      <w:r>
        <w:rPr>
          <w:vertAlign w:val="superscript"/>
        </w:rPr>
        <w:t>1</w:t>
      </w:r>
      <w:r>
        <w:t xml:space="preserve"> Department of Architectural Engineering, Hanyang University, Seoul 04763, Korea</w:t>
      </w:r>
    </w:p>
    <w:p>
      <w:pPr>
        <w:autoSpaceDN w:val="0"/>
        <w:spacing w:line="360" w:lineRule="auto"/>
        <w:rPr>
          <w:color w:val="000000"/>
          <w:szCs w:val="20"/>
          <w:lang w:eastAsia="ko-KR"/>
        </w:rPr>
      </w:pPr>
    </w:p>
    <w:p>
      <w:pPr>
        <w:outlineLvl w:val="0"/>
        <w:rPr>
          <w:b/>
          <w:color w:val="000000"/>
          <w:lang w:eastAsia="ko-KR"/>
        </w:rPr>
      </w:pPr>
      <w:r>
        <w:rPr>
          <w:b/>
          <w:color w:val="000000"/>
          <w:lang w:eastAsia="ko-KR"/>
        </w:rPr>
        <w:br w:type="page"/>
      </w:r>
    </w:p>
    <w:p>
      <w:pPr>
        <w:outlineLvl w:val="0"/>
        <w:rPr>
          <w:b/>
          <w:color w:val="000000"/>
          <w:lang w:eastAsia="ko-KR"/>
        </w:rPr>
      </w:pPr>
      <w:r>
        <w:rPr>
          <w:b/>
          <w:color w:val="000000"/>
          <w:lang w:eastAsia="ko-KR"/>
        </w:rPr>
        <w:t>ABSTRACT</w:t>
      </w:r>
    </w:p>
    <w:p>
      <w:pPr>
        <w:spacing w:line="420" w:lineRule="auto"/>
        <w:ind w:firstLine="289"/>
        <w:jc w:val="both"/>
        <w:rPr>
          <w:lang w:eastAsia="ko-KR"/>
        </w:rPr>
      </w:pPr>
      <w:r>
        <w:rPr>
          <w:lang w:eastAsia="ko-KR"/>
        </w:rPr>
        <w:t>도시 사운드스케이프 연구는 크게 축적됐으나, 음향 조건(acoustic conditions)과 도시 옥외공간의 관찰 가능한 행태 사이의 관계는 행태 도메인 전반에 걸쳐 체계적으로 종합된 적이 없다. 본 연구는 OSF에 사전등록한 프로토콜에 따라 체계적 문헌고찰과 메타분석을 수행했으며, 음환경에서 행태로 향하는 순방향 경로와 활동에서 음환경으로 향하는 역방향 경로를 처음부터 함께 고려했다. Web of Science, Scopus, PubMed 검색(2026년 8월)에 인용 추적과 보조 색인(supplementary index)을 더해 98편의 적격 연구를 확인했다. 방법론적 질은 MMAT 2018(Mixed Methods Appraisal Tool)로 평가했고, 정량 효과는 Hartung–Knapp 보정을 적용한 REML 랜덤효과 모형으로 합성했다. 네 행태 클러스터의 효과는 모두 이론적으로 기대되는 방향이었지만, 평균 효과가 통계적으로 뒷받침된 것은 사회적 상호작용(</w:t>
      </w:r>
      <w:r>
        <w:rPr>
          <w:i/>
          <w:lang w:eastAsia="ko-KR"/>
        </w:rPr>
        <w:t>k</w:t>
      </w:r>
      <w:r>
        <w:rPr>
          <w:lang w:eastAsia="ko-KR"/>
        </w:rPr>
        <w:t xml:space="preserve"> = 4, </w:t>
      </w:r>
      <w:r>
        <w:rPr>
          <w:i/>
          <w:lang w:eastAsia="ko-KR"/>
        </w:rPr>
        <w:t>g</w:t>
      </w:r>
      <w:r>
        <w:rPr>
          <w:lang w:eastAsia="ko-KR"/>
        </w:rPr>
        <w:t xml:space="preserve"> = +0.68, 95% CI [+0.20, +1.16])과 소리–행태 상관(sound–behaviour correlation; </w:t>
      </w:r>
      <w:r>
        <w:rPr>
          <w:i/>
          <w:lang w:eastAsia="ko-KR"/>
        </w:rPr>
        <w:t>k</w:t>
      </w:r>
      <w:r>
        <w:rPr>
          <w:lang w:eastAsia="ko-KR"/>
        </w:rPr>
        <w:t xml:space="preserve"> = 6, </w:t>
      </w:r>
      <w:r>
        <w:rPr>
          <w:i/>
          <w:lang w:eastAsia="ko-KR"/>
        </w:rPr>
        <w:t>r</w:t>
      </w:r>
      <w:r>
        <w:rPr>
          <w:lang w:eastAsia="ko-KR"/>
        </w:rPr>
        <w:t xml:space="preserve"> = +0.42, 95% CI [+0.19, +0.61])뿐이었다. 또한 네 클러스터 모두 95% 예측구간이 0을 포함해, 새로운 장소에서도 같은 효과가 나타난다고 장담할 수 없었다. 널리 인용되는 보행속도 연관의 근거는 모두 MMAT 평가에서 낮은 등급(low)을 받은 연구였고, 대부분 공공공간의 음환경을 조작한 것이 아니라 헤드폰으로 전달한 오디오에서 도출됐다. 방향성 레코드 187건 중 74건(40%)이 역방향이었으며, 공간이용·활동·사회적 행태에서는 두 방향이 대체로 균형을 이뤘다. GPS·영상 같은 센싱 방법이 늘어난 뒤에도 설문과 현장 관찰은 대체되지 않고 함께 쓰였다. 근거로부터 도출한 열 가지 계획 조치 가운데 설계 기준으로 바로 쓸 만큼 근거가 강한 것은 없었다. 현재 가장 방어 가능한 개입은 사회적 상호작용이 의도된 곳에서 운영 소음을 통제하는 것이며, 전반적으로 이 증거는 보편적 설계 기준이 아니라 모니터링으로 검증할 근거를 반영한 가설(evidence-informed hypotheses)을 지지한다.</w:t>
      </w:r>
    </w:p>
    <w:p>
      <w:pPr>
        <w:rPr>
          <w:i/>
          <w:iCs/>
        </w:rPr>
      </w:pPr>
      <w:r>
        <w:rPr>
          <w:b/>
          <w:i/>
          <w:iCs/>
        </w:rPr>
        <w:t>Keywords</w:t>
      </w:r>
      <w:r>
        <w:rPr>
          <w:i/>
          <w:iCs/>
        </w:rPr>
        <w:t>: soundscape; behaviour; urban open space; systematic review; meta-analysis; landscape planning</w:t>
      </w:r>
    </w:p>
    <w:p>
      <w:pPr>
        <w:widowControl w:val="0"/>
        <w:autoSpaceDE w:val="0"/>
        <w:autoSpaceDN w:val="0"/>
        <w:jc w:val="both"/>
        <w:outlineLvl w:val="0"/>
        <w:rPr>
          <w:b/>
          <w:color w:val="000000"/>
          <w:kern w:val="2"/>
          <w:szCs w:val="24"/>
          <w:lang w:eastAsia="ko-KR"/>
        </w:rPr>
      </w:pPr>
      <w:r>
        <w:rPr>
          <w:b/>
          <w:color w:val="000000"/>
          <w:kern w:val="2"/>
          <w:szCs w:val="24"/>
          <w:lang w:eastAsia="ko-KR"/>
        </w:rPr>
        <w:t>1. Introduction</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1.1 Sound in landscape and urban planning</w:t>
      </w:r>
    </w:p>
    <w:p>
      <w:pPr>
        <w:ind w:firstLine="288"/>
        <w:jc w:val="both"/>
        <w:rPr>
          <w:lang w:eastAsia="ko-KR"/>
        </w:rPr>
      </w:pPr>
      <w:r>
        <w:rPr>
          <w:lang w:eastAsia="ko-KR"/>
        </w:rPr>
        <w:t>조경과 도시계획은 오랫동안 시각적 요소를 중심으로 공간을 계획해 왔다. 배치도와 투시도, 시각적 개방감과 위요감(enclosure), 식재가 설계의 주된 언어였으며, 도시 설계가 시각에 치우쳐 소리를 충분히 다루지 않는다는 지적은 이미 반세기 전에 제기됐다[1]. 그러나 공공공간이 머물 만하고 사회적으로 활발하게 이용되는지는 시각적 조건만으로 결정되지 않는다. 통과 차량이나 환기 설비, 공사 소음, 상점의 음악, 그리고 동행자와 대화할 수 있는지 여부도 공간이 이용되는 방식에 영향을 줄 수 있다. 더구나 소리는 시각적 차폐로 쉽게 막을 수 없고, 공간 배치나 운영 방식이 정해진 뒤에야 문제로 드러나는 경우가 많아 계획 단계에서부터 고려할 필요가 있다.</w:t>
      </w:r>
    </w:p>
    <w:p>
      <w:pPr>
        <w:ind w:firstLine="288"/>
        <w:jc w:val="both"/>
        <w:rPr>
          <w:lang w:eastAsia="ko-KR"/>
        </w:rPr>
      </w:pPr>
      <w:r>
        <w:rPr>
          <w:lang w:eastAsia="ko-KR"/>
        </w:rPr>
        <w:t>공공공간의 질을 이용자의 행태로 평가하는 접근은 도시설계 분야에서 오랜 전통을 갖고 있다. Whyte [2]는 소규모 도시 광장에서 사람들이 어디에 앉고 어디에서 멈추는지를 기록했고, Gehl [3]은 옥외 활동을 필수적 활동, 선택적 활동, 사회적 활동으로 구분하면서 환경의 질이 높을수록 선택적 활동과 사회적 활동이 늘어난다고 보았다. 이 전통에서 관찰된 행태는 공간의 성과(spatial performance)를 판단하는 실용적인 지표로 쓰였다. 다만 주로 다뤄진 환경 변수는 시각적·물리적 요소였으며, 소리를 행태에 영향을 주는 계획 변수로 다룬 연구는 드물었다.</w:t>
      </w:r>
    </w:p>
    <w:p>
      <w:pPr>
        <w:ind w:firstLine="288"/>
        <w:jc w:val="both"/>
        <w:rPr>
          <w:lang w:eastAsia="ko-KR"/>
        </w:rPr>
      </w:pPr>
      <w:r>
        <w:rPr>
          <w:lang w:eastAsia="ko-KR"/>
        </w:rPr>
        <w:t>계획 실무에서 소리는 주로 환경소음 규제의 틀 안에서 다뤄져 왔다[4]. 환경소음 규제는 등가소음도(LAeq) 같은 노출 지표와 용도지역별 기준치를 중심으로 구성되며, 건강 피해와 성가심도(annoyance)를 줄이는 것을 주된 목적으로 한다. 이 목적에 대해서는 근거가 충분히 축적돼 있다. 교통소음 노출은 성가심도와 정량적으로 연관되며[5], 환경소음이 수면 방해와 심혈관 위험 같은 비청각적 건강 영향을 미친다는 점도 확립돼 있다[6]. 그러나 이 틀은 공공공간의 이용과 체류, 사회적 상호작용을 지지하려면 소리 환경을 어떻게 계획해야 하는지에 대해서는 답을 주지 못한다. 소음 기준을 충족한 공간이라도 사람들이 머물고 교류하는 공간이 된다는 보장은 없기 때문이다. 사운드스케이프(soundscape) 개념은 이러한 한계를 보완하는 관점을 제공한다. 사운드스케이프는 소리를 줄여야 할 물리량으로만 보지 않고, 맥락 속에서 지각되고 경험되며 해석되는 음환경으로 다룬다. Schafer [7]가 이 관점의 토대를 마련했고, ISO 12913-1 [8]은 사운드스케이프를 "맥락 속에서 한 사람 또는 여러 사람이 지각하거나 경험하거나 이해하는 음환경"으로 정의했다. 최근 연구는 사운드스케이프가 공간적·물리적 맥락과 사회·문화적 맥락의 영향을 받으며, 사람과 장소와 소리 사이의 동적인 관계 속에서 이해될 수 있다고 본다[9,10].</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1.2 From soundscape perception to observable behaviour</w:t>
      </w:r>
    </w:p>
    <w:p>
      <w:pPr>
        <w:ind w:firstLine="288"/>
        <w:jc w:val="both"/>
        <w:rPr>
          <w:lang w:eastAsia="ko-KR"/>
        </w:rPr>
      </w:pPr>
      <w:r>
        <w:rPr>
          <w:lang w:eastAsia="ko-KR"/>
        </w:rPr>
        <w:t>사운드스케이프 개념이 정립된 이후 실증 연구의 상당 부분은 지각(perception)에 집중됐다. Axelsson 등 [11]은 사운드스케이프 평가가 pleasantness와 eventfulness의 두 차원으로 설명될 수 있음을 보였고, Aletta 등 [12]은 이러한 평가의 예측 요인을 정리했으며, Kang 등 [13]은 건조환경 사운드스케이프 연구의 과제를 제시했다. 최근에는 경관 요소와 사운드스케이프 지각의 연관이 메타분석으로 정량 종합되기도 했다[14]. 그러나 이 연구들의 결과변수는 대부분 쾌적성, 적합성, 회복감(restoration), 성가심도, 선호도처럼 설문으로 측정한 지각 평정(rating)이다.</w:t>
      </w:r>
    </w:p>
    <w:p>
      <w:pPr>
        <w:ind w:firstLine="288"/>
        <w:jc w:val="both"/>
        <w:rPr>
          <w:lang w:eastAsia="ko-KR"/>
        </w:rPr>
      </w:pPr>
      <w:r>
        <w:rPr>
          <w:lang w:eastAsia="ko-KR"/>
        </w:rPr>
        <w:t>반면 계획 의사결정은 평정만으로 내려지지 않는다. 광장을 조성할지, 벤치를 어디에 둘지, 환기 설비를 건물의 어느 면에 둘지, 야외 공연을 언제 허용할지는 사람들이 그 공간을 실제로 이용하는지, 머무는지 아니면 지나가는지, 서로 대화하는지에 따라서도 달라진다. 지각적 결과와 행태적 결과는 서로 관련될 수 있지만 같은 것은 아니다. 부정적으로 평가된 소리가 반드시 사람들을 떠나게 하는 것은 아니며, 크게 불쾌하지 않은 소리 환경도 대화를 방해할 수 있다. 따라서 평가와 행태의 관계는 가정할 것이 아니라 경험적으로 확인해야 한다. 사운드스케이프 지각을 다룬 종합 연구는 이미 여럿 있지만, 이동, 체류, 공간이용, 활동, 사회적 상호작용에 걸친 관찰 가능한 행태를 포괄하고 관계의 두 방향을 모두 분석 대상으로 삼은 체계적 종합은 찾을 수 없었다. 본 리뷰에서 관찰 가능한 행태(observable behaviour)는 지각이나 평가가 아니라 외부에서 기록할 수 있는 행동을 뜻하며, 행동 자체를 묻는 경우에는 자기보고로 측정한 자료도 포함한다(2.2절).</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1.3 Advances in measuring behaviour and sound</w:t>
      </w:r>
    </w:p>
    <w:p>
      <w:pPr>
        <w:ind w:firstLine="288"/>
        <w:jc w:val="both"/>
        <w:rPr>
          <w:lang w:eastAsia="ko-KR"/>
        </w:rPr>
      </w:pPr>
      <w:r>
        <w:rPr>
          <w:lang w:eastAsia="ko-KR"/>
        </w:rPr>
        <w:t>이 주제의 문헌은 최근 빠르게 늘었다. 본 리뷰에 포함된 98편 중 70편(71%)이 2020년 이후에 게재됐다. 이러한 증가는 행태와 소리를 측정하는 방법의 변화와 맞물려 있다. 과거에는 옥외공간의 행태를 기록하려면 조사원이 현장에서 직접 관찰해 코딩하거나 참가자를 모집해 설문을 해야 했기 때문에 표본이 작고 관찰 기간도 짧았다. 최근에는 GPS 궤적, 스마트폰 위치 자료, 크라우드소싱 활동 기록, 영상 분석, 웨어러블 센서를 이용해 훨씬 큰 규모로 행태를 측정할 수 있게 됐으며, 본 리뷰의 코퍼스에도 자전거 통행 81,403건이나 가로 구간 13,322개를 분석한 연구가 포함돼 있다. 음향 측정 역시 저가 센서 네트워크, 이미지 기반 추정, 모바일 사운드워크(soundwalk) 같은 방법이 확산되면서 쉬워졌다. 그 결과 같은 장소와 시간대에서 사람의 행태와 음환경을 함께 측정하는 연구가 가능해졌다.</w:t>
      </w:r>
    </w:p>
    <w:p>
      <w:pPr>
        <w:ind w:firstLine="288"/>
        <w:jc w:val="both"/>
        <w:rPr>
          <w:lang w:eastAsia="ko-KR"/>
        </w:rPr>
      </w:pPr>
      <w:r>
        <w:rPr>
          <w:lang w:eastAsia="ko-KR"/>
        </w:rPr>
        <w:t>다만 이러한 변화에는 방법론적 한계도 따른다. 새로 늘어난 연구의 상당수는 관찰 연구이거나 대규모 자료를 이용한 연구로, 변수 간 연관은 보여 줄 수 있지만 인과관계를 확인하기는 어렵다. 실제로 본 리뷰의 코퍼스에서 현장실험이나 자연실험(field or natural experiment) 설계를 사용한 연구는 19%에 그쳤다(3.2절). 자료의 양은 크게 늘었지만, 음환경을 직접 조작(manipulation)해 행태 변화를 확인한 연구는 여전히 부족하다.</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1.4 Behaviour and activity as influences on the acoustic environment</w:t>
      </w:r>
    </w:p>
    <w:p>
      <w:pPr>
        <w:ind w:firstLine="288"/>
        <w:jc w:val="both"/>
        <w:rPr>
          <w:lang w:eastAsia="ko-KR"/>
        </w:rPr>
      </w:pPr>
      <w:r>
        <w:rPr>
          <w:lang w:eastAsia="ko-KR"/>
        </w:rPr>
        <w:t>기존 연구의 주된 틀은 소리를 노출(exposure)로, 행태를 결과(outcome)로 보는 것이다. 그러나 선행 문헌을 검토하는 과정에서 반대 방향, 즉 사람의 활동과 점유(occupancy)가 음환경을 형성하는 경로를 다룬 연구도 적지 않다는 점이 확인됐고, 이에 따라 본 리뷰는 이러한 역방향 연구도 프로토콜 등록 시점부터 적격으로 규정했다(2.2절). 역방향 연구는 군중 밀도가 높아지면 음압이 달라지는지, 광장 무용 같은 활동이 인접 주거의 음환경을 바꾸는지, 동행자 유무가 소리를 알아차리는 방식을 바꾸는지, 시장 배치를 조정해 발생 소음을 줄일 수 있는지와 같은 질문을 다룬다. 본 리뷰의 코퍼스에서 방향을 판별할 수 있었던 레코드 187건 가운데 74건(40%)이 이러한 역방향이었다(3.6절). 역방향 레코드는 행태 도메인에 따라 고르게 분포하지 않았다. 실험적으로 조작하기 쉬운 이동과 체류에서는 순방향 설계가 대부분이었지만, 공간이용, 활동, 사회적 행태에서는 순방향과 역방향 레코드가 비슷한 비중을 보였다. 이는 집합적이고 지속적인 활동이 음환경을 만드는 요인으로 이미 연구되고 있지만, 분야의 일반적인 틀에서는 상대적으로 덜 주목받아 왔음을 시사한다.</w:t>
      </w:r>
    </w:p>
    <w:p>
      <w:pPr>
        <w:ind w:firstLine="288"/>
        <w:jc w:val="both"/>
        <w:rPr>
          <w:lang w:eastAsia="ko-KR"/>
        </w:rPr>
      </w:pPr>
      <w:r>
        <w:rPr>
          <w:lang w:eastAsia="ko-KR"/>
        </w:rPr>
        <w:t>이러한 역방향 증거는 계획에 직접적인 의미를 갖는다. 설계자와 운영자는 소음원뿐 아니라 활동의 배치, 공간 이용 밀도, 벤치와 놀이 공간의 위치, 야외 공연의 허용 시간도 결정하며, 이러한 결정은 모두 결과적으로 형성되는 음환경에 영향을 준다. 소리를 노출로만 다루면 계획과 관련된 증거의 상당 부분이 분석에서 빠지게 된다. 다만 본 리뷰에서 말하는 양방향성은 두 방향의 연구가 함께 존재하는 증거의 구조, 즉 양방향 증거 구조(bidirectional evidence structure)를 뜻하며, 특정 장소에서 소리와 행태가 서로 영향을 주고받는 닫힌 인과 피드백 고리(closed causal feedback loop)가 입증됐다는 의미는 아니다.</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1.5 Previous reviews and contribution of this review</w:t>
      </w:r>
    </w:p>
    <w:p>
      <w:pPr>
        <w:ind w:firstLine="288"/>
        <w:jc w:val="both"/>
        <w:rPr>
          <w:lang w:eastAsia="ko-KR"/>
        </w:rPr>
      </w:pPr>
      <w:r>
        <w:rPr>
          <w:lang w:eastAsia="ko-KR"/>
        </w:rPr>
        <w:t>본 리뷰와 가장 가까운 선행 종합은 Wang 등 [15]의 도시 사운드스케이프와 신체활동에 관한 체계적 문헌고찰이다. 이 연구는 소리와 행태의 관계를 다룬다는 점에서 본 리뷰와 관심을 공유하지만, 행태 결과를 신체활동으로 한정했기 때문에 이동, 체류, 공간이용, 사회적 상호작용은 다루지 않았다. Zhang 등 [14]은 경관 요소와 사운드스케이프 지각의 연관을 메타분석으로 종합해, 본 리뷰가 다루는 연결의 바로 앞 단계에 해당하는 근거를 제시했다. 본 리뷰는 그다음 단계, 즉 음향 조건과 사운드스케이프 평가가 관찰 가능한 행태로 이어지는 연결을 다룬다. 자연음 연구도 인접한 증거 기반이다. Buxton 등 [16]은 자연음의 건강 편익을 종합했지만, 결과변수는 도시 옥외공간에서의 행태가 아니라 스트레스, 정동(affect), 건강 지표였다. 이러한 결과는 행태 연구의 배경으로서 의미가 있지만, 그것만으로 행태적 효과를 뒷받침하지는 못한다.</w:t>
      </w:r>
    </w:p>
    <w:p>
      <w:pPr>
        <w:ind w:firstLine="288"/>
        <w:jc w:val="both"/>
        <w:rPr>
          <w:lang w:eastAsia="ko-KR"/>
        </w:rPr>
      </w:pPr>
      <w:r>
        <w:rPr>
          <w:lang w:eastAsia="ko-KR"/>
        </w:rPr>
        <w:t>한편 개념 연구에서는 활동 적합성(activity appropriateness)과 사운드스케이프 어포던스(soundscape affordance)를 중심으로 소리를 활동과 연결해 계획에 통합하려는 틀이 제안돼 왔다[4,17]. 본 리뷰의 코퍼스에 포함된 한 도시 사운드 개입 연구는 이용자가 직접 음악을 틀 수 있는 설치물이 체류와 상호작용을 늘리면서도 지각된 평온함과 적합성은 떨어뜨리지 않았다고 보고해, 활동과 사운드스케이프가 서로 얽혀 있음을 보여 주었다[18]. 본 리뷰는 이처럼 흩어져 있던 연구 흐름을 체계적인 행태 증거로 모으고 양방향 증거 구조를 정량적으로 제시한다는 점에서 기존 종합과 구별된다. 또한 행태 측정 방법을 자기보고, 체계적 관찰, 센싱·궤적 자료의 세 세대로 분류해, 새로운 측정 방법이 기존 방법을 대체했는지 아니면 함께 쓰이고 있는지를 살펴본다. 자기보고된 의도나 지각을 관찰된 행태와 같은 것으로 해석할 수 없기 때문에 이 구분이 필요하며, 측정 방법의 차이는 소리–행태 상관 연구에서 나타나는 큰 이질성의 원인일 수도 있다.</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1.6 Research questions</w:t>
      </w:r>
    </w:p>
    <w:p>
      <w:pPr>
        <w:ind w:firstLine="288"/>
        <w:jc w:val="both"/>
        <w:rPr>
          <w:lang w:eastAsia="ko-KR"/>
        </w:rPr>
      </w:pPr>
      <w:r>
        <w:rPr>
          <w:lang w:eastAsia="ko-KR"/>
        </w:rPr>
        <w:t>이에 따라 본 연구에서는 아래와 같이 네 개의 연구 질문을 설정했다.</w:t>
      </w:r>
    </w:p>
    <w:p>
      <w:pPr>
        <w:pStyle w:val="aa"/>
        <w:numPr>
          <w:ilvl w:val="0"/>
          <w:numId w:val="11"/>
        </w:numPr>
        <w:jc w:val="both"/>
        <w:rPr>
          <w:lang w:eastAsia="ko-KR"/>
        </w:rPr>
      </w:pPr>
      <w:r>
        <w:rPr>
          <w:b/>
          <w:lang w:eastAsia="ko-KR"/>
        </w:rPr>
        <w:t>RQ1.</w:t>
      </w:r>
      <w:r>
        <w:rPr>
          <w:lang w:eastAsia="ko-KR"/>
        </w:rPr>
        <w:t xml:space="preserve"> 도시 옥외공간에서 음환경·사운드스케이프와 관찰 가능한 행태의 연관은 어느 크기와 방향을 가지며, 행태 도메인에 따라 어떻게 달라지는가?</w:t>
      </w:r>
    </w:p>
    <w:p>
      <w:pPr>
        <w:pStyle w:val="aa"/>
        <w:numPr>
          <w:ilvl w:val="0"/>
          <w:numId w:val="11"/>
        </w:numPr>
        <w:jc w:val="both"/>
        <w:rPr>
          <w:lang w:eastAsia="ko-KR"/>
        </w:rPr>
      </w:pPr>
      <w:r>
        <w:rPr>
          <w:b/>
          <w:lang w:eastAsia="ko-KR"/>
        </w:rPr>
        <w:t>RQ2.</w:t>
      </w:r>
      <w:r>
        <w:rPr>
          <w:lang w:eastAsia="ko-KR"/>
        </w:rPr>
        <w:t xml:space="preserve"> 증거 가운데 행태·활동에서 음환경 또는 사운드스케이프로 향하는 역방향의 비중은 얼마이며, 어느 행태 도메인에서 그러한가?</w:t>
      </w:r>
    </w:p>
    <w:p>
      <w:pPr>
        <w:pStyle w:val="aa"/>
        <w:numPr>
          <w:ilvl w:val="0"/>
          <w:numId w:val="11"/>
        </w:numPr>
        <w:jc w:val="both"/>
        <w:rPr>
          <w:lang w:eastAsia="ko-KR"/>
        </w:rPr>
      </w:pPr>
      <w:r>
        <w:rPr>
          <w:b/>
          <w:lang w:eastAsia="ko-KR"/>
        </w:rPr>
        <w:t>RQ3.</w:t>
      </w:r>
      <w:r>
        <w:rPr>
          <w:lang w:eastAsia="ko-KR"/>
        </w:rPr>
        <w:t xml:space="preserve"> 행태 측정 방법은 시간에 따라 어떻게 변해 왔으며, 새로운 센싱 방법은 기존 방법을 대체하는가, 아니면 함께 쓰이는가?</w:t>
      </w:r>
    </w:p>
    <w:p>
      <w:pPr>
        <w:pStyle w:val="aa"/>
        <w:numPr>
          <w:ilvl w:val="0"/>
          <w:numId w:val="11"/>
        </w:numPr>
        <w:jc w:val="both"/>
        <w:rPr>
          <w:lang w:eastAsia="ko-KR"/>
        </w:rPr>
      </w:pPr>
      <w:r>
        <w:rPr>
          <w:b/>
          <w:lang w:eastAsia="ko-KR"/>
        </w:rPr>
        <w:t>RQ4.</w:t>
      </w:r>
      <w:r>
        <w:rPr>
          <w:lang w:eastAsia="ko-KR"/>
        </w:rPr>
        <w:t xml:space="preserve"> 이 증거로부터 합리적으로 도출할 수 있는 계획 조치는 무엇이며, 각 조치를 뒷받침하는 근거는 얼마나 강한가?</w:t>
      </w:r>
    </w:p>
    <w:p>
      <w:pPr>
        <w:ind w:firstLine="288"/>
        <w:jc w:val="both"/>
        <w:rPr>
          <w:lang w:eastAsia="ko-KR"/>
        </w:rPr>
      </w:pPr>
      <w:r>
        <w:rPr>
          <w:lang w:eastAsia="ko-KR"/>
        </w:rPr>
        <w:t>RQ1부터 RQ3까지는 증거의 현황을 파악하기 위한 질문이고, RQ4는 그 결과를 계획 실무에 적용할 수 있는 형태로 정리하기 위한 질문이다. 이를 위해 본 리뷰는 메타분석으로 얻은 효과 추정치와 그로부터 도출한 계획 권고를 구분해 제시하며, 통계적으로 유의한 결과라도 곧바로 설계 처방의 확실성을 뜻하지는 않는다는 점을 전제로 한다.</w:t>
      </w:r>
    </w:p>
    <w:p>
      <w:pPr>
        <w:jc w:val="both"/>
        <w:rPr>
          <w:lang w:eastAsia="ko-KR"/>
        </w:rPr>
      </w:pPr>
    </w:p>
    <w:p>
      <w:pPr>
        <w:widowControl w:val="0"/>
        <w:autoSpaceDE w:val="0"/>
        <w:autoSpaceDN w:val="0"/>
        <w:jc w:val="both"/>
        <w:outlineLvl w:val="0"/>
        <w:rPr>
          <w:b/>
          <w:color w:val="000000"/>
          <w:kern w:val="2"/>
          <w:szCs w:val="24"/>
          <w:lang w:eastAsia="ko-KR"/>
        </w:rPr>
      </w:pPr>
      <w:r>
        <w:rPr>
          <w:b/>
          <w:color w:val="000000"/>
          <w:kern w:val="2"/>
          <w:szCs w:val="24"/>
          <w:lang w:eastAsia="ko-KR"/>
        </w:rPr>
        <w:t>2. Methods</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2.1 Protocol and registration</w:t>
      </w:r>
    </w:p>
    <w:p>
      <w:pPr>
        <w:ind w:firstLine="288"/>
        <w:jc w:val="both"/>
        <w:rPr>
          <w:lang w:eastAsia="ko-KR"/>
        </w:rPr>
      </w:pPr>
      <w:r>
        <w:rPr>
          <w:lang w:eastAsia="ko-KR"/>
        </w:rPr>
        <w:t>본 체계적 문헌고찰과 메타분석은 PRISMA 2020 성명[19]에 따라 수행하고 보고했다. 프로토콜은 스크리닝을 시작하기 전에 OSF Registries에 사전등록했으며(osf.io/7ew8q), 효과크기 산출과 합성에 관한 분석 규칙은 효과크기를 계산하기 전에 확정했다. 프로토콜과 달라진 사항은 2.9절에 제시했다.</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2.2 Eligibility criteria</w:t>
      </w:r>
    </w:p>
    <w:p>
      <w:pPr>
        <w:ind w:firstLine="288"/>
        <w:jc w:val="both"/>
        <w:rPr>
          <w:lang w:eastAsia="ko-KR"/>
        </w:rPr>
      </w:pPr>
      <w:r>
        <w:rPr>
          <w:lang w:eastAsia="ko-KR"/>
        </w:rPr>
        <w:t>다음 기준을 모두 충족한 연구를 포함했다. 첫째, 사람을 대상으로 한 연구로 한정했다. 둘째, 옥외 또는 반옥외의 도시·경관 공공공간(공원, 가로, 광장, 수변, 옥외 캠퍼스, 주거 옥외공간, 레크리에이션 공간)을 다룬 연구로 한정했다. 셋째, 소음, 자연음, 음악, 사운드스케이프 등 음환경을 노출로 다룬 연구를 포함했으며, 1.4절에서 설명한 이유로 행태와 활동이 음환경이나 사운드스케이프에 미치는 영향을 다룬 역방향 연구도 포함했다. 넷째, 관찰 가능한 행태, 즉 이동(보행속도, 경로, 횡단), 체류(체류시간, 착석), 공간이용(방문, 점유), 활동(신체활동, 여가), 사회적 상호작용 중 하나 이상을 결과로 측정한 연구로 한정했으며, 자기보고로 측정한 행태도 포함했다. 다섯째, 영어로 게재된 동료심사 학술지의 실증 연구로 한정했다. 동물 행태 연구, 실내·차량·병원·직장 환경의 연구, 지각·선호·성가심도·회복감·생리반응만 보고한 연구는 제외했다. 옥외 장면을 재현한 실험실·가상현실 연구는 포함하되 이들을 제외한 민감도 분석을 수행했고, 방문 의향처럼 행태 의도만을 결과로 보고한 연구는 민감도 분석에만 사용했다.</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2.3 Information sources and search strategy</w:t>
      </w:r>
    </w:p>
    <w:p>
      <w:pPr>
        <w:ind w:firstLine="288"/>
        <w:jc w:val="both"/>
        <w:rPr>
          <w:lang w:eastAsia="ko-KR"/>
        </w:rPr>
      </w:pPr>
      <w:r>
        <w:rPr>
          <w:lang w:eastAsia="ko-KR"/>
        </w:rPr>
        <w:t>2026년 8월 2일에 Web of Science Core Collection, Scopus, PubMed를 검색했다. 검색식은 음환경, 행태, 도시 옥외 세팅에 관한 세 개념 블록을 AND로 결합해 구성했고, 출판 기간은 제한하지 않았으며 영어 학술지 논문으로 한정했다. 데이터베이스별 검색식은 Appendix A에 제시했다. 검색 전략은 적격성이 이미 확인된 논문 5편이 모두 검색되는지 확인해 점검했다. 데이터베이스 검색을 보완하기 위해 두 가지 방법을 추가로 사용했다. 첫째, 데이터베이스 검색으로 포함되거나 민감도 분석용으로 분류된 84편의 참고문헌과 피인용 문헌을 OpenAlex에서 수집하는 후방·전방 인용 추적을 수행했다. 둘째, OpenAlex가 Web of Science나 Scopus보다 넓은 범위의 문헌을 색인한다는 점을 고려해[20], 같은 개념 블록으로 구성한 검색식으로 OpenAlex를 검색하고 세 데이터베이스에 색인되지 않은 레코드를 확인했다.</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2.4 Study selection</w:t>
      </w:r>
    </w:p>
    <w:p>
      <w:pPr>
        <w:ind w:firstLine="288"/>
        <w:jc w:val="both"/>
        <w:rPr>
          <w:lang w:eastAsia="ko-KR"/>
        </w:rPr>
      </w:pPr>
      <w:r>
        <w:rPr>
          <w:lang w:eastAsia="ko-KR"/>
        </w:rPr>
        <w:t>스크리닝과 자료 추출(2.5절)은 AI 보조 결과를 한 명의 리뷰어가 검증하는 방식으로 수행했다. 중복 레코드를 제거한 뒤 제목과 초록으로 1차 선별하고, 적격 가능성이 있는 레코드의 전문을 검토했다. 행태 결과를 측정하고도 초록에는 지각 결과만 보고한 연구가 많았기 때문에, 제목과 초록만으로 판단하기 어려운 레코드는 배제하지 않고 전문 검토로 넘겼다. 인용 추적으로 얻은 레코드는 수가 많고 주제와 무관한 문헌이 많아, 세 개념 블록 중 두 개 이상에 해당하는 용어가 제목에 나타나고 동물 음향 연구가 아닌 레코드를 자동으로 선별한 뒤 스크리닝했다. 전문 검토에서 반복적으로 나타난 경계 사례는 개별 판정에 앞서 규칙으로 정한 뒤 일관되게 적용했다. 주거지 소음 노출과 비특정 신체활동의 관계를 다룬 연구는 제외했고, 평정 결과를 가진 역방향 연구는 포함했다.</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2.5 Data extraction and coding</w:t>
      </w:r>
    </w:p>
    <w:p>
      <w:pPr>
        <w:ind w:firstLine="288"/>
        <w:jc w:val="both"/>
        <w:rPr>
          <w:lang w:eastAsia="ko-KR"/>
        </w:rPr>
      </w:pPr>
      <w:r>
        <w:rPr>
          <w:lang w:eastAsia="ko-KR"/>
        </w:rPr>
        <w:t>표준화된 추출 양식을 사용해 서지 정보, 국가, 세팅, 연구 설계, 표본 크기, 노출, 행태 도메인, 행태 측정 방법, 관계의 방향, 주요 결과, 효과 통계를 추출했다. 효과 통계는 원문에 보고된 값과 그 위치를 그대로 기록했고, 효과크기로의 변환은 합성 단계에서만 수행했다. 행태 결과는 이동, 체류, 공간이용, 활동, 사회적 상호작용의 다섯 도메인으로 분류했으며, 한 연구가 여러 도메인에 해당하면 각 도메인에 모두 포함했다. 관계의 방향은 음환경이 행태에 미치는 영향을 다룬 순방향(forward), 행태나 활동이 음환경 또는 사운드스케이프에 미치는 영향을 다룬 역방향(reverse), 두 방향을 모두 다룬 양방향(both)으로 코딩했다. 방향 분포는 연구 단위와 함께, 연구 × 행태 도메인 레코드 단위로도 집계했다. 행태 측정 방법은 자기보고(G1), 체계적 관찰(G2), 센서·GPS·영상·빅데이터를 이용한 측정(G3)으로 분류했고, 여러 방법을 함께 사용한 연구는 해당하는 모든 범주에 포함했다. 소음계처럼 노출만 측정한 장비는 G3로 분류하지 않았다. 증거 지도(evidence map)를 작성하기 위해 음원은 교통, 일반 소음, 자연음, 음악·부가음, 사람·군중, 항공기, 기타로 분류했다.</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2.6 Quality appraisal</w:t>
      </w:r>
    </w:p>
    <w:p>
      <w:pPr>
        <w:ind w:firstLine="288"/>
        <w:jc w:val="both"/>
        <w:rPr>
          <w:lang w:eastAsia="ko-KR"/>
        </w:rPr>
      </w:pPr>
      <w:r>
        <w:rPr>
          <w:lang w:eastAsia="ko-KR"/>
        </w:rPr>
        <w:t>포함 연구의 방법론적 질은 Mixed Methods Appraisal Tool(MMAT) 2018로 평가했다[21]. MMAT는 질적, 무작위배정, 비무작위 정량, 정량 기술, 혼합 연구의 다섯 범주마다 다섯 문항을 적용하며, 각 문항은 충족(Yes), 미충족(No), 판단불가(Can't tell)로 판정한다. 범주는 전문을 검토해 배정했고, 충족 문항 수에 따라 4~5개는 high, 3개는 moderate, 0~2개는 low로 분류했다. 품질 등급은 배제 기준으로 사용하지 않고 민감도 분석에 활용했다. 자료 추출 과정에서 전문 텍스트가 잘린 연구는 전체 전문으로 다시 평가했다.</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2.7 Meta-analysis</w:t>
      </w:r>
    </w:p>
    <w:p>
      <w:pPr>
        <w:ind w:firstLine="288"/>
        <w:jc w:val="both"/>
        <w:rPr>
          <w:lang w:eastAsia="ko-KR"/>
        </w:rPr>
      </w:pPr>
      <w:r>
        <w:rPr>
          <w:lang w:eastAsia="ko-KR"/>
        </w:rPr>
        <w:t xml:space="preserve">같은 행태 결과를 같은 대비 방식으로 다룬 독립 효과가 3개 이상일 때 메타분석을 수행했다. 집단 간 비교는 Hedges' </w:t>
      </w:r>
      <w:r>
        <w:rPr>
          <w:i/>
          <w:lang w:eastAsia="ko-KR"/>
        </w:rPr>
        <w:t>g</w:t>
      </w:r>
      <w:r>
        <w:rPr>
          <w:lang w:eastAsia="ko-KR"/>
        </w:rPr>
        <w:t xml:space="preserve">로 산출했고[22], 2 × 2 빈도로 보고된 결과는 오즈비를 Chinn의 방법으로 </w:t>
      </w:r>
      <w:r>
        <w:rPr>
          <w:i/>
          <w:lang w:eastAsia="ko-KR"/>
        </w:rPr>
        <w:t>d</w:t>
      </w:r>
      <w:r>
        <w:rPr>
          <w:lang w:eastAsia="ko-KR"/>
        </w:rPr>
        <w:t xml:space="preserve">로 변환했으며[23], 상관계수는 Fisher's </w:t>
      </w:r>
      <w:r>
        <w:rPr>
          <w:i/>
          <w:lang w:eastAsia="ko-KR"/>
        </w:rPr>
        <w:t>z</w:t>
      </w:r>
      <w:r>
        <w:rPr>
          <w:lang w:eastAsia="ko-KR"/>
        </w:rPr>
        <w:t xml:space="preserve">로 변환해 합성한 뒤 </w:t>
      </w:r>
      <w:r>
        <w:rPr>
          <w:i/>
          <w:lang w:eastAsia="ko-KR"/>
        </w:rPr>
        <w:t>r</w:t>
      </w:r>
      <w:r>
        <w:rPr>
          <w:lang w:eastAsia="ko-KR"/>
        </w:rPr>
        <w:t>로 제시했다. 한 연구가 같은 분석에 여러 효과를 제공하면 사전에 정한 우선순위(객관적 측정, 주분석, 전체표본)에 따라 하나를 선택했고, 같은 순위의 효과가 여럿이면 효과 간 상관을 0.5로 가정해 연구 내에서 합성했다. 표본을 공유하는 연구는 한 편만 포함했고, 반복 관측 설계에서는 관측 수가 아니라 참가자 수를 표본 크기로 사용했다.</w:t>
      </w:r>
    </w:p>
    <w:p>
      <w:pPr>
        <w:ind w:firstLine="288"/>
        <w:jc w:val="both"/>
        <w:rPr>
          <w:lang w:eastAsia="ko-KR"/>
        </w:rPr>
      </w:pPr>
      <w:r>
        <w:rPr>
          <w:lang w:eastAsia="ko-KR"/>
        </w:rPr>
        <w:t xml:space="preserve">효과는 REML 랜덤효과 모형으로 합성하고 신뢰구간에 Hartung–Knapp 보정을 적용했다[24]. 연구 간 이질성은 τ²와 </w:t>
      </w:r>
      <w:r>
        <w:rPr>
          <w:i/>
          <w:lang w:eastAsia="ko-KR"/>
        </w:rPr>
        <w:t>I</w:t>
      </w:r>
      <w:r>
        <w:rPr>
          <w:lang w:eastAsia="ko-KR"/>
        </w:rPr>
        <w:t xml:space="preserve">²로 평가했고, </w:t>
      </w:r>
      <w:r>
        <w:rPr>
          <w:i/>
          <w:lang w:eastAsia="ko-KR"/>
        </w:rPr>
        <w:t>I</w:t>
      </w:r>
      <w:r>
        <w:rPr>
          <w:lang w:eastAsia="ko-KR"/>
        </w:rPr>
        <w:t xml:space="preserve">²가 25%, 50%, 75% 이상이면 각각 낮은, 중간, 높은 이질성으로 해석했다[25]. 새로운 연구에서 기대되는 효과 범위를 제시하기 위해 95% 예측구간을 함께 산출했다[26]. 결과의 안정성은 여덟 가지 민감도 분석으로 확인했다. 한 편씩 제외하는 분석(leave-one-out), MMAT low 등급 연구 제외, 관측 단위에 따른 표본 크기 재계산, 순위상관 제외, 결측값을 복원한 입력의 제외, 보행속도 분석의 대안적 정의, 실험실 재현 연구 제외, 인용 추적으로 확보한 연구 제외가 그것이다. 출판편향 평가(깔때기 그림과 Egger 검정)는 사전 규칙에 따라 </w:t>
      </w:r>
      <w:r>
        <w:rPr>
          <w:i/>
          <w:lang w:eastAsia="ko-KR"/>
        </w:rPr>
        <w:t>k</w:t>
      </w:r>
      <w:r>
        <w:rPr>
          <w:lang w:eastAsia="ko-KR"/>
        </w:rPr>
        <w:t xml:space="preserve"> ≥ 10인 경우에만 수행하기로 했다[27]. 사전등록한 하위그룹 분석은 클러스터당 효과 수가 적어 수행하지 않았다. 유의수준은 양측 </w:t>
      </w:r>
      <w:r>
        <w:rPr>
          <w:i/>
          <w:lang w:eastAsia="ko-KR"/>
        </w:rPr>
        <w:t>p</w:t>
      </w:r>
      <w:r>
        <w:rPr>
          <w:lang w:eastAsia="ko-KR"/>
        </w:rPr>
        <w:t xml:space="preserve"> &lt; 0.05로 했으며, 모든 분석은 Python 3.13(NumPy 2.2, SciPy 1.17)으로 수행했다.</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2.8 Planning levers and planning evidence strength</w:t>
      </w:r>
    </w:p>
    <w:p>
      <w:pPr>
        <w:ind w:firstLine="288"/>
        <w:jc w:val="both"/>
        <w:rPr>
          <w:lang w:eastAsia="ko-KR"/>
        </w:rPr>
      </w:pPr>
      <w:r>
        <w:rPr>
          <w:lang w:eastAsia="ko-KR"/>
        </w:rPr>
        <w:t>계획 실무에 대한 함의를 정리하기 위해, 포함 연구에서 실제로 조작되거나 측정된 노출을 설계자나 운영자가 바꿀 수 있는 조치, 즉 계획 레버(planning lever)로 귀납적으로 묶었다. 예를 들어 소음 수준이 높다는 것은 상태이며, 환기 설비를 옮기거나 유지관리 일정을 조정하는 것이 레버에 해당한다. 각 레버에는 계획 근거 강도(planning evidence strength)를 high, moderate, low, very low의 네 수준으로 부여했다. 판정에는 기여 연구 수, 연구들의 MMAT 등급 구성, 합성 결과의 신뢰구간이 0을 배제하는지 여부, 세팅의 다양성, 민감도 분석에서 결과가 유지되는지를 함께 고려했다. 이는 계획 적용을 위한 실용적 종합 판단이며, GRADE와 같은 검증된 증거 확실성(certainty-of-evidence) 평가 체계는 아니다.</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2.9 Deviations from the protocol</w:t>
      </w:r>
    </w:p>
    <w:p>
      <w:pPr>
        <w:ind w:firstLine="288"/>
        <w:jc w:val="both"/>
        <w:rPr>
          <w:lang w:eastAsia="ko-KR"/>
        </w:rPr>
      </w:pPr>
      <w:r>
        <w:rPr>
          <w:lang w:eastAsia="ko-KR"/>
        </w:rPr>
        <w:t>프로토콜과 달라진 주요 사항은 다음과 같다. 사전등록한 다섯 개 행태 클러스터 가운데 방문·공간이용은 연구들이 분산 정보를 보고하지 않아 합성하지 못했으며, 최종 메타분석은 보행속도, 체류, 사회적 상호작용, 소리–행태 상관의 네 클러스터로 수행했다. 무작위배정 연구에 대한 RoB 2 평가는 해당 연구가 2편뿐이고 필요한 정보를 보고하지 않아 수행하지 않았다. 인용 추적 레코드에는 등록 시점에 명시하지 않은 제목 기준 자동 선별을 적용했다. 경계 규칙은 등록 이후 전문 검토 과정에서 정했으며, 옥외 장면을 실험실에서 재현한 연구를 민감도 분석 전용으로 분류하는 규칙은 인용 추적 경로에만 적용됐다. 다만 이러한 연구는 어느 메타분석에도 포함되지 않아 결과에는 영향이 없었다. 보행속도 메타분석에서는 노출과 행태의 정의가 다른 광장 배경음악 연구를, 사회적 상호작용 메타분석에서는 관찰 기록 간 독립성이 성립하지 않는 연구 한 편을 제외하고, 두 연구를 포함한 결과는 민감도 분석으로 보고했다(3.5절). 체류 메타분석에는 체류시간 대신 방문빈도를 결과로 보고한 연구를 포함한 분석을 사후 민감도 분석으로 추가했다. 분석을 마친 뒤 수행한 독립 코드 검토에서는 τ² 추정 방식, 보행속도 분석의 연구당 단일 효과 규칙 위반, 상관 분석 입력값 2건, 순위상관 제외 민감도 분석의 구현에서 모두 네 건의 오류가 확인돼 모든 메타분석을 재계산했으며, 이 수정은 결론을 바꾸지 않았다. 전체 편차 기록은 OSF 프로젝트에 공개한다.</w:t>
      </w:r>
    </w:p>
    <w:p>
      <w:pPr>
        <w:jc w:val="both"/>
        <w:rPr>
          <w:lang w:eastAsia="ko-KR"/>
        </w:rPr>
      </w:pPr>
    </w:p>
    <w:p>
      <w:pPr>
        <w:widowControl w:val="0"/>
        <w:autoSpaceDE w:val="0"/>
        <w:autoSpaceDN w:val="0"/>
        <w:jc w:val="both"/>
        <w:outlineLvl w:val="0"/>
        <w:rPr>
          <w:b/>
          <w:color w:val="000000"/>
          <w:kern w:val="2"/>
          <w:szCs w:val="24"/>
          <w:lang w:eastAsia="ko-KR"/>
        </w:rPr>
      </w:pPr>
      <w:r>
        <w:rPr>
          <w:b/>
          <w:color w:val="000000"/>
          <w:kern w:val="2"/>
          <w:szCs w:val="24"/>
          <w:lang w:eastAsia="ko-KR"/>
        </w:rPr>
        <w:t>3. Results</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3.1 Study selection</w:t>
      </w:r>
    </w:p>
    <w:p>
      <w:pPr>
        <w:ind w:firstLine="288"/>
        <w:jc w:val="both"/>
        <w:rPr>
          <w:lang w:eastAsia="ko-KR"/>
        </w:rPr>
      </w:pPr>
      <w:r>
        <w:rPr>
          <w:lang w:eastAsia="ko-KR"/>
        </w:rPr>
        <w:t>데이터베이스 검색에서 2,073건(Web of Science 1,010건, Scopus 850건, PubMed 213건)을 확인했다. 중복 757건을 제거한 1,316건을 스크리닝해 1,127건을 배제했고, 189건을 전문 확보 대상으로 선정했다. 이 가운데 89건은 전문을 확보하지 못했으며, 그중 84건은 스크리닝 단계에서 판단이 불확실한 레코드로 분류된 것이었다. 전문을 평가한 100편 가운데 16편을 배제하고 3편을 민감도 분석용으로 분류해, 데이터베이스 경로에서 81편을 포함했다. 데이터베이스 경로의 포함 연구 81편과 민감도 분석용 3편, 총 84편의 인용을 추적해 기존 풀에 없던 2,073건을 추가로 확인했다. 제목 기준 자동 선별 후 428건을 제목으로, 146건을 초록으로 스크리닝해 79건을 전문 확보 대상으로 선정했고, 확보한 54편 가운데 38편을 배제하고 1편을 민감도 분석용으로 분류해 15편을 추가로 포함했다. 이는 데이터베이스 경로 산출의 19%에 해당한다. 보조 색인 경로에서는 329건을 스크리닝해 15건을 전문 확보 대상으로 선정하고, 5편을 평가해 2편을 포함했다. 최종적으로 98편을 리뷰에 포함했으며, 민감도 분석에만 사용한 4편을 더하면 분석 대상은 102편이다. 선별 과정은 Fig. 1에 제시했다.</w:t>
      </w:r>
    </w:p>
    <w:p>
      <w:pPr>
        <w:spacing w:before="200" w:after="80" w:line="240" w:lineRule="auto"/>
        <w:jc w:val="center"/>
      </w:pPr>
      <w:r>
        <w:drawing>
          <wp:inline xmlns:a="http://schemas.openxmlformats.org/drawingml/2006/main" xmlns:pic="http://schemas.openxmlformats.org/drawingml/2006/picture">
            <wp:extent cx="5568950" cy="4429043"/>
            <wp:docPr id="1" name="Picture 1"/>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5568950" cy="4429043"/>
                    </a:xfrm>
                    <a:prstGeom prst="rect"/>
                  </pic:spPr>
                </pic:pic>
              </a:graphicData>
            </a:graphic>
          </wp:inline>
        </w:drawing>
      </w:r>
    </w:p>
    <w:p>
      <w:pPr>
        <w:spacing w:after="240" w:line="240" w:lineRule="auto"/>
      </w:pPr>
      <w:r>
        <w:rPr>
          <w:b/>
          <w:sz w:val="22"/>
        </w:rPr>
        <w:t xml:space="preserve">Fig. 1. </w:t>
      </w:r>
      <w:r>
        <w:rPr>
          <w:sz w:val="22"/>
        </w:rPr>
        <w:t>PRISMA 2020 flow diagram of study identification, screening and inclusion. Other methods comprised backward and forward citation searching of the 84 studies included or retained for sensitivity analysis through database searching, and a supplementary search of OpenAlex for records not indexed in the three databases. Records from citation searching were prefiltered by an automated title-level filter before screening.</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3.2 Characteristics of included studies</w:t>
      </w:r>
    </w:p>
    <w:p>
      <w:pPr>
        <w:ind w:firstLine="288"/>
        <w:jc w:val="both"/>
        <w:rPr>
          <w:lang w:eastAsia="ko-KR"/>
        </w:rPr>
      </w:pPr>
      <w:r>
        <w:rPr>
          <w:lang w:eastAsia="ko-KR"/>
        </w:rPr>
        <w:t>포함된 98편 중 70편(71%)이 2020년 이후에 게재됐으며, 출판연도의 중앙값은 2022년이고 가장 오래된 연구는 1975년에 발표됐다. 참가자 수를 보고한 56편의 중앙값은 124명(IQR 30–400)이었다. 나머지 연구는 가로 구간, GPS 궤적, 스트리트뷰 표본점처럼 참가자가 아닌 단위로 표본을 보고했으며, 가장 큰 표본은 자전거 통행 81,403건이었다. 세팅은 가로(41편)와 공원(32편)이 대부분이었고, 광장(10편), 캠퍼스, 주거 옥외공간, 수변이 뒤를 이었다. 연구 설계는 관찰과 설문을 결합한 혼합 연구(34편)가 가장 많았고, 설문 연구(25편), 현장실험 또는 자연실험(19편, 19%), 현장 관찰(7편), 센서·빅데이터 연구(6편), 실험실·가상현실 실험(5편)이 뒤를 이었다. 포함 연구의 특성은 Table 1에, 개별 연구의 특성은 Appendix B에 제시했다.</w:t>
      </w:r>
    </w:p>
    <w:p>
      <w:pPr>
        <w:ind w:firstLine="288"/>
        <w:jc w:val="both"/>
        <w:rPr>
          <w:lang w:eastAsia="ko-KR"/>
        </w:rPr>
      </w:pPr>
      <w:r>
        <w:rPr>
          <w:lang w:eastAsia="ko-KR"/>
        </w:rPr>
        <w:t>연구가 수행된 국가는 중국이 38편(39%)으로 가장 많았고, 스페인(7편), 영국(6편), 독일(5편)이 뒤를 이었으며, 4편은 자료 수집 국가를 보고하지 않았다(Fig. 2a). 역방향 연구 33편 가운데 31편은 2016년 이후에 발표됐다(Fig. 2b).</w:t>
      </w:r>
    </w:p>
    <w:p>
      <w:pPr>
        <w:spacing w:before="160" w:after="80" w:line="240" w:lineRule="auto"/>
        <w:rPr>
          <w:b/>
          <w:sz w:val="22"/>
          <w:lang w:eastAsia="ko-KR"/>
        </w:rPr>
      </w:pPr>
      <w:r>
        <w:rPr>
          <w:b/>
          <w:sz w:val="22"/>
          <w:lang w:eastAsia="ko-KR"/>
        </w:rPr>
        <w:br w:type="page"/>
      </w:r>
    </w:p>
    <w:p>
      <w:pPr>
        <w:spacing w:before="160" w:after="80" w:line="240" w:lineRule="auto"/>
      </w:pPr>
      <w:r>
        <w:rPr>
          <w:b/>
          <w:sz w:val="22"/>
        </w:rPr>
        <w:t>Table 1.</w:t>
      </w:r>
      <w:r>
        <w:rPr>
          <w:sz w:val="22"/>
        </w:rPr>
        <w:t xml:space="preserve"> Characteristics of the included studies (n = 98).</w:t>
      </w:r>
    </w:p>
    <w:tbl>
      <w:tblPr>
        <w:tblStyle w:val="af9"/>
        <w:tblW w:w="0" w:type="auto"/>
        <w:jc w:val="center"/>
        <w:tblBorders>
          <w:top w:val="single" w:sz="12" w:space="0" w:color="auto"/>
          <w:left w:val="none" w:sz="0" w:space="0" w:color="auto"/>
          <w:bottom w:val="single" w:sz="12" w:space="0" w:color="auto"/>
          <w:right w:val="none" w:sz="0" w:space="0" w:color="auto"/>
          <w:insideV w:val="none" w:sz="0" w:space="0" w:color="auto"/>
        </w:tblBorders>
        <w:tblLayout w:type="fixed"/>
        <w:tblLook w:val="04A0" w:firstRow="1" w:lastRow="0" w:firstColumn="1" w:lastColumn="0" w:noHBand="0" w:noVBand="1"/>
      </w:tblPr>
      <w:tblGrid>
        <w:gridCol w:w="4424"/>
        <w:gridCol w:w="2568"/>
        <w:gridCol w:w="1778"/>
      </w:tblGrid>
      <w:tr>
        <w:trPr>
          <w:trHeight w:val="278"/>
          <w:jc w:val="center"/>
        </w:trPr>
        <w:tc>
          <w:tcPr>
            <w:tcW w:w="4424" w:type="dxa"/>
          </w:tcPr>
          <w:p>
            <w:pPr>
              <w:spacing w:line="240" w:lineRule="auto"/>
              <w:rPr>
                <w:sz w:val="22"/>
              </w:rPr>
            </w:pPr>
            <w:r>
              <w:rPr>
                <w:b/>
                <w:sz w:val="22"/>
              </w:rPr>
              <w:t>Characteristic</w:t>
            </w:r>
          </w:p>
        </w:tc>
        <w:tc>
          <w:tcPr>
            <w:tcW w:w="2568" w:type="dxa"/>
          </w:tcPr>
          <w:p>
            <w:pPr>
              <w:spacing w:line="240" w:lineRule="auto"/>
              <w:rPr>
                <w:sz w:val="22"/>
              </w:rPr>
            </w:pPr>
            <w:r>
              <w:rPr>
                <w:b/>
                <w:sz w:val="22"/>
              </w:rPr>
              <w:t>Studies</w:t>
            </w:r>
          </w:p>
        </w:tc>
        <w:tc>
          <w:tcPr>
            <w:tcW w:w="1778" w:type="dxa"/>
          </w:tcPr>
          <w:p>
            <w:pPr>
              <w:spacing w:line="240" w:lineRule="auto"/>
              <w:rPr>
                <w:sz w:val="22"/>
              </w:rPr>
            </w:pPr>
            <w:r>
              <w:rPr>
                <w:b/>
                <w:sz w:val="22"/>
              </w:rPr>
              <w:t>%</w:t>
            </w:r>
          </w:p>
        </w:tc>
      </w:tr>
      <w:tr>
        <w:trPr>
          <w:trHeight w:val="278"/>
          <w:jc w:val="center"/>
        </w:trPr>
        <w:tc>
          <w:tcPr>
            <w:tcW w:w="8770" w:type="dxa"/>
            <w:gridSpan w:val="3"/>
            <w:tcBorders>
              <w:bottom w:val="single" w:sz="4" w:space="0" w:color="auto"/>
            </w:tcBorders>
          </w:tcPr>
          <w:p>
            <w:pPr>
              <w:spacing w:line="240" w:lineRule="auto"/>
              <w:rPr>
                <w:sz w:val="22"/>
              </w:rPr>
            </w:pPr>
            <w:r>
              <w:rPr>
                <w:b/>
                <w:sz w:val="22"/>
              </w:rPr>
              <w:t>Publication period</w:t>
            </w:r>
          </w:p>
        </w:tc>
      </w:tr>
      <w:tr>
        <w:trPr>
          <w:trHeight w:val="278"/>
          <w:jc w:val="center"/>
        </w:trPr>
        <w:tc>
          <w:tcPr>
            <w:tcW w:w="4424" w:type="dxa"/>
            <w:tcBorders>
              <w:top w:val="single" w:sz="4" w:space="0" w:color="auto"/>
              <w:bottom w:val="nil"/>
            </w:tcBorders>
          </w:tcPr>
          <w:p>
            <w:pPr>
              <w:spacing w:line="240" w:lineRule="auto"/>
              <w:rPr>
                <w:sz w:val="22"/>
              </w:rPr>
            </w:pPr>
            <w:r>
              <w:rPr>
                <w:sz w:val="22"/>
              </w:rPr>
              <w:t>≤2009</w:t>
            </w:r>
          </w:p>
        </w:tc>
        <w:tc>
          <w:tcPr>
            <w:tcW w:w="2568" w:type="dxa"/>
            <w:tcBorders>
              <w:top w:val="single" w:sz="4" w:space="0" w:color="auto"/>
              <w:bottom w:val="nil"/>
            </w:tcBorders>
          </w:tcPr>
          <w:p>
            <w:pPr>
              <w:spacing w:line="240" w:lineRule="auto"/>
              <w:rPr>
                <w:sz w:val="22"/>
              </w:rPr>
            </w:pPr>
            <w:r>
              <w:rPr>
                <w:sz w:val="22"/>
              </w:rPr>
              <w:t>5</w:t>
            </w:r>
          </w:p>
        </w:tc>
        <w:tc>
          <w:tcPr>
            <w:tcW w:w="1778" w:type="dxa"/>
            <w:tcBorders>
              <w:top w:val="single" w:sz="4" w:space="0" w:color="auto"/>
              <w:bottom w:val="nil"/>
            </w:tcBorders>
          </w:tcPr>
          <w:p>
            <w:pPr>
              <w:spacing w:line="240" w:lineRule="auto"/>
              <w:rPr>
                <w:sz w:val="22"/>
              </w:rPr>
            </w:pPr>
            <w:r>
              <w:rPr>
                <w:sz w:val="22"/>
              </w:rPr>
              <w:t>5%</w:t>
            </w:r>
          </w:p>
        </w:tc>
      </w:tr>
      <w:tr>
        <w:trPr>
          <w:trHeight w:val="278"/>
          <w:jc w:val="center"/>
        </w:trPr>
        <w:tc>
          <w:tcPr>
            <w:tcW w:w="4424" w:type="dxa"/>
            <w:tcBorders>
              <w:top w:val="nil"/>
              <w:bottom w:val="nil"/>
            </w:tcBorders>
          </w:tcPr>
          <w:p>
            <w:pPr>
              <w:spacing w:line="240" w:lineRule="auto"/>
              <w:rPr>
                <w:sz w:val="22"/>
              </w:rPr>
            </w:pPr>
            <w:r>
              <w:rPr>
                <w:sz w:val="22"/>
              </w:rPr>
              <w:t>2010–2019</w:t>
            </w:r>
          </w:p>
        </w:tc>
        <w:tc>
          <w:tcPr>
            <w:tcW w:w="2568" w:type="dxa"/>
            <w:tcBorders>
              <w:top w:val="nil"/>
              <w:bottom w:val="nil"/>
            </w:tcBorders>
          </w:tcPr>
          <w:p>
            <w:pPr>
              <w:spacing w:line="240" w:lineRule="auto"/>
              <w:rPr>
                <w:sz w:val="22"/>
              </w:rPr>
            </w:pPr>
            <w:r>
              <w:rPr>
                <w:sz w:val="22"/>
              </w:rPr>
              <w:t>23</w:t>
            </w:r>
          </w:p>
        </w:tc>
        <w:tc>
          <w:tcPr>
            <w:tcW w:w="1778" w:type="dxa"/>
            <w:tcBorders>
              <w:top w:val="nil"/>
              <w:bottom w:val="nil"/>
            </w:tcBorders>
          </w:tcPr>
          <w:p>
            <w:pPr>
              <w:spacing w:line="240" w:lineRule="auto"/>
              <w:rPr>
                <w:sz w:val="22"/>
              </w:rPr>
            </w:pPr>
            <w:r>
              <w:rPr>
                <w:sz w:val="22"/>
              </w:rPr>
              <w:t>23%</w:t>
            </w:r>
          </w:p>
        </w:tc>
      </w:tr>
      <w:tr>
        <w:trPr>
          <w:trHeight w:val="278"/>
          <w:jc w:val="center"/>
        </w:trPr>
        <w:tc>
          <w:tcPr>
            <w:tcW w:w="4424" w:type="dxa"/>
            <w:tcBorders>
              <w:top w:val="nil"/>
              <w:bottom w:val="single" w:sz="4" w:space="0" w:color="auto"/>
            </w:tcBorders>
          </w:tcPr>
          <w:p>
            <w:pPr>
              <w:spacing w:line="240" w:lineRule="auto"/>
              <w:rPr>
                <w:sz w:val="22"/>
              </w:rPr>
            </w:pPr>
            <w:r>
              <w:rPr>
                <w:sz w:val="22"/>
              </w:rPr>
              <w:t>2020–2026</w:t>
            </w:r>
          </w:p>
        </w:tc>
        <w:tc>
          <w:tcPr>
            <w:tcW w:w="2568" w:type="dxa"/>
            <w:tcBorders>
              <w:top w:val="nil"/>
              <w:bottom w:val="single" w:sz="4" w:space="0" w:color="auto"/>
            </w:tcBorders>
          </w:tcPr>
          <w:p>
            <w:pPr>
              <w:spacing w:line="240" w:lineRule="auto"/>
              <w:rPr>
                <w:sz w:val="22"/>
              </w:rPr>
            </w:pPr>
            <w:r>
              <w:rPr>
                <w:sz w:val="22"/>
              </w:rPr>
              <w:t>70</w:t>
            </w:r>
          </w:p>
        </w:tc>
        <w:tc>
          <w:tcPr>
            <w:tcW w:w="1778" w:type="dxa"/>
            <w:tcBorders>
              <w:top w:val="nil"/>
              <w:bottom w:val="single" w:sz="4" w:space="0" w:color="auto"/>
            </w:tcBorders>
          </w:tcPr>
          <w:p>
            <w:pPr>
              <w:spacing w:line="240" w:lineRule="auto"/>
              <w:rPr>
                <w:sz w:val="22"/>
              </w:rPr>
            </w:pPr>
            <w:r>
              <w:rPr>
                <w:sz w:val="22"/>
              </w:rPr>
              <w:t>71%</w:t>
            </w:r>
          </w:p>
        </w:tc>
      </w:tr>
      <w:tr>
        <w:trPr>
          <w:trHeight w:val="278"/>
          <w:jc w:val="center"/>
        </w:trPr>
        <w:tc>
          <w:tcPr>
            <w:tcW w:w="8770" w:type="dxa"/>
            <w:gridSpan w:val="3"/>
            <w:tcBorders>
              <w:top w:val="single" w:sz="4" w:space="0" w:color="auto"/>
              <w:bottom w:val="single" w:sz="4" w:space="0" w:color="auto"/>
            </w:tcBorders>
          </w:tcPr>
          <w:p>
            <w:pPr>
              <w:spacing w:line="240" w:lineRule="auto"/>
              <w:rPr>
                <w:sz w:val="22"/>
              </w:rPr>
            </w:pPr>
            <w:r>
              <w:rPr>
                <w:b/>
                <w:sz w:val="22"/>
              </w:rPr>
              <w:t>Study design</w:t>
            </w:r>
          </w:p>
        </w:tc>
      </w:tr>
      <w:tr>
        <w:trPr>
          <w:trHeight w:val="278"/>
          <w:jc w:val="center"/>
        </w:trPr>
        <w:tc>
          <w:tcPr>
            <w:tcW w:w="4424" w:type="dxa"/>
            <w:tcBorders>
              <w:top w:val="single" w:sz="4" w:space="0" w:color="auto"/>
              <w:bottom w:val="nil"/>
            </w:tcBorders>
          </w:tcPr>
          <w:p>
            <w:pPr>
              <w:spacing w:line="240" w:lineRule="auto"/>
              <w:rPr>
                <w:sz w:val="22"/>
              </w:rPr>
            </w:pPr>
            <w:r>
              <w:rPr>
                <w:sz w:val="22"/>
              </w:rPr>
              <w:t>Mixed observation + survey</w:t>
            </w:r>
          </w:p>
        </w:tc>
        <w:tc>
          <w:tcPr>
            <w:tcW w:w="2568" w:type="dxa"/>
            <w:tcBorders>
              <w:top w:val="single" w:sz="4" w:space="0" w:color="auto"/>
              <w:bottom w:val="nil"/>
            </w:tcBorders>
          </w:tcPr>
          <w:p>
            <w:pPr>
              <w:spacing w:line="240" w:lineRule="auto"/>
              <w:rPr>
                <w:sz w:val="22"/>
              </w:rPr>
            </w:pPr>
            <w:r>
              <w:rPr>
                <w:sz w:val="22"/>
              </w:rPr>
              <w:t>34</w:t>
            </w:r>
          </w:p>
        </w:tc>
        <w:tc>
          <w:tcPr>
            <w:tcW w:w="1778" w:type="dxa"/>
            <w:tcBorders>
              <w:top w:val="single" w:sz="4" w:space="0" w:color="auto"/>
              <w:bottom w:val="nil"/>
            </w:tcBorders>
          </w:tcPr>
          <w:p>
            <w:pPr>
              <w:spacing w:line="240" w:lineRule="auto"/>
              <w:rPr>
                <w:sz w:val="22"/>
              </w:rPr>
            </w:pPr>
            <w:r>
              <w:rPr>
                <w:sz w:val="22"/>
              </w:rPr>
              <w:t>35%</w:t>
            </w:r>
          </w:p>
        </w:tc>
      </w:tr>
      <w:tr>
        <w:trPr>
          <w:trHeight w:val="278"/>
          <w:jc w:val="center"/>
        </w:trPr>
        <w:tc>
          <w:tcPr>
            <w:tcW w:w="4424" w:type="dxa"/>
            <w:tcBorders>
              <w:top w:val="nil"/>
              <w:bottom w:val="nil"/>
            </w:tcBorders>
          </w:tcPr>
          <w:p>
            <w:pPr>
              <w:spacing w:line="240" w:lineRule="auto"/>
              <w:rPr>
                <w:sz w:val="22"/>
              </w:rPr>
            </w:pPr>
            <w:r>
              <w:rPr>
                <w:sz w:val="22"/>
              </w:rPr>
              <w:t>Survey</w:t>
            </w:r>
          </w:p>
        </w:tc>
        <w:tc>
          <w:tcPr>
            <w:tcW w:w="2568" w:type="dxa"/>
            <w:tcBorders>
              <w:top w:val="nil"/>
              <w:bottom w:val="nil"/>
            </w:tcBorders>
          </w:tcPr>
          <w:p>
            <w:pPr>
              <w:spacing w:line="240" w:lineRule="auto"/>
              <w:rPr>
                <w:sz w:val="22"/>
              </w:rPr>
            </w:pPr>
            <w:r>
              <w:rPr>
                <w:sz w:val="22"/>
              </w:rPr>
              <w:t>25</w:t>
            </w:r>
          </w:p>
        </w:tc>
        <w:tc>
          <w:tcPr>
            <w:tcW w:w="1778" w:type="dxa"/>
            <w:tcBorders>
              <w:top w:val="nil"/>
              <w:bottom w:val="nil"/>
            </w:tcBorders>
          </w:tcPr>
          <w:p>
            <w:pPr>
              <w:spacing w:line="240" w:lineRule="auto"/>
              <w:rPr>
                <w:sz w:val="22"/>
              </w:rPr>
            </w:pPr>
            <w:r>
              <w:rPr>
                <w:sz w:val="22"/>
              </w:rPr>
              <w:t>26%</w:t>
            </w:r>
          </w:p>
        </w:tc>
      </w:tr>
      <w:tr>
        <w:trPr>
          <w:trHeight w:val="278"/>
          <w:jc w:val="center"/>
        </w:trPr>
        <w:tc>
          <w:tcPr>
            <w:tcW w:w="4424" w:type="dxa"/>
            <w:tcBorders>
              <w:top w:val="nil"/>
              <w:bottom w:val="nil"/>
            </w:tcBorders>
          </w:tcPr>
          <w:p>
            <w:pPr>
              <w:spacing w:line="240" w:lineRule="auto"/>
              <w:rPr>
                <w:sz w:val="22"/>
              </w:rPr>
            </w:pPr>
            <w:r>
              <w:rPr>
                <w:sz w:val="22"/>
              </w:rPr>
              <w:t>Field or natural experiment</w:t>
            </w:r>
          </w:p>
        </w:tc>
        <w:tc>
          <w:tcPr>
            <w:tcW w:w="2568" w:type="dxa"/>
            <w:tcBorders>
              <w:top w:val="nil"/>
              <w:bottom w:val="nil"/>
            </w:tcBorders>
          </w:tcPr>
          <w:p>
            <w:pPr>
              <w:spacing w:line="240" w:lineRule="auto"/>
              <w:rPr>
                <w:sz w:val="22"/>
              </w:rPr>
            </w:pPr>
            <w:r>
              <w:rPr>
                <w:sz w:val="22"/>
              </w:rPr>
              <w:t>19</w:t>
            </w:r>
          </w:p>
        </w:tc>
        <w:tc>
          <w:tcPr>
            <w:tcW w:w="1778" w:type="dxa"/>
            <w:tcBorders>
              <w:top w:val="nil"/>
              <w:bottom w:val="nil"/>
            </w:tcBorders>
          </w:tcPr>
          <w:p>
            <w:pPr>
              <w:spacing w:line="240" w:lineRule="auto"/>
              <w:rPr>
                <w:sz w:val="22"/>
              </w:rPr>
            </w:pPr>
            <w:r>
              <w:rPr>
                <w:sz w:val="22"/>
              </w:rPr>
              <w:t>19%</w:t>
            </w:r>
          </w:p>
        </w:tc>
      </w:tr>
      <w:tr>
        <w:trPr>
          <w:trHeight w:val="278"/>
          <w:jc w:val="center"/>
        </w:trPr>
        <w:tc>
          <w:tcPr>
            <w:tcW w:w="4424" w:type="dxa"/>
            <w:tcBorders>
              <w:top w:val="nil"/>
              <w:bottom w:val="nil"/>
            </w:tcBorders>
          </w:tcPr>
          <w:p>
            <w:pPr>
              <w:spacing w:line="240" w:lineRule="auto"/>
              <w:rPr>
                <w:sz w:val="22"/>
              </w:rPr>
            </w:pPr>
            <w:r>
              <w:rPr>
                <w:sz w:val="22"/>
              </w:rPr>
              <w:t>Field observation</w:t>
            </w:r>
          </w:p>
        </w:tc>
        <w:tc>
          <w:tcPr>
            <w:tcW w:w="2568" w:type="dxa"/>
            <w:tcBorders>
              <w:top w:val="nil"/>
              <w:bottom w:val="nil"/>
            </w:tcBorders>
          </w:tcPr>
          <w:p>
            <w:pPr>
              <w:spacing w:line="240" w:lineRule="auto"/>
              <w:rPr>
                <w:sz w:val="22"/>
              </w:rPr>
            </w:pPr>
            <w:r>
              <w:rPr>
                <w:sz w:val="22"/>
              </w:rPr>
              <w:t>7</w:t>
            </w:r>
          </w:p>
        </w:tc>
        <w:tc>
          <w:tcPr>
            <w:tcW w:w="1778" w:type="dxa"/>
            <w:tcBorders>
              <w:top w:val="nil"/>
              <w:bottom w:val="nil"/>
            </w:tcBorders>
          </w:tcPr>
          <w:p>
            <w:pPr>
              <w:spacing w:line="240" w:lineRule="auto"/>
              <w:rPr>
                <w:sz w:val="22"/>
              </w:rPr>
            </w:pPr>
            <w:r>
              <w:rPr>
                <w:sz w:val="22"/>
              </w:rPr>
              <w:t>7%</w:t>
            </w:r>
          </w:p>
        </w:tc>
      </w:tr>
      <w:tr>
        <w:trPr>
          <w:trHeight w:val="278"/>
          <w:jc w:val="center"/>
        </w:trPr>
        <w:tc>
          <w:tcPr>
            <w:tcW w:w="4424" w:type="dxa"/>
            <w:tcBorders>
              <w:top w:val="nil"/>
              <w:bottom w:val="nil"/>
            </w:tcBorders>
          </w:tcPr>
          <w:p>
            <w:pPr>
              <w:spacing w:line="240" w:lineRule="auto"/>
              <w:rPr>
                <w:sz w:val="22"/>
              </w:rPr>
            </w:pPr>
            <w:r>
              <w:rPr>
                <w:sz w:val="22"/>
              </w:rPr>
              <w:t>Sensor / big data</w:t>
            </w:r>
          </w:p>
        </w:tc>
        <w:tc>
          <w:tcPr>
            <w:tcW w:w="2568" w:type="dxa"/>
            <w:tcBorders>
              <w:top w:val="nil"/>
              <w:bottom w:val="nil"/>
            </w:tcBorders>
          </w:tcPr>
          <w:p>
            <w:pPr>
              <w:spacing w:line="240" w:lineRule="auto"/>
              <w:rPr>
                <w:sz w:val="22"/>
              </w:rPr>
            </w:pPr>
            <w:r>
              <w:rPr>
                <w:sz w:val="22"/>
              </w:rPr>
              <w:t>6</w:t>
            </w:r>
          </w:p>
        </w:tc>
        <w:tc>
          <w:tcPr>
            <w:tcW w:w="1778" w:type="dxa"/>
            <w:tcBorders>
              <w:top w:val="nil"/>
              <w:bottom w:val="nil"/>
            </w:tcBorders>
          </w:tcPr>
          <w:p>
            <w:pPr>
              <w:spacing w:line="240" w:lineRule="auto"/>
              <w:rPr>
                <w:sz w:val="22"/>
              </w:rPr>
            </w:pPr>
            <w:r>
              <w:rPr>
                <w:sz w:val="22"/>
              </w:rPr>
              <w:t>6%</w:t>
            </w:r>
          </w:p>
        </w:tc>
      </w:tr>
      <w:tr>
        <w:trPr>
          <w:trHeight w:val="278"/>
          <w:jc w:val="center"/>
        </w:trPr>
        <w:tc>
          <w:tcPr>
            <w:tcW w:w="4424" w:type="dxa"/>
            <w:tcBorders>
              <w:top w:val="nil"/>
              <w:bottom w:val="nil"/>
            </w:tcBorders>
          </w:tcPr>
          <w:p>
            <w:pPr>
              <w:spacing w:line="240" w:lineRule="auto"/>
              <w:rPr>
                <w:sz w:val="22"/>
              </w:rPr>
            </w:pPr>
            <w:r>
              <w:rPr>
                <w:sz w:val="22"/>
              </w:rPr>
              <w:t>Laboratory / VR experiment</w:t>
            </w:r>
          </w:p>
        </w:tc>
        <w:tc>
          <w:tcPr>
            <w:tcW w:w="2568" w:type="dxa"/>
            <w:tcBorders>
              <w:top w:val="nil"/>
              <w:bottom w:val="nil"/>
            </w:tcBorders>
          </w:tcPr>
          <w:p>
            <w:pPr>
              <w:spacing w:line="240" w:lineRule="auto"/>
              <w:rPr>
                <w:sz w:val="22"/>
              </w:rPr>
            </w:pPr>
            <w:r>
              <w:rPr>
                <w:sz w:val="22"/>
              </w:rPr>
              <w:t>5</w:t>
            </w:r>
          </w:p>
        </w:tc>
        <w:tc>
          <w:tcPr>
            <w:tcW w:w="1778" w:type="dxa"/>
            <w:tcBorders>
              <w:top w:val="nil"/>
              <w:bottom w:val="nil"/>
            </w:tcBorders>
          </w:tcPr>
          <w:p>
            <w:pPr>
              <w:spacing w:line="240" w:lineRule="auto"/>
              <w:rPr>
                <w:sz w:val="22"/>
              </w:rPr>
            </w:pPr>
            <w:r>
              <w:rPr>
                <w:sz w:val="22"/>
              </w:rPr>
              <w:t>5%</w:t>
            </w:r>
          </w:p>
        </w:tc>
      </w:tr>
      <w:tr>
        <w:trPr>
          <w:trHeight w:val="278"/>
          <w:jc w:val="center"/>
        </w:trPr>
        <w:tc>
          <w:tcPr>
            <w:tcW w:w="4424" w:type="dxa"/>
            <w:tcBorders>
              <w:top w:val="nil"/>
              <w:bottom w:val="single" w:sz="4" w:space="0" w:color="auto"/>
            </w:tcBorders>
          </w:tcPr>
          <w:p>
            <w:pPr>
              <w:spacing w:line="240" w:lineRule="auto"/>
              <w:rPr>
                <w:sz w:val="22"/>
              </w:rPr>
            </w:pPr>
            <w:r>
              <w:rPr>
                <w:sz w:val="22"/>
              </w:rPr>
              <w:t>Other / not reported</w:t>
            </w:r>
          </w:p>
        </w:tc>
        <w:tc>
          <w:tcPr>
            <w:tcW w:w="2568" w:type="dxa"/>
            <w:tcBorders>
              <w:top w:val="nil"/>
              <w:bottom w:val="single" w:sz="4" w:space="0" w:color="auto"/>
            </w:tcBorders>
          </w:tcPr>
          <w:p>
            <w:pPr>
              <w:spacing w:line="240" w:lineRule="auto"/>
              <w:rPr>
                <w:sz w:val="22"/>
              </w:rPr>
            </w:pPr>
            <w:r>
              <w:rPr>
                <w:sz w:val="22"/>
              </w:rPr>
              <w:t>2</w:t>
            </w:r>
          </w:p>
        </w:tc>
        <w:tc>
          <w:tcPr>
            <w:tcW w:w="1778" w:type="dxa"/>
            <w:tcBorders>
              <w:top w:val="nil"/>
              <w:bottom w:val="single" w:sz="4" w:space="0" w:color="auto"/>
            </w:tcBorders>
          </w:tcPr>
          <w:p>
            <w:pPr>
              <w:spacing w:line="240" w:lineRule="auto"/>
              <w:rPr>
                <w:sz w:val="22"/>
              </w:rPr>
            </w:pPr>
            <w:r>
              <w:rPr>
                <w:sz w:val="22"/>
              </w:rPr>
              <w:t>2%</w:t>
            </w:r>
          </w:p>
        </w:tc>
      </w:tr>
      <w:tr>
        <w:trPr>
          <w:trHeight w:val="278"/>
          <w:jc w:val="center"/>
        </w:trPr>
        <w:tc>
          <w:tcPr>
            <w:tcW w:w="8770" w:type="dxa"/>
            <w:gridSpan w:val="3"/>
            <w:tcBorders>
              <w:top w:val="single" w:sz="4" w:space="0" w:color="auto"/>
              <w:bottom w:val="single" w:sz="4" w:space="0" w:color="auto"/>
            </w:tcBorders>
          </w:tcPr>
          <w:p>
            <w:pPr>
              <w:spacing w:line="240" w:lineRule="auto"/>
              <w:rPr>
                <w:sz w:val="22"/>
              </w:rPr>
            </w:pPr>
            <w:r>
              <w:rPr>
                <w:b/>
                <w:sz w:val="22"/>
              </w:rPr>
              <w:t>Setting</w:t>
            </w:r>
            <w:r>
              <w:rPr>
                <w:sz w:val="22"/>
              </w:rPr>
              <w:t xml:space="preserve"> †</w:t>
            </w:r>
          </w:p>
        </w:tc>
      </w:tr>
      <w:tr>
        <w:trPr>
          <w:trHeight w:val="278"/>
          <w:jc w:val="center"/>
        </w:trPr>
        <w:tc>
          <w:tcPr>
            <w:tcW w:w="4424" w:type="dxa"/>
            <w:tcBorders>
              <w:top w:val="single" w:sz="4" w:space="0" w:color="auto"/>
              <w:bottom w:val="nil"/>
            </w:tcBorders>
          </w:tcPr>
          <w:p>
            <w:pPr>
              <w:spacing w:line="240" w:lineRule="auto"/>
              <w:rPr>
                <w:sz w:val="22"/>
              </w:rPr>
            </w:pPr>
            <w:r>
              <w:rPr>
                <w:sz w:val="22"/>
              </w:rPr>
              <w:t>Street</w:t>
            </w:r>
          </w:p>
        </w:tc>
        <w:tc>
          <w:tcPr>
            <w:tcW w:w="2568" w:type="dxa"/>
            <w:tcBorders>
              <w:top w:val="single" w:sz="4" w:space="0" w:color="auto"/>
              <w:bottom w:val="nil"/>
            </w:tcBorders>
          </w:tcPr>
          <w:p>
            <w:pPr>
              <w:spacing w:line="240" w:lineRule="auto"/>
              <w:rPr>
                <w:sz w:val="22"/>
              </w:rPr>
            </w:pPr>
            <w:r>
              <w:rPr>
                <w:sz w:val="22"/>
              </w:rPr>
              <w:t>41</w:t>
            </w:r>
          </w:p>
        </w:tc>
        <w:tc>
          <w:tcPr>
            <w:tcW w:w="1778" w:type="dxa"/>
            <w:tcBorders>
              <w:top w:val="single" w:sz="4" w:space="0" w:color="auto"/>
              <w:bottom w:val="nil"/>
            </w:tcBorders>
          </w:tcPr>
          <w:p>
            <w:pPr>
              <w:spacing w:line="240" w:lineRule="auto"/>
              <w:rPr>
                <w:sz w:val="22"/>
              </w:rPr>
            </w:pPr>
            <w:r>
              <w:rPr>
                <w:sz w:val="22"/>
              </w:rPr>
              <w:t>42%</w:t>
            </w:r>
          </w:p>
        </w:tc>
      </w:tr>
      <w:tr>
        <w:trPr>
          <w:trHeight w:val="278"/>
          <w:jc w:val="center"/>
        </w:trPr>
        <w:tc>
          <w:tcPr>
            <w:tcW w:w="4424" w:type="dxa"/>
            <w:tcBorders>
              <w:top w:val="nil"/>
              <w:bottom w:val="nil"/>
            </w:tcBorders>
          </w:tcPr>
          <w:p>
            <w:pPr>
              <w:spacing w:line="240" w:lineRule="auto"/>
              <w:rPr>
                <w:sz w:val="22"/>
              </w:rPr>
            </w:pPr>
            <w:r>
              <w:rPr>
                <w:sz w:val="22"/>
              </w:rPr>
              <w:t>Park</w:t>
            </w:r>
          </w:p>
        </w:tc>
        <w:tc>
          <w:tcPr>
            <w:tcW w:w="2568" w:type="dxa"/>
            <w:tcBorders>
              <w:top w:val="nil"/>
              <w:bottom w:val="nil"/>
            </w:tcBorders>
          </w:tcPr>
          <w:p>
            <w:pPr>
              <w:spacing w:line="240" w:lineRule="auto"/>
              <w:rPr>
                <w:sz w:val="22"/>
              </w:rPr>
            </w:pPr>
            <w:r>
              <w:rPr>
                <w:sz w:val="22"/>
              </w:rPr>
              <w:t>32</w:t>
            </w:r>
          </w:p>
        </w:tc>
        <w:tc>
          <w:tcPr>
            <w:tcW w:w="1778" w:type="dxa"/>
            <w:tcBorders>
              <w:top w:val="nil"/>
              <w:bottom w:val="nil"/>
            </w:tcBorders>
          </w:tcPr>
          <w:p>
            <w:pPr>
              <w:spacing w:line="240" w:lineRule="auto"/>
              <w:rPr>
                <w:sz w:val="22"/>
              </w:rPr>
            </w:pPr>
            <w:r>
              <w:rPr>
                <w:sz w:val="22"/>
              </w:rPr>
              <w:t>33%</w:t>
            </w:r>
          </w:p>
        </w:tc>
      </w:tr>
      <w:tr>
        <w:trPr>
          <w:trHeight w:val="278"/>
          <w:jc w:val="center"/>
        </w:trPr>
        <w:tc>
          <w:tcPr>
            <w:tcW w:w="4424" w:type="dxa"/>
            <w:tcBorders>
              <w:top w:val="nil"/>
              <w:bottom w:val="nil"/>
            </w:tcBorders>
          </w:tcPr>
          <w:p>
            <w:pPr>
              <w:spacing w:line="240" w:lineRule="auto"/>
              <w:rPr>
                <w:sz w:val="22"/>
              </w:rPr>
            </w:pPr>
            <w:r>
              <w:rPr>
                <w:sz w:val="22"/>
              </w:rPr>
              <w:t>Square / plaza</w:t>
            </w:r>
          </w:p>
        </w:tc>
        <w:tc>
          <w:tcPr>
            <w:tcW w:w="2568" w:type="dxa"/>
            <w:tcBorders>
              <w:top w:val="nil"/>
              <w:bottom w:val="nil"/>
            </w:tcBorders>
          </w:tcPr>
          <w:p>
            <w:pPr>
              <w:spacing w:line="240" w:lineRule="auto"/>
              <w:rPr>
                <w:sz w:val="22"/>
              </w:rPr>
            </w:pPr>
            <w:r>
              <w:rPr>
                <w:sz w:val="22"/>
              </w:rPr>
              <w:t>10</w:t>
            </w:r>
          </w:p>
        </w:tc>
        <w:tc>
          <w:tcPr>
            <w:tcW w:w="1778" w:type="dxa"/>
            <w:tcBorders>
              <w:top w:val="nil"/>
              <w:bottom w:val="nil"/>
            </w:tcBorders>
          </w:tcPr>
          <w:p>
            <w:pPr>
              <w:spacing w:line="240" w:lineRule="auto"/>
              <w:rPr>
                <w:sz w:val="22"/>
              </w:rPr>
            </w:pPr>
            <w:r>
              <w:rPr>
                <w:sz w:val="22"/>
              </w:rPr>
              <w:t>10%</w:t>
            </w:r>
          </w:p>
        </w:tc>
      </w:tr>
      <w:tr>
        <w:trPr>
          <w:trHeight w:val="278"/>
          <w:jc w:val="center"/>
        </w:trPr>
        <w:tc>
          <w:tcPr>
            <w:tcW w:w="4424" w:type="dxa"/>
            <w:tcBorders>
              <w:top w:val="nil"/>
              <w:bottom w:val="nil"/>
            </w:tcBorders>
          </w:tcPr>
          <w:p>
            <w:pPr>
              <w:spacing w:line="240" w:lineRule="auto"/>
              <w:rPr>
                <w:sz w:val="22"/>
              </w:rPr>
            </w:pPr>
            <w:r>
              <w:rPr>
                <w:sz w:val="22"/>
              </w:rPr>
              <w:t>Other</w:t>
            </w:r>
          </w:p>
        </w:tc>
        <w:tc>
          <w:tcPr>
            <w:tcW w:w="2568" w:type="dxa"/>
            <w:tcBorders>
              <w:top w:val="nil"/>
              <w:bottom w:val="nil"/>
            </w:tcBorders>
          </w:tcPr>
          <w:p>
            <w:pPr>
              <w:spacing w:line="240" w:lineRule="auto"/>
              <w:rPr>
                <w:sz w:val="22"/>
              </w:rPr>
            </w:pPr>
            <w:r>
              <w:rPr>
                <w:sz w:val="22"/>
              </w:rPr>
              <w:t>8</w:t>
            </w:r>
          </w:p>
        </w:tc>
        <w:tc>
          <w:tcPr>
            <w:tcW w:w="1778" w:type="dxa"/>
            <w:tcBorders>
              <w:top w:val="nil"/>
              <w:bottom w:val="nil"/>
            </w:tcBorders>
          </w:tcPr>
          <w:p>
            <w:pPr>
              <w:spacing w:line="240" w:lineRule="auto"/>
              <w:rPr>
                <w:sz w:val="22"/>
              </w:rPr>
            </w:pPr>
            <w:r>
              <w:rPr>
                <w:sz w:val="22"/>
              </w:rPr>
              <w:t>8%</w:t>
            </w:r>
          </w:p>
        </w:tc>
      </w:tr>
      <w:tr>
        <w:trPr>
          <w:trHeight w:val="278"/>
          <w:jc w:val="center"/>
        </w:trPr>
        <w:tc>
          <w:tcPr>
            <w:tcW w:w="4424" w:type="dxa"/>
            <w:tcBorders>
              <w:top w:val="nil"/>
              <w:bottom w:val="nil"/>
            </w:tcBorders>
          </w:tcPr>
          <w:p>
            <w:pPr>
              <w:spacing w:line="240" w:lineRule="auto"/>
              <w:rPr>
                <w:sz w:val="22"/>
              </w:rPr>
            </w:pPr>
            <w:r>
              <w:rPr>
                <w:sz w:val="22"/>
              </w:rPr>
              <w:t>Campus</w:t>
            </w:r>
          </w:p>
        </w:tc>
        <w:tc>
          <w:tcPr>
            <w:tcW w:w="2568" w:type="dxa"/>
            <w:tcBorders>
              <w:top w:val="nil"/>
              <w:bottom w:val="nil"/>
            </w:tcBorders>
          </w:tcPr>
          <w:p>
            <w:pPr>
              <w:spacing w:line="240" w:lineRule="auto"/>
              <w:rPr>
                <w:sz w:val="22"/>
              </w:rPr>
            </w:pPr>
            <w:r>
              <w:rPr>
                <w:sz w:val="22"/>
              </w:rPr>
              <w:t>5</w:t>
            </w:r>
          </w:p>
        </w:tc>
        <w:tc>
          <w:tcPr>
            <w:tcW w:w="1778" w:type="dxa"/>
            <w:tcBorders>
              <w:top w:val="nil"/>
              <w:bottom w:val="nil"/>
            </w:tcBorders>
          </w:tcPr>
          <w:p>
            <w:pPr>
              <w:spacing w:line="240" w:lineRule="auto"/>
              <w:rPr>
                <w:sz w:val="22"/>
              </w:rPr>
            </w:pPr>
            <w:r>
              <w:rPr>
                <w:sz w:val="22"/>
              </w:rPr>
              <w:t>5%</w:t>
            </w:r>
          </w:p>
        </w:tc>
      </w:tr>
      <w:tr>
        <w:trPr>
          <w:trHeight w:val="278"/>
          <w:jc w:val="center"/>
        </w:trPr>
        <w:tc>
          <w:tcPr>
            <w:tcW w:w="4424" w:type="dxa"/>
            <w:tcBorders>
              <w:top w:val="nil"/>
              <w:bottom w:val="nil"/>
            </w:tcBorders>
          </w:tcPr>
          <w:p>
            <w:pPr>
              <w:spacing w:line="240" w:lineRule="auto"/>
              <w:rPr>
                <w:sz w:val="22"/>
              </w:rPr>
            </w:pPr>
            <w:r>
              <w:rPr>
                <w:sz w:val="22"/>
              </w:rPr>
              <w:t>Residential open space</w:t>
            </w:r>
          </w:p>
        </w:tc>
        <w:tc>
          <w:tcPr>
            <w:tcW w:w="2568" w:type="dxa"/>
            <w:tcBorders>
              <w:top w:val="nil"/>
              <w:bottom w:val="nil"/>
            </w:tcBorders>
          </w:tcPr>
          <w:p>
            <w:pPr>
              <w:spacing w:line="240" w:lineRule="auto"/>
              <w:rPr>
                <w:sz w:val="22"/>
              </w:rPr>
            </w:pPr>
            <w:r>
              <w:rPr>
                <w:sz w:val="22"/>
              </w:rPr>
              <w:t>4</w:t>
            </w:r>
          </w:p>
        </w:tc>
        <w:tc>
          <w:tcPr>
            <w:tcW w:w="1778" w:type="dxa"/>
            <w:tcBorders>
              <w:top w:val="nil"/>
              <w:bottom w:val="nil"/>
            </w:tcBorders>
          </w:tcPr>
          <w:p>
            <w:pPr>
              <w:spacing w:line="240" w:lineRule="auto"/>
              <w:rPr>
                <w:sz w:val="22"/>
              </w:rPr>
            </w:pPr>
            <w:r>
              <w:rPr>
                <w:sz w:val="22"/>
              </w:rPr>
              <w:t>4%</w:t>
            </w:r>
          </w:p>
        </w:tc>
      </w:tr>
      <w:tr>
        <w:trPr>
          <w:trHeight w:val="278"/>
          <w:jc w:val="center"/>
        </w:trPr>
        <w:tc>
          <w:tcPr>
            <w:tcW w:w="4424" w:type="dxa"/>
            <w:tcBorders>
              <w:top w:val="nil"/>
              <w:bottom w:val="single" w:sz="4" w:space="0" w:color="auto"/>
            </w:tcBorders>
          </w:tcPr>
          <w:p>
            <w:pPr>
              <w:spacing w:line="240" w:lineRule="auto"/>
              <w:rPr>
                <w:sz w:val="22"/>
              </w:rPr>
            </w:pPr>
            <w:r>
              <w:rPr>
                <w:sz w:val="22"/>
              </w:rPr>
              <w:t>Waterfront</w:t>
            </w:r>
          </w:p>
        </w:tc>
        <w:tc>
          <w:tcPr>
            <w:tcW w:w="2568" w:type="dxa"/>
            <w:tcBorders>
              <w:top w:val="nil"/>
              <w:bottom w:val="single" w:sz="4" w:space="0" w:color="auto"/>
            </w:tcBorders>
          </w:tcPr>
          <w:p>
            <w:pPr>
              <w:spacing w:line="240" w:lineRule="auto"/>
              <w:rPr>
                <w:sz w:val="22"/>
              </w:rPr>
            </w:pPr>
            <w:r>
              <w:rPr>
                <w:sz w:val="22"/>
              </w:rPr>
              <w:t>4</w:t>
            </w:r>
          </w:p>
        </w:tc>
        <w:tc>
          <w:tcPr>
            <w:tcW w:w="1778" w:type="dxa"/>
            <w:tcBorders>
              <w:top w:val="nil"/>
              <w:bottom w:val="single" w:sz="4" w:space="0" w:color="auto"/>
            </w:tcBorders>
          </w:tcPr>
          <w:p>
            <w:pPr>
              <w:spacing w:line="240" w:lineRule="auto"/>
              <w:rPr>
                <w:sz w:val="22"/>
              </w:rPr>
            </w:pPr>
            <w:r>
              <w:rPr>
                <w:sz w:val="22"/>
              </w:rPr>
              <w:t>4%</w:t>
            </w:r>
          </w:p>
        </w:tc>
      </w:tr>
      <w:tr>
        <w:trPr>
          <w:trHeight w:val="278"/>
          <w:jc w:val="center"/>
        </w:trPr>
        <w:tc>
          <w:tcPr>
            <w:tcW w:w="8770" w:type="dxa"/>
            <w:gridSpan w:val="3"/>
            <w:tcBorders>
              <w:top w:val="single" w:sz="4" w:space="0" w:color="auto"/>
              <w:bottom w:val="single" w:sz="4" w:space="0" w:color="auto"/>
            </w:tcBorders>
          </w:tcPr>
          <w:p>
            <w:pPr>
              <w:spacing w:line="240" w:lineRule="auto"/>
              <w:rPr>
                <w:sz w:val="22"/>
              </w:rPr>
            </w:pPr>
            <w:r>
              <w:rPr>
                <w:b/>
                <w:sz w:val="22"/>
              </w:rPr>
              <w:t>Country</w:t>
            </w:r>
            <w:r>
              <w:rPr>
                <w:sz w:val="22"/>
              </w:rPr>
              <w:t xml:space="preserve"> †</w:t>
            </w:r>
          </w:p>
        </w:tc>
      </w:tr>
      <w:tr>
        <w:trPr>
          <w:trHeight w:val="278"/>
          <w:jc w:val="center"/>
        </w:trPr>
        <w:tc>
          <w:tcPr>
            <w:tcW w:w="4424" w:type="dxa"/>
            <w:tcBorders>
              <w:top w:val="single" w:sz="4" w:space="0" w:color="auto"/>
              <w:bottom w:val="nil"/>
            </w:tcBorders>
          </w:tcPr>
          <w:p>
            <w:pPr>
              <w:spacing w:line="240" w:lineRule="auto"/>
              <w:rPr>
                <w:sz w:val="22"/>
              </w:rPr>
            </w:pPr>
            <w:r>
              <w:rPr>
                <w:sz w:val="22"/>
              </w:rPr>
              <w:t>China</w:t>
            </w:r>
          </w:p>
        </w:tc>
        <w:tc>
          <w:tcPr>
            <w:tcW w:w="2568" w:type="dxa"/>
            <w:tcBorders>
              <w:top w:val="single" w:sz="4" w:space="0" w:color="auto"/>
              <w:bottom w:val="nil"/>
            </w:tcBorders>
          </w:tcPr>
          <w:p>
            <w:pPr>
              <w:spacing w:line="240" w:lineRule="auto"/>
              <w:rPr>
                <w:sz w:val="22"/>
              </w:rPr>
            </w:pPr>
            <w:r>
              <w:rPr>
                <w:sz w:val="22"/>
              </w:rPr>
              <w:t>38</w:t>
            </w:r>
          </w:p>
        </w:tc>
        <w:tc>
          <w:tcPr>
            <w:tcW w:w="1778" w:type="dxa"/>
            <w:tcBorders>
              <w:top w:val="single" w:sz="4" w:space="0" w:color="auto"/>
              <w:bottom w:val="nil"/>
            </w:tcBorders>
          </w:tcPr>
          <w:p>
            <w:pPr>
              <w:spacing w:line="240" w:lineRule="auto"/>
              <w:rPr>
                <w:sz w:val="22"/>
              </w:rPr>
            </w:pPr>
            <w:r>
              <w:rPr>
                <w:sz w:val="22"/>
              </w:rPr>
              <w:t>39%</w:t>
            </w:r>
          </w:p>
        </w:tc>
      </w:tr>
      <w:tr>
        <w:trPr>
          <w:trHeight w:val="278"/>
          <w:jc w:val="center"/>
        </w:trPr>
        <w:tc>
          <w:tcPr>
            <w:tcW w:w="4424" w:type="dxa"/>
            <w:tcBorders>
              <w:top w:val="nil"/>
              <w:bottom w:val="nil"/>
            </w:tcBorders>
          </w:tcPr>
          <w:p>
            <w:pPr>
              <w:spacing w:line="240" w:lineRule="auto"/>
              <w:rPr>
                <w:sz w:val="22"/>
              </w:rPr>
            </w:pPr>
            <w:r>
              <w:rPr>
                <w:sz w:val="22"/>
              </w:rPr>
              <w:t>Spain</w:t>
            </w:r>
          </w:p>
        </w:tc>
        <w:tc>
          <w:tcPr>
            <w:tcW w:w="2568" w:type="dxa"/>
            <w:tcBorders>
              <w:top w:val="nil"/>
              <w:bottom w:val="nil"/>
            </w:tcBorders>
          </w:tcPr>
          <w:p>
            <w:pPr>
              <w:spacing w:line="240" w:lineRule="auto"/>
              <w:rPr>
                <w:sz w:val="22"/>
              </w:rPr>
            </w:pPr>
            <w:r>
              <w:rPr>
                <w:sz w:val="22"/>
              </w:rPr>
              <w:t>7</w:t>
            </w:r>
          </w:p>
        </w:tc>
        <w:tc>
          <w:tcPr>
            <w:tcW w:w="1778" w:type="dxa"/>
            <w:tcBorders>
              <w:top w:val="nil"/>
              <w:bottom w:val="nil"/>
            </w:tcBorders>
          </w:tcPr>
          <w:p>
            <w:pPr>
              <w:spacing w:line="240" w:lineRule="auto"/>
              <w:rPr>
                <w:sz w:val="22"/>
              </w:rPr>
            </w:pPr>
            <w:r>
              <w:rPr>
                <w:sz w:val="22"/>
              </w:rPr>
              <w:t>7%</w:t>
            </w:r>
          </w:p>
        </w:tc>
      </w:tr>
      <w:tr>
        <w:trPr>
          <w:trHeight w:val="278"/>
          <w:jc w:val="center"/>
        </w:trPr>
        <w:tc>
          <w:tcPr>
            <w:tcW w:w="4424" w:type="dxa"/>
            <w:tcBorders>
              <w:top w:val="nil"/>
              <w:bottom w:val="nil"/>
            </w:tcBorders>
          </w:tcPr>
          <w:p>
            <w:pPr>
              <w:spacing w:line="240" w:lineRule="auto"/>
              <w:rPr>
                <w:sz w:val="22"/>
              </w:rPr>
            </w:pPr>
            <w:r>
              <w:rPr>
                <w:sz w:val="22"/>
              </w:rPr>
              <w:t>United Kingdom</w:t>
            </w:r>
          </w:p>
        </w:tc>
        <w:tc>
          <w:tcPr>
            <w:tcW w:w="2568" w:type="dxa"/>
            <w:tcBorders>
              <w:top w:val="nil"/>
              <w:bottom w:val="nil"/>
            </w:tcBorders>
          </w:tcPr>
          <w:p>
            <w:pPr>
              <w:spacing w:line="240" w:lineRule="auto"/>
              <w:rPr>
                <w:sz w:val="22"/>
              </w:rPr>
            </w:pPr>
            <w:r>
              <w:rPr>
                <w:sz w:val="22"/>
              </w:rPr>
              <w:t>6</w:t>
            </w:r>
          </w:p>
        </w:tc>
        <w:tc>
          <w:tcPr>
            <w:tcW w:w="1778" w:type="dxa"/>
            <w:tcBorders>
              <w:top w:val="nil"/>
              <w:bottom w:val="nil"/>
            </w:tcBorders>
          </w:tcPr>
          <w:p>
            <w:pPr>
              <w:spacing w:line="240" w:lineRule="auto"/>
              <w:rPr>
                <w:sz w:val="22"/>
              </w:rPr>
            </w:pPr>
            <w:r>
              <w:rPr>
                <w:sz w:val="22"/>
              </w:rPr>
              <w:t>6%</w:t>
            </w:r>
          </w:p>
        </w:tc>
      </w:tr>
      <w:tr>
        <w:trPr>
          <w:trHeight w:val="278"/>
          <w:jc w:val="center"/>
        </w:trPr>
        <w:tc>
          <w:tcPr>
            <w:tcW w:w="4424" w:type="dxa"/>
            <w:tcBorders>
              <w:top w:val="nil"/>
              <w:bottom w:val="nil"/>
            </w:tcBorders>
          </w:tcPr>
          <w:p>
            <w:pPr>
              <w:spacing w:line="240" w:lineRule="auto"/>
              <w:rPr>
                <w:sz w:val="22"/>
              </w:rPr>
            </w:pPr>
            <w:r>
              <w:rPr>
                <w:sz w:val="22"/>
              </w:rPr>
              <w:t>Germany</w:t>
            </w:r>
          </w:p>
        </w:tc>
        <w:tc>
          <w:tcPr>
            <w:tcW w:w="2568" w:type="dxa"/>
            <w:tcBorders>
              <w:top w:val="nil"/>
              <w:bottom w:val="nil"/>
            </w:tcBorders>
          </w:tcPr>
          <w:p>
            <w:pPr>
              <w:spacing w:line="240" w:lineRule="auto"/>
              <w:rPr>
                <w:sz w:val="22"/>
              </w:rPr>
            </w:pPr>
            <w:r>
              <w:rPr>
                <w:sz w:val="22"/>
              </w:rPr>
              <w:t>5</w:t>
            </w:r>
          </w:p>
        </w:tc>
        <w:tc>
          <w:tcPr>
            <w:tcW w:w="1778" w:type="dxa"/>
            <w:tcBorders>
              <w:top w:val="nil"/>
              <w:bottom w:val="nil"/>
            </w:tcBorders>
          </w:tcPr>
          <w:p>
            <w:pPr>
              <w:spacing w:line="240" w:lineRule="auto"/>
              <w:rPr>
                <w:sz w:val="22"/>
              </w:rPr>
            </w:pPr>
            <w:r>
              <w:rPr>
                <w:sz w:val="22"/>
              </w:rPr>
              <w:t>5%</w:t>
            </w:r>
          </w:p>
        </w:tc>
      </w:tr>
      <w:tr>
        <w:trPr>
          <w:trHeight w:val="278"/>
          <w:jc w:val="center"/>
        </w:trPr>
        <w:tc>
          <w:tcPr>
            <w:tcW w:w="4424" w:type="dxa"/>
            <w:tcBorders>
              <w:top w:val="nil"/>
              <w:bottom w:val="nil"/>
            </w:tcBorders>
          </w:tcPr>
          <w:p>
            <w:pPr>
              <w:spacing w:line="240" w:lineRule="auto"/>
              <w:rPr>
                <w:sz w:val="22"/>
              </w:rPr>
            </w:pPr>
            <w:r>
              <w:rPr>
                <w:sz w:val="22"/>
              </w:rPr>
              <w:t>Not reported</w:t>
            </w:r>
          </w:p>
        </w:tc>
        <w:tc>
          <w:tcPr>
            <w:tcW w:w="2568" w:type="dxa"/>
            <w:tcBorders>
              <w:top w:val="nil"/>
              <w:bottom w:val="nil"/>
            </w:tcBorders>
          </w:tcPr>
          <w:p>
            <w:pPr>
              <w:spacing w:line="240" w:lineRule="auto"/>
              <w:rPr>
                <w:sz w:val="22"/>
              </w:rPr>
            </w:pPr>
            <w:r>
              <w:rPr>
                <w:sz w:val="22"/>
              </w:rPr>
              <w:t>4</w:t>
            </w:r>
          </w:p>
        </w:tc>
        <w:tc>
          <w:tcPr>
            <w:tcW w:w="1778" w:type="dxa"/>
            <w:tcBorders>
              <w:top w:val="nil"/>
              <w:bottom w:val="nil"/>
            </w:tcBorders>
          </w:tcPr>
          <w:p>
            <w:pPr>
              <w:spacing w:line="240" w:lineRule="auto"/>
              <w:rPr>
                <w:sz w:val="22"/>
              </w:rPr>
            </w:pPr>
            <w:r>
              <w:rPr>
                <w:sz w:val="22"/>
              </w:rPr>
              <w:t>4%</w:t>
            </w:r>
          </w:p>
        </w:tc>
      </w:tr>
      <w:tr>
        <w:trPr>
          <w:trHeight w:val="278"/>
          <w:jc w:val="center"/>
        </w:trPr>
        <w:tc>
          <w:tcPr>
            <w:tcW w:w="4424" w:type="dxa"/>
            <w:tcBorders>
              <w:top w:val="nil"/>
              <w:bottom w:val="nil"/>
            </w:tcBorders>
          </w:tcPr>
          <w:p>
            <w:pPr>
              <w:spacing w:line="240" w:lineRule="auto"/>
              <w:rPr>
                <w:sz w:val="22"/>
              </w:rPr>
            </w:pPr>
            <w:r>
              <w:rPr>
                <w:sz w:val="22"/>
              </w:rPr>
              <w:t>Italy</w:t>
            </w:r>
          </w:p>
        </w:tc>
        <w:tc>
          <w:tcPr>
            <w:tcW w:w="2568" w:type="dxa"/>
            <w:tcBorders>
              <w:top w:val="nil"/>
              <w:bottom w:val="nil"/>
            </w:tcBorders>
          </w:tcPr>
          <w:p>
            <w:pPr>
              <w:spacing w:line="240" w:lineRule="auto"/>
              <w:rPr>
                <w:sz w:val="22"/>
              </w:rPr>
            </w:pPr>
            <w:r>
              <w:rPr>
                <w:sz w:val="22"/>
              </w:rPr>
              <w:t>4</w:t>
            </w:r>
          </w:p>
        </w:tc>
        <w:tc>
          <w:tcPr>
            <w:tcW w:w="1778" w:type="dxa"/>
            <w:tcBorders>
              <w:top w:val="nil"/>
              <w:bottom w:val="nil"/>
            </w:tcBorders>
          </w:tcPr>
          <w:p>
            <w:pPr>
              <w:spacing w:line="240" w:lineRule="auto"/>
              <w:rPr>
                <w:sz w:val="22"/>
              </w:rPr>
            </w:pPr>
            <w:r>
              <w:rPr>
                <w:sz w:val="22"/>
              </w:rPr>
              <w:t>4%</w:t>
            </w:r>
          </w:p>
        </w:tc>
      </w:tr>
      <w:tr>
        <w:trPr>
          <w:trHeight w:val="278"/>
          <w:jc w:val="center"/>
        </w:trPr>
        <w:tc>
          <w:tcPr>
            <w:tcW w:w="4424" w:type="dxa"/>
            <w:tcBorders>
              <w:top w:val="nil"/>
              <w:bottom w:val="nil"/>
            </w:tcBorders>
          </w:tcPr>
          <w:p>
            <w:pPr>
              <w:spacing w:line="240" w:lineRule="auto"/>
              <w:rPr>
                <w:sz w:val="22"/>
              </w:rPr>
            </w:pPr>
            <w:r>
              <w:rPr>
                <w:sz w:val="22"/>
              </w:rPr>
              <w:t>Australia</w:t>
            </w:r>
          </w:p>
        </w:tc>
        <w:tc>
          <w:tcPr>
            <w:tcW w:w="2568" w:type="dxa"/>
            <w:tcBorders>
              <w:top w:val="nil"/>
              <w:bottom w:val="nil"/>
            </w:tcBorders>
          </w:tcPr>
          <w:p>
            <w:pPr>
              <w:spacing w:line="240" w:lineRule="auto"/>
              <w:rPr>
                <w:sz w:val="22"/>
              </w:rPr>
            </w:pPr>
            <w:r>
              <w:rPr>
                <w:sz w:val="22"/>
              </w:rPr>
              <w:t>4</w:t>
            </w:r>
          </w:p>
        </w:tc>
        <w:tc>
          <w:tcPr>
            <w:tcW w:w="1778" w:type="dxa"/>
            <w:tcBorders>
              <w:top w:val="nil"/>
              <w:bottom w:val="nil"/>
            </w:tcBorders>
          </w:tcPr>
          <w:p>
            <w:pPr>
              <w:spacing w:line="240" w:lineRule="auto"/>
              <w:rPr>
                <w:sz w:val="22"/>
              </w:rPr>
            </w:pPr>
            <w:r>
              <w:rPr>
                <w:sz w:val="22"/>
              </w:rPr>
              <w:t>4%</w:t>
            </w:r>
          </w:p>
        </w:tc>
      </w:tr>
      <w:tr>
        <w:trPr>
          <w:trHeight w:val="278"/>
          <w:jc w:val="center"/>
        </w:trPr>
        <w:tc>
          <w:tcPr>
            <w:tcW w:w="4424" w:type="dxa"/>
            <w:tcBorders>
              <w:top w:val="nil"/>
              <w:bottom w:val="nil"/>
            </w:tcBorders>
          </w:tcPr>
          <w:p>
            <w:pPr>
              <w:spacing w:line="240" w:lineRule="auto"/>
              <w:rPr>
                <w:sz w:val="22"/>
              </w:rPr>
            </w:pPr>
            <w:r>
              <w:rPr>
                <w:sz w:val="22"/>
              </w:rPr>
              <w:t>Czechia</w:t>
            </w:r>
          </w:p>
        </w:tc>
        <w:tc>
          <w:tcPr>
            <w:tcW w:w="2568" w:type="dxa"/>
            <w:tcBorders>
              <w:top w:val="nil"/>
              <w:bottom w:val="nil"/>
            </w:tcBorders>
          </w:tcPr>
          <w:p>
            <w:pPr>
              <w:spacing w:line="240" w:lineRule="auto"/>
              <w:rPr>
                <w:sz w:val="22"/>
              </w:rPr>
            </w:pPr>
            <w:r>
              <w:rPr>
                <w:sz w:val="22"/>
              </w:rPr>
              <w:t>4</w:t>
            </w:r>
          </w:p>
        </w:tc>
        <w:tc>
          <w:tcPr>
            <w:tcW w:w="1778" w:type="dxa"/>
            <w:tcBorders>
              <w:top w:val="nil"/>
              <w:bottom w:val="nil"/>
            </w:tcBorders>
          </w:tcPr>
          <w:p>
            <w:pPr>
              <w:spacing w:line="240" w:lineRule="auto"/>
              <w:rPr>
                <w:sz w:val="22"/>
              </w:rPr>
            </w:pPr>
            <w:r>
              <w:rPr>
                <w:sz w:val="22"/>
              </w:rPr>
              <w:t>4%</w:t>
            </w:r>
          </w:p>
        </w:tc>
      </w:tr>
      <w:tr>
        <w:trPr>
          <w:trHeight w:val="278"/>
          <w:jc w:val="center"/>
        </w:trPr>
        <w:tc>
          <w:tcPr>
            <w:tcW w:w="4424" w:type="dxa"/>
            <w:tcBorders>
              <w:top w:val="nil"/>
              <w:bottom w:val="single" w:sz="4" w:space="0" w:color="auto"/>
            </w:tcBorders>
          </w:tcPr>
          <w:p>
            <w:pPr>
              <w:spacing w:line="240" w:lineRule="auto"/>
              <w:rPr>
                <w:sz w:val="22"/>
              </w:rPr>
            </w:pPr>
            <w:r>
              <w:rPr>
                <w:sz w:val="22"/>
              </w:rPr>
              <w:t>Other countries (n = 24)</w:t>
            </w:r>
          </w:p>
        </w:tc>
        <w:tc>
          <w:tcPr>
            <w:tcW w:w="2568" w:type="dxa"/>
            <w:tcBorders>
              <w:top w:val="nil"/>
              <w:bottom w:val="single" w:sz="4" w:space="0" w:color="auto"/>
            </w:tcBorders>
          </w:tcPr>
          <w:p>
            <w:pPr>
              <w:spacing w:line="240" w:lineRule="auto"/>
              <w:rPr>
                <w:sz w:val="22"/>
              </w:rPr>
            </w:pPr>
            <w:r>
              <w:rPr>
                <w:sz w:val="22"/>
              </w:rPr>
              <w:t>41</w:t>
            </w:r>
          </w:p>
        </w:tc>
        <w:tc>
          <w:tcPr>
            <w:tcW w:w="1778" w:type="dxa"/>
            <w:tcBorders>
              <w:top w:val="nil"/>
              <w:bottom w:val="single" w:sz="4" w:space="0" w:color="auto"/>
            </w:tcBorders>
          </w:tcPr>
          <w:p>
            <w:pPr>
              <w:spacing w:line="240" w:lineRule="auto"/>
              <w:rPr>
                <w:sz w:val="22"/>
              </w:rPr>
            </w:pPr>
            <w:r>
              <w:rPr>
                <w:sz w:val="22"/>
              </w:rPr>
              <w:t>—</w:t>
            </w:r>
          </w:p>
        </w:tc>
      </w:tr>
      <w:tr>
        <w:trPr>
          <w:trHeight w:val="278"/>
          <w:jc w:val="center"/>
        </w:trPr>
        <w:tc>
          <w:tcPr>
            <w:tcW w:w="8770" w:type="dxa"/>
            <w:gridSpan w:val="3"/>
            <w:tcBorders>
              <w:top w:val="single" w:sz="4" w:space="0" w:color="auto"/>
              <w:bottom w:val="single" w:sz="4" w:space="0" w:color="auto"/>
            </w:tcBorders>
          </w:tcPr>
          <w:p>
            <w:pPr>
              <w:spacing w:line="240" w:lineRule="auto"/>
              <w:rPr>
                <w:sz w:val="22"/>
              </w:rPr>
            </w:pPr>
            <w:r>
              <w:rPr>
                <w:b/>
                <w:sz w:val="22"/>
              </w:rPr>
              <w:t>Direction of relationship</w:t>
            </w:r>
          </w:p>
        </w:tc>
      </w:tr>
      <w:tr>
        <w:trPr>
          <w:trHeight w:val="278"/>
          <w:jc w:val="center"/>
        </w:trPr>
        <w:tc>
          <w:tcPr>
            <w:tcW w:w="4424" w:type="dxa"/>
            <w:tcBorders>
              <w:top w:val="single" w:sz="4" w:space="0" w:color="auto"/>
              <w:bottom w:val="nil"/>
            </w:tcBorders>
          </w:tcPr>
          <w:p>
            <w:pPr>
              <w:spacing w:line="240" w:lineRule="auto"/>
              <w:rPr>
                <w:sz w:val="22"/>
              </w:rPr>
            </w:pPr>
            <w:r>
              <w:rPr>
                <w:sz w:val="22"/>
              </w:rPr>
              <w:t>Forward</w:t>
            </w:r>
          </w:p>
        </w:tc>
        <w:tc>
          <w:tcPr>
            <w:tcW w:w="2568" w:type="dxa"/>
            <w:tcBorders>
              <w:top w:val="single" w:sz="4" w:space="0" w:color="auto"/>
              <w:bottom w:val="nil"/>
            </w:tcBorders>
          </w:tcPr>
          <w:p>
            <w:pPr>
              <w:spacing w:line="240" w:lineRule="auto"/>
              <w:rPr>
                <w:sz w:val="22"/>
              </w:rPr>
            </w:pPr>
            <w:r>
              <w:rPr>
                <w:sz w:val="22"/>
              </w:rPr>
              <w:t>57</w:t>
            </w:r>
          </w:p>
        </w:tc>
        <w:tc>
          <w:tcPr>
            <w:tcW w:w="1778" w:type="dxa"/>
            <w:tcBorders>
              <w:top w:val="single" w:sz="4" w:space="0" w:color="auto"/>
              <w:bottom w:val="nil"/>
            </w:tcBorders>
          </w:tcPr>
          <w:p>
            <w:pPr>
              <w:spacing w:line="240" w:lineRule="auto"/>
              <w:rPr>
                <w:sz w:val="22"/>
              </w:rPr>
            </w:pPr>
            <w:r>
              <w:rPr>
                <w:sz w:val="22"/>
              </w:rPr>
              <w:t>58%</w:t>
            </w:r>
          </w:p>
        </w:tc>
      </w:tr>
      <w:tr>
        <w:trPr>
          <w:trHeight w:val="278"/>
          <w:jc w:val="center"/>
        </w:trPr>
        <w:tc>
          <w:tcPr>
            <w:tcW w:w="4424" w:type="dxa"/>
            <w:tcBorders>
              <w:top w:val="nil"/>
              <w:bottom w:val="nil"/>
            </w:tcBorders>
          </w:tcPr>
          <w:p>
            <w:pPr>
              <w:spacing w:line="240" w:lineRule="auto"/>
              <w:rPr>
                <w:sz w:val="22"/>
              </w:rPr>
            </w:pPr>
            <w:r>
              <w:rPr>
                <w:sz w:val="22"/>
              </w:rPr>
              <w:t>Reverse</w:t>
            </w:r>
          </w:p>
        </w:tc>
        <w:tc>
          <w:tcPr>
            <w:tcW w:w="2568" w:type="dxa"/>
            <w:tcBorders>
              <w:top w:val="nil"/>
              <w:bottom w:val="nil"/>
            </w:tcBorders>
          </w:tcPr>
          <w:p>
            <w:pPr>
              <w:spacing w:line="240" w:lineRule="auto"/>
              <w:rPr>
                <w:sz w:val="22"/>
              </w:rPr>
            </w:pPr>
            <w:r>
              <w:rPr>
                <w:sz w:val="22"/>
              </w:rPr>
              <w:t>33</w:t>
            </w:r>
          </w:p>
        </w:tc>
        <w:tc>
          <w:tcPr>
            <w:tcW w:w="1778" w:type="dxa"/>
            <w:tcBorders>
              <w:top w:val="nil"/>
              <w:bottom w:val="nil"/>
            </w:tcBorders>
          </w:tcPr>
          <w:p>
            <w:pPr>
              <w:spacing w:line="240" w:lineRule="auto"/>
              <w:rPr>
                <w:sz w:val="22"/>
              </w:rPr>
            </w:pPr>
            <w:r>
              <w:rPr>
                <w:sz w:val="22"/>
              </w:rPr>
              <w:t>34%</w:t>
            </w:r>
          </w:p>
        </w:tc>
      </w:tr>
      <w:tr>
        <w:trPr>
          <w:trHeight w:val="278"/>
          <w:jc w:val="center"/>
        </w:trPr>
        <w:tc>
          <w:tcPr>
            <w:tcW w:w="4424" w:type="dxa"/>
            <w:tcBorders>
              <w:top w:val="nil"/>
              <w:bottom w:val="single" w:sz="4" w:space="0" w:color="auto"/>
            </w:tcBorders>
          </w:tcPr>
          <w:p>
            <w:pPr>
              <w:spacing w:line="240" w:lineRule="auto"/>
              <w:rPr>
                <w:sz w:val="22"/>
              </w:rPr>
            </w:pPr>
            <w:r>
              <w:rPr>
                <w:sz w:val="22"/>
              </w:rPr>
              <w:t>Both</w:t>
            </w:r>
          </w:p>
        </w:tc>
        <w:tc>
          <w:tcPr>
            <w:tcW w:w="2568" w:type="dxa"/>
            <w:tcBorders>
              <w:top w:val="nil"/>
              <w:bottom w:val="single" w:sz="4" w:space="0" w:color="auto"/>
            </w:tcBorders>
          </w:tcPr>
          <w:p>
            <w:pPr>
              <w:spacing w:line="240" w:lineRule="auto"/>
              <w:rPr>
                <w:sz w:val="22"/>
              </w:rPr>
            </w:pPr>
            <w:r>
              <w:rPr>
                <w:sz w:val="22"/>
              </w:rPr>
              <w:t>8</w:t>
            </w:r>
          </w:p>
        </w:tc>
        <w:tc>
          <w:tcPr>
            <w:tcW w:w="1778" w:type="dxa"/>
            <w:tcBorders>
              <w:top w:val="nil"/>
              <w:bottom w:val="single" w:sz="4" w:space="0" w:color="auto"/>
            </w:tcBorders>
          </w:tcPr>
          <w:p>
            <w:pPr>
              <w:spacing w:line="240" w:lineRule="auto"/>
              <w:rPr>
                <w:sz w:val="22"/>
              </w:rPr>
            </w:pPr>
            <w:r>
              <w:rPr>
                <w:sz w:val="22"/>
              </w:rPr>
              <w:t>8%</w:t>
            </w:r>
          </w:p>
        </w:tc>
      </w:tr>
      <w:tr>
        <w:trPr>
          <w:trHeight w:val="278"/>
          <w:jc w:val="center"/>
        </w:trPr>
        <w:tc>
          <w:tcPr>
            <w:tcW w:w="8770" w:type="dxa"/>
            <w:gridSpan w:val="3"/>
            <w:tcBorders>
              <w:top w:val="single" w:sz="4" w:space="0" w:color="auto"/>
              <w:bottom w:val="single" w:sz="4" w:space="0" w:color="auto"/>
            </w:tcBorders>
          </w:tcPr>
          <w:p>
            <w:pPr>
              <w:spacing w:line="240" w:lineRule="auto"/>
              <w:rPr>
                <w:sz w:val="22"/>
              </w:rPr>
            </w:pPr>
            <w:r>
              <w:rPr>
                <w:b/>
                <w:sz w:val="22"/>
              </w:rPr>
              <w:t>Behavioural measurement generation</w:t>
            </w:r>
            <w:r>
              <w:rPr>
                <w:sz w:val="22"/>
              </w:rPr>
              <w:t xml:space="preserve"> †</w:t>
            </w:r>
          </w:p>
        </w:tc>
      </w:tr>
      <w:tr>
        <w:trPr>
          <w:trHeight w:val="278"/>
          <w:jc w:val="center"/>
        </w:trPr>
        <w:tc>
          <w:tcPr>
            <w:tcW w:w="4424" w:type="dxa"/>
            <w:tcBorders>
              <w:top w:val="single" w:sz="4" w:space="0" w:color="auto"/>
              <w:bottom w:val="nil"/>
            </w:tcBorders>
          </w:tcPr>
          <w:p>
            <w:pPr>
              <w:spacing w:line="240" w:lineRule="auto"/>
              <w:rPr>
                <w:sz w:val="22"/>
              </w:rPr>
            </w:pPr>
            <w:r>
              <w:rPr>
                <w:sz w:val="22"/>
              </w:rPr>
              <w:t>G1</w:t>
            </w:r>
          </w:p>
        </w:tc>
        <w:tc>
          <w:tcPr>
            <w:tcW w:w="2568" w:type="dxa"/>
            <w:tcBorders>
              <w:top w:val="single" w:sz="4" w:space="0" w:color="auto"/>
              <w:bottom w:val="nil"/>
            </w:tcBorders>
          </w:tcPr>
          <w:p>
            <w:pPr>
              <w:spacing w:line="240" w:lineRule="auto"/>
              <w:rPr>
                <w:sz w:val="22"/>
              </w:rPr>
            </w:pPr>
            <w:r>
              <w:rPr>
                <w:sz w:val="22"/>
              </w:rPr>
              <w:t>54</w:t>
            </w:r>
          </w:p>
        </w:tc>
        <w:tc>
          <w:tcPr>
            <w:tcW w:w="1778" w:type="dxa"/>
            <w:tcBorders>
              <w:top w:val="single" w:sz="4" w:space="0" w:color="auto"/>
              <w:bottom w:val="nil"/>
            </w:tcBorders>
          </w:tcPr>
          <w:p>
            <w:pPr>
              <w:spacing w:line="240" w:lineRule="auto"/>
              <w:rPr>
                <w:sz w:val="22"/>
              </w:rPr>
            </w:pPr>
            <w:r>
              <w:rPr>
                <w:sz w:val="22"/>
              </w:rPr>
              <w:t>55%</w:t>
            </w:r>
          </w:p>
        </w:tc>
      </w:tr>
      <w:tr>
        <w:trPr>
          <w:trHeight w:val="278"/>
          <w:jc w:val="center"/>
        </w:trPr>
        <w:tc>
          <w:tcPr>
            <w:tcW w:w="4424" w:type="dxa"/>
            <w:tcBorders>
              <w:top w:val="nil"/>
              <w:bottom w:val="nil"/>
            </w:tcBorders>
          </w:tcPr>
          <w:p>
            <w:pPr>
              <w:spacing w:line="240" w:lineRule="auto"/>
              <w:rPr>
                <w:sz w:val="22"/>
              </w:rPr>
            </w:pPr>
            <w:r>
              <w:rPr>
                <w:sz w:val="22"/>
              </w:rPr>
              <w:t>G2</w:t>
            </w:r>
          </w:p>
        </w:tc>
        <w:tc>
          <w:tcPr>
            <w:tcW w:w="2568" w:type="dxa"/>
            <w:tcBorders>
              <w:top w:val="nil"/>
              <w:bottom w:val="nil"/>
            </w:tcBorders>
          </w:tcPr>
          <w:p>
            <w:pPr>
              <w:spacing w:line="240" w:lineRule="auto"/>
              <w:rPr>
                <w:sz w:val="22"/>
              </w:rPr>
            </w:pPr>
            <w:r>
              <w:rPr>
                <w:sz w:val="22"/>
              </w:rPr>
              <w:t>42</w:t>
            </w:r>
          </w:p>
        </w:tc>
        <w:tc>
          <w:tcPr>
            <w:tcW w:w="1778" w:type="dxa"/>
            <w:tcBorders>
              <w:top w:val="nil"/>
              <w:bottom w:val="nil"/>
            </w:tcBorders>
          </w:tcPr>
          <w:p>
            <w:pPr>
              <w:spacing w:line="240" w:lineRule="auto"/>
              <w:rPr>
                <w:sz w:val="22"/>
              </w:rPr>
            </w:pPr>
            <w:r>
              <w:rPr>
                <w:sz w:val="22"/>
              </w:rPr>
              <w:t>43%</w:t>
            </w:r>
          </w:p>
        </w:tc>
      </w:tr>
      <w:tr>
        <w:trPr>
          <w:trHeight w:val="278"/>
          <w:jc w:val="center"/>
        </w:trPr>
        <w:tc>
          <w:tcPr>
            <w:tcW w:w="4424" w:type="dxa"/>
            <w:tcBorders>
              <w:top w:val="nil"/>
              <w:bottom w:val="single" w:sz="4" w:space="0" w:color="auto"/>
            </w:tcBorders>
          </w:tcPr>
          <w:p>
            <w:pPr>
              <w:spacing w:line="240" w:lineRule="auto"/>
              <w:rPr>
                <w:sz w:val="22"/>
              </w:rPr>
            </w:pPr>
            <w:r>
              <w:rPr>
                <w:sz w:val="22"/>
              </w:rPr>
              <w:t>G3</w:t>
            </w:r>
          </w:p>
        </w:tc>
        <w:tc>
          <w:tcPr>
            <w:tcW w:w="2568" w:type="dxa"/>
            <w:tcBorders>
              <w:top w:val="nil"/>
              <w:bottom w:val="single" w:sz="4" w:space="0" w:color="auto"/>
            </w:tcBorders>
          </w:tcPr>
          <w:p>
            <w:pPr>
              <w:spacing w:line="240" w:lineRule="auto"/>
              <w:rPr>
                <w:sz w:val="22"/>
              </w:rPr>
            </w:pPr>
            <w:r>
              <w:rPr>
                <w:sz w:val="22"/>
              </w:rPr>
              <w:t>24</w:t>
            </w:r>
          </w:p>
        </w:tc>
        <w:tc>
          <w:tcPr>
            <w:tcW w:w="1778" w:type="dxa"/>
            <w:tcBorders>
              <w:top w:val="nil"/>
              <w:bottom w:val="single" w:sz="4" w:space="0" w:color="auto"/>
            </w:tcBorders>
          </w:tcPr>
          <w:p>
            <w:pPr>
              <w:spacing w:line="240" w:lineRule="auto"/>
              <w:rPr>
                <w:sz w:val="22"/>
              </w:rPr>
            </w:pPr>
            <w:r>
              <w:rPr>
                <w:sz w:val="22"/>
              </w:rPr>
              <w:t>24%</w:t>
            </w:r>
          </w:p>
        </w:tc>
      </w:tr>
      <w:tr>
        <w:trPr>
          <w:trHeight w:val="278"/>
          <w:jc w:val="center"/>
        </w:trPr>
        <w:tc>
          <w:tcPr>
            <w:tcW w:w="8770" w:type="dxa"/>
            <w:gridSpan w:val="3"/>
            <w:tcBorders>
              <w:top w:val="single" w:sz="4" w:space="0" w:color="auto"/>
              <w:bottom w:val="single" w:sz="4" w:space="0" w:color="auto"/>
            </w:tcBorders>
          </w:tcPr>
          <w:p>
            <w:pPr>
              <w:spacing w:line="240" w:lineRule="auto"/>
              <w:rPr>
                <w:sz w:val="22"/>
              </w:rPr>
            </w:pPr>
            <w:r>
              <w:rPr>
                <w:b/>
                <w:sz w:val="22"/>
              </w:rPr>
              <w:t>Methodological quality (MMAT 2018)</w:t>
            </w:r>
          </w:p>
        </w:tc>
      </w:tr>
      <w:tr>
        <w:trPr>
          <w:trHeight w:val="278"/>
          <w:jc w:val="center"/>
        </w:trPr>
        <w:tc>
          <w:tcPr>
            <w:tcW w:w="4424" w:type="dxa"/>
            <w:tcBorders>
              <w:top w:val="single" w:sz="4" w:space="0" w:color="auto"/>
              <w:bottom w:val="nil"/>
            </w:tcBorders>
          </w:tcPr>
          <w:p>
            <w:pPr>
              <w:spacing w:line="240" w:lineRule="auto"/>
              <w:rPr>
                <w:sz w:val="22"/>
              </w:rPr>
            </w:pPr>
            <w:r>
              <w:rPr>
                <w:sz w:val="22"/>
              </w:rPr>
              <w:t>High</w:t>
            </w:r>
          </w:p>
        </w:tc>
        <w:tc>
          <w:tcPr>
            <w:tcW w:w="2568" w:type="dxa"/>
            <w:tcBorders>
              <w:top w:val="single" w:sz="4" w:space="0" w:color="auto"/>
              <w:bottom w:val="nil"/>
            </w:tcBorders>
          </w:tcPr>
          <w:p>
            <w:pPr>
              <w:spacing w:line="240" w:lineRule="auto"/>
              <w:rPr>
                <w:sz w:val="22"/>
              </w:rPr>
            </w:pPr>
            <w:r>
              <w:rPr>
                <w:sz w:val="22"/>
              </w:rPr>
              <w:t>22</w:t>
            </w:r>
          </w:p>
        </w:tc>
        <w:tc>
          <w:tcPr>
            <w:tcW w:w="1778" w:type="dxa"/>
            <w:tcBorders>
              <w:top w:val="single" w:sz="4" w:space="0" w:color="auto"/>
              <w:bottom w:val="nil"/>
            </w:tcBorders>
          </w:tcPr>
          <w:p>
            <w:pPr>
              <w:spacing w:line="240" w:lineRule="auto"/>
              <w:rPr>
                <w:sz w:val="22"/>
              </w:rPr>
            </w:pPr>
            <w:r>
              <w:rPr>
                <w:sz w:val="22"/>
              </w:rPr>
              <w:t>22%</w:t>
            </w:r>
          </w:p>
        </w:tc>
      </w:tr>
      <w:tr>
        <w:trPr>
          <w:trHeight w:val="278"/>
          <w:jc w:val="center"/>
        </w:trPr>
        <w:tc>
          <w:tcPr>
            <w:tcW w:w="4424" w:type="dxa"/>
            <w:tcBorders>
              <w:top w:val="nil"/>
              <w:bottom w:val="nil"/>
            </w:tcBorders>
          </w:tcPr>
          <w:p>
            <w:pPr>
              <w:spacing w:line="240" w:lineRule="auto"/>
              <w:rPr>
                <w:sz w:val="22"/>
              </w:rPr>
            </w:pPr>
            <w:r>
              <w:rPr>
                <w:sz w:val="22"/>
              </w:rPr>
              <w:t>Moderate</w:t>
            </w:r>
          </w:p>
        </w:tc>
        <w:tc>
          <w:tcPr>
            <w:tcW w:w="2568" w:type="dxa"/>
            <w:tcBorders>
              <w:top w:val="nil"/>
              <w:bottom w:val="nil"/>
            </w:tcBorders>
          </w:tcPr>
          <w:p>
            <w:pPr>
              <w:spacing w:line="240" w:lineRule="auto"/>
              <w:rPr>
                <w:sz w:val="22"/>
              </w:rPr>
            </w:pPr>
            <w:r>
              <w:rPr>
                <w:sz w:val="22"/>
              </w:rPr>
              <w:t>40</w:t>
            </w:r>
          </w:p>
        </w:tc>
        <w:tc>
          <w:tcPr>
            <w:tcW w:w="1778" w:type="dxa"/>
            <w:tcBorders>
              <w:top w:val="nil"/>
              <w:bottom w:val="nil"/>
            </w:tcBorders>
          </w:tcPr>
          <w:p>
            <w:pPr>
              <w:spacing w:line="240" w:lineRule="auto"/>
              <w:rPr>
                <w:sz w:val="22"/>
              </w:rPr>
            </w:pPr>
            <w:r>
              <w:rPr>
                <w:sz w:val="22"/>
              </w:rPr>
              <w:t>41%</w:t>
            </w:r>
          </w:p>
        </w:tc>
      </w:tr>
      <w:tr>
        <w:trPr>
          <w:trHeight w:val="278"/>
          <w:jc w:val="center"/>
        </w:trPr>
        <w:tc>
          <w:tcPr>
            <w:tcW w:w="4424" w:type="dxa"/>
            <w:tcBorders>
              <w:top w:val="nil"/>
              <w:bottom w:val="single" w:sz="12" w:space="0" w:color="auto"/>
            </w:tcBorders>
          </w:tcPr>
          <w:p>
            <w:pPr>
              <w:spacing w:line="240" w:lineRule="auto"/>
              <w:rPr>
                <w:sz w:val="22"/>
              </w:rPr>
            </w:pPr>
            <w:r>
              <w:rPr>
                <w:sz w:val="22"/>
              </w:rPr>
              <w:t>Low</w:t>
            </w:r>
          </w:p>
        </w:tc>
        <w:tc>
          <w:tcPr>
            <w:tcW w:w="2568" w:type="dxa"/>
            <w:tcBorders>
              <w:top w:val="nil"/>
              <w:bottom w:val="single" w:sz="12" w:space="0" w:color="auto"/>
            </w:tcBorders>
          </w:tcPr>
          <w:p>
            <w:pPr>
              <w:spacing w:line="240" w:lineRule="auto"/>
              <w:rPr>
                <w:sz w:val="22"/>
              </w:rPr>
            </w:pPr>
            <w:r>
              <w:rPr>
                <w:sz w:val="22"/>
              </w:rPr>
              <w:t>36</w:t>
            </w:r>
          </w:p>
        </w:tc>
        <w:tc>
          <w:tcPr>
            <w:tcW w:w="1778" w:type="dxa"/>
            <w:tcBorders>
              <w:top w:val="nil"/>
              <w:bottom w:val="single" w:sz="12" w:space="0" w:color="auto"/>
            </w:tcBorders>
          </w:tcPr>
          <w:p>
            <w:pPr>
              <w:spacing w:line="240" w:lineRule="auto"/>
              <w:rPr>
                <w:sz w:val="22"/>
              </w:rPr>
            </w:pPr>
            <w:r>
              <w:rPr>
                <w:sz w:val="22"/>
              </w:rPr>
              <w:t>37%</w:t>
            </w:r>
          </w:p>
        </w:tc>
      </w:tr>
    </w:tbl>
    <w:p>
      <w:pPr>
        <w:spacing w:before="160" w:after="80" w:line="240" w:lineRule="auto"/>
      </w:pPr>
      <w:r>
        <w:rPr>
          <w:i/>
          <w:sz w:val="22"/>
        </w:rPr>
        <w:t>Note.</w:t>
      </w:r>
      <w:r>
        <w:rPr>
          <w:sz w:val="22"/>
        </w:rPr>
        <w:t xml:space="preserve"> Percentages are of the 98 included studies. † = a study can be counted in more than one category. G1 = self-report; G2 = systematic observation; G3 = sensing, GPS, video or big-data measurement of behaviour. Characteristics of each study are listed in Appendix B.</w:t>
      </w:r>
    </w:p>
    <w:p>
      <w:pPr>
        <w:spacing w:after="120" w:line="240" w:lineRule="auto"/>
        <w:rPr>
          <w:lang w:eastAsia="ko-KR"/>
        </w:rPr>
      </w:pPr>
    </w:p>
    <w:p>
      <w:pPr>
        <w:spacing w:before="200" w:after="80" w:line="240" w:lineRule="auto"/>
        <w:jc w:val="center"/>
      </w:pPr>
      <w:r>
        <w:drawing>
          <wp:inline xmlns:a="http://schemas.openxmlformats.org/drawingml/2006/main" xmlns:pic="http://schemas.openxmlformats.org/drawingml/2006/picture">
            <wp:extent cx="5532120" cy="2759974"/>
            <wp:docPr id="2" name="Picture 2"/>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5532120" cy="2759974"/>
                    </a:xfrm>
                    <a:prstGeom prst="rect"/>
                  </pic:spPr>
                </pic:pic>
              </a:graphicData>
            </a:graphic>
          </wp:inline>
        </w:drawing>
      </w:r>
    </w:p>
    <w:p>
      <w:pPr>
        <w:spacing w:after="240" w:line="240" w:lineRule="auto"/>
      </w:pPr>
      <w:r>
        <w:rPr>
          <w:b/>
          <w:sz w:val="22"/>
        </w:rPr>
        <w:t xml:space="preserve">Fig. 2. </w:t>
      </w:r>
      <w:r>
        <w:rPr>
          <w:sz w:val="22"/>
        </w:rPr>
        <w:t>Geographic and temporal distribution of the 98 included studies. (a) Number of studies by country of data collection. Multi-country studies are counted once for each country, less frequent countries are grouped as Other (number of countries in parentheses), and the 4 studies that did not report the country are not shown. (b) Number of studies by publication year and direction of the relationship examined; studies published before 2010 are combined in the first bar.</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3.3 Methodological quality of included studies</w:t>
      </w:r>
    </w:p>
    <w:p>
      <w:pPr>
        <w:ind w:firstLine="288"/>
        <w:jc w:val="both"/>
        <w:rPr>
          <w:lang w:eastAsia="ko-KR"/>
        </w:rPr>
      </w:pPr>
      <w:r>
        <w:rPr>
          <w:lang w:eastAsia="ko-KR"/>
        </w:rPr>
        <w:t>포함된 98편의 MMAT 등급은 high 22편(22%), moderate 40편(41%), low 36편(37%)이었다(Fig. 3). MMAT 범주는 정량 기술 연구 51편, 비무작위 정량 연구 22편, 혼합 연구 15편, 질적 연구 7편, 무작위배정 연구 2편이었고, 1편은 범주를 판정할 수 없었다.</w:t>
      </w:r>
    </w:p>
    <w:p>
      <w:pPr>
        <w:ind w:firstLine="288"/>
        <w:jc w:val="both"/>
        <w:rPr>
          <w:lang w:eastAsia="ko-KR"/>
        </w:rPr>
      </w:pPr>
      <w:r>
        <w:rPr>
          <w:lang w:eastAsia="ko-KR"/>
        </w:rPr>
        <w:t>문항별 판정은 다음과 같았다. 정량 기술 연구 51편 중 표본 대표성을 충족한 연구는 10편(20%)이었고 24편은 미충족, 17편은 판단불가로 판정됐다. 무응답 편의가 낮다고 판정된 연구는 16편(31%)이었으며, 14편은 미충족, 21편은 판단불가였다. 비무작위 정량 연구 22편 중 참가자가 목표 모집단을 대표한다고 판정된 연구는 4편(18%)이었고 9편은 미충족, 9편은 판단불가였으며, 교란을 적절히 통제한 연구는 9편(41%)이었고 7편은 미충족, 6편은 판단불가였다. 무작위배정 연구 2편은 무작위화 방법, 집단의 기저 동등성, 평가자 눈가림을 보고하지 않아 세 문항이 모두 판단불가로 판정됐으며, 각각 1개와 2개의 기준만 충족해 low 등급을 받았다. 어떤 기준도 충족하지 못한 연구는 4편이었다.</w:t>
      </w:r>
    </w:p>
    <w:p>
      <w:pPr>
        <w:spacing w:before="200" w:after="80" w:line="240" w:lineRule="auto"/>
        <w:jc w:val="center"/>
      </w:pPr>
      <w:r>
        <w:drawing>
          <wp:inline xmlns:a="http://schemas.openxmlformats.org/drawingml/2006/main" xmlns:pic="http://schemas.openxmlformats.org/drawingml/2006/picture">
            <wp:extent cx="5532120" cy="6544957"/>
            <wp:docPr id="3" name="Picture 3"/>
            <wp:cNvGraphicFramePr>
              <a:graphicFrameLocks noChangeAspect="1"/>
            </wp:cNvGraphicFramePr>
            <a:graphic>
              <a:graphicData uri="http://schemas.openxmlformats.org/drawingml/2006/picture">
                <pic:pic>
                  <pic:nvPicPr>
                    <pic:cNvPr id="0" name="Fig8_Quality.png"/>
                    <pic:cNvPicPr/>
                  </pic:nvPicPr>
                  <pic:blipFill>
                    <a:blip r:embed="rId8"/>
                    <a:stretch>
                      <a:fillRect/>
                    </a:stretch>
                  </pic:blipFill>
                  <pic:spPr>
                    <a:xfrm>
                      <a:off x="0" y="0"/>
                      <a:ext cx="5532120" cy="6544957"/>
                    </a:xfrm>
                    <a:prstGeom prst="rect"/>
                  </pic:spPr>
                </pic:pic>
              </a:graphicData>
            </a:graphic>
          </wp:inline>
        </w:drawing>
      </w:r>
    </w:p>
    <w:p>
      <w:pPr>
        <w:spacing w:after="240" w:line="240" w:lineRule="auto"/>
      </w:pPr>
      <w:r>
        <w:rPr>
          <w:b/>
          <w:sz w:val="22"/>
        </w:rPr>
        <w:t xml:space="preserve">Fig. 3. </w:t>
      </w:r>
      <w:r>
        <w:rPr>
          <w:sz w:val="22"/>
        </w:rPr>
        <w:t>Methodological quality of the included studies appraised with MMAT 2018. (a) Number of studies rated high (4–5 criteria met), moderate (3) or low (0–2) in each MMAT study category. (b) Share of studies rated Yes, Can't tell or No on selected items, grouped by the proportion of studies meeting the criterion. Item numbers follow MMAT 2018: the first digit is the study category (1 = qualitative, 2 = randomised controlled trial, 3 = non-randomised, 4 = quantitative descriptive) and the second is the criterion within that category. The fraction to the right of each bar is the number of studies meeting the criterion over the number of studies to which the item applies. Can't tell indicates that the information needed to judge the criterion was not reported.</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3.4 Meta-analyses (RQ1)</w:t>
      </w:r>
    </w:p>
    <w:p>
      <w:pPr>
        <w:ind w:firstLine="288"/>
        <w:jc w:val="both"/>
        <w:rPr>
          <w:lang w:eastAsia="ko-KR"/>
        </w:rPr>
      </w:pPr>
      <w:r>
        <w:rPr>
          <w:lang w:eastAsia="ko-KR"/>
        </w:rPr>
        <w:t>네 개의 행태 클러스터가 메타분석 요건을 충족했으며, 16편의 연구가 합성에 기여했다. 기여 연구의 특성과 개별 효과크기는 Table 2에, 클러스터별 숲 그림은 Fig. 4에 제시했다. 평균 효과의 95% 신뢰구간이 0을 배제한 것은 사회적 상호작용과 소리–행태 상관의 두 클러스터였고, 95% 예측구간은 네 클러스터 모두 0을 포함했다(Table 3).</w:t>
      </w:r>
    </w:p>
    <w:p>
      <w:pPr>
        <w:ind w:firstLine="288"/>
        <w:jc w:val="both"/>
        <w:rPr>
          <w:lang w:eastAsia="ko-KR"/>
        </w:rPr>
      </w:pPr>
      <w:r>
        <w:rPr>
          <w:lang w:eastAsia="ko-KR"/>
        </w:rPr>
        <w:t>보행속도 클러스터(</w:t>
      </w:r>
      <w:r>
        <w:rPr>
          <w:i/>
          <w:lang w:eastAsia="ko-KR"/>
        </w:rPr>
        <w:t>k</w:t>
      </w:r>
      <w:r>
        <w:rPr>
          <w:lang w:eastAsia="ko-KR"/>
        </w:rPr>
        <w:t xml:space="preserve"> = 3)에서는 소음 조건에서 보행이 더 빨랐으나 합성 효과의 신뢰구간이 0을 포함했고(</w:t>
      </w:r>
      <w:r>
        <w:rPr>
          <w:i/>
          <w:lang w:eastAsia="ko-KR"/>
        </w:rPr>
        <w:t>g</w:t>
      </w:r>
      <w:r>
        <w:rPr>
          <w:lang w:eastAsia="ko-KR"/>
        </w:rPr>
        <w:t xml:space="preserve"> = −0.47, 95% CI [−2.06, +1.11], </w:t>
      </w:r>
      <w:r>
        <w:rPr>
          <w:i/>
          <w:lang w:eastAsia="ko-KR"/>
        </w:rPr>
        <w:t>p</w:t>
      </w:r>
      <w:r>
        <w:rPr>
          <w:lang w:eastAsia="ko-KR"/>
        </w:rPr>
        <w:t xml:space="preserve"> = 0.326), 이질성이 높았다(</w:t>
      </w:r>
      <w:r>
        <w:rPr>
          <w:i/>
          <w:lang w:eastAsia="ko-KR"/>
        </w:rPr>
        <w:t>I</w:t>
      </w:r>
      <w:r>
        <w:rPr>
          <w:lang w:eastAsia="ko-KR"/>
        </w:rPr>
        <w:t>² = 81.4%). 체코에서 수행된 두 현장실험은 새소리 조건보다 교통소음이나 도시소음 조건에서 보행속도가 빨랐다고 보고했지만(</w:t>
      </w:r>
      <w:r>
        <w:rPr>
          <w:i/>
          <w:lang w:eastAsia="ko-KR"/>
        </w:rPr>
        <w:t>g</w:t>
      </w:r>
      <w:r>
        <w:rPr>
          <w:lang w:eastAsia="ko-KR"/>
        </w:rPr>
        <w:t xml:space="preserve"> = −1.02, −0.63)[28,29], 알제리 오아시스 지역의 가로에서 자연음과 교통음 조건을 비교한 관찰 연구에서는 반대 방향의 효과가 나타났다(</w:t>
      </w:r>
      <w:r>
        <w:rPr>
          <w:i/>
          <w:lang w:eastAsia="ko-KR"/>
        </w:rPr>
        <w:t>g</w:t>
      </w:r>
      <w:r>
        <w:rPr>
          <w:lang w:eastAsia="ko-KR"/>
        </w:rPr>
        <w:t xml:space="preserve"> = +0.23)[30]. 세 연구는 모두 MMAT low 등급이었다. MMAT high 등급을 받은 보행 관련 연구 가운데 광장 배경음악의 효과를 다룬 연구는 노출 정의가 달라 제외했으며(2.9절), 인용 추적으로 확보한 세 편은 각각 음악 템포를 조작했거나[31], 소음과 보행속도의 관계를 직접 검정하지 않았거나[32], 헤드폰으로 전달한 증강 발소리를 다뤄[33] 합성에 포함되지 않았다.</w:t>
      </w:r>
    </w:p>
    <w:p>
      <w:pPr>
        <w:ind w:firstLine="288"/>
        <w:jc w:val="both"/>
        <w:rPr>
          <w:lang w:eastAsia="ko-KR"/>
        </w:rPr>
      </w:pPr>
      <w:r>
        <w:rPr>
          <w:lang w:eastAsia="ko-KR"/>
        </w:rPr>
        <w:t>체류 클러스터(</w:t>
      </w:r>
      <w:r>
        <w:rPr>
          <w:i/>
          <w:lang w:eastAsia="ko-KR"/>
        </w:rPr>
        <w:t>k</w:t>
      </w:r>
      <w:r>
        <w:rPr>
          <w:lang w:eastAsia="ko-KR"/>
        </w:rPr>
        <w:t xml:space="preserve"> = 3)에서는 긍정적인 소리 조건에서 체류가 더 길었으나 합성 효과의 신뢰구간이 0을 포함했다(</w:t>
      </w:r>
      <w:r>
        <w:rPr>
          <w:i/>
          <w:lang w:eastAsia="ko-KR"/>
        </w:rPr>
        <w:t>g</w:t>
      </w:r>
      <w:r>
        <w:rPr>
          <w:lang w:eastAsia="ko-KR"/>
        </w:rPr>
        <w:t xml:space="preserve"> = +0.34, 95% CI [−0.09, +0.78], </w:t>
      </w:r>
      <w:r>
        <w:rPr>
          <w:i/>
          <w:lang w:eastAsia="ko-KR"/>
        </w:rPr>
        <w:t>p</w:t>
      </w:r>
      <w:r>
        <w:rPr>
          <w:lang w:eastAsia="ko-KR"/>
        </w:rPr>
        <w:t xml:space="preserve"> = 0.077, </w:t>
      </w:r>
      <w:r>
        <w:rPr>
          <w:i/>
          <w:lang w:eastAsia="ko-KR"/>
        </w:rPr>
        <w:t>I</w:t>
      </w:r>
      <w:r>
        <w:rPr>
          <w:lang w:eastAsia="ko-KR"/>
        </w:rPr>
        <w:t xml:space="preserve">² = 54.4%). 세 효과는 모두 같은 방향이었다. 영국 대학 캠퍼스의 옥외공간[34]과 중국의 가로[35]에서 음악을 재생한 두 현장실험의 효과는 각각 </w:t>
      </w:r>
      <w:r>
        <w:rPr>
          <w:i/>
          <w:lang w:eastAsia="ko-KR"/>
        </w:rPr>
        <w:t>g</w:t>
      </w:r>
      <w:r>
        <w:rPr>
          <w:lang w:eastAsia="ko-KR"/>
        </w:rPr>
        <w:t xml:space="preserve"> = +0.39와 +0.61이었고, 자연음 지수가 높은 조건과 낮은 조건의 체류를 비교한 중국의 혼합 연구에서는 </w:t>
      </w:r>
      <w:r>
        <w:rPr>
          <w:i/>
          <w:lang w:eastAsia="ko-KR"/>
        </w:rPr>
        <w:t>g</w:t>
      </w:r>
      <w:r>
        <w:rPr>
          <w:lang w:eastAsia="ko-KR"/>
        </w:rPr>
        <w:t xml:space="preserve"> = +0.21이었다[36].</w:t>
      </w:r>
    </w:p>
    <w:p>
      <w:pPr>
        <w:ind w:firstLine="288"/>
        <w:jc w:val="both"/>
        <w:rPr>
          <w:lang w:eastAsia="ko-KR"/>
        </w:rPr>
      </w:pPr>
      <w:r>
        <w:rPr>
          <w:lang w:eastAsia="ko-KR"/>
        </w:rPr>
        <w:t>사회적 상호작용 클러스터(</w:t>
      </w:r>
      <w:r>
        <w:rPr>
          <w:i/>
          <w:lang w:eastAsia="ko-KR"/>
        </w:rPr>
        <w:t>k</w:t>
      </w:r>
      <w:r>
        <w:rPr>
          <w:lang w:eastAsia="ko-KR"/>
        </w:rPr>
        <w:t xml:space="preserve"> = 4)에서는 더 조용하거나 자연음이 있는 조건에서 사회적 상호작용이 많았고, 합성 효과의 신뢰구간이 0을 배제했다(</w:t>
      </w:r>
      <w:r>
        <w:rPr>
          <w:i/>
          <w:lang w:eastAsia="ko-KR"/>
        </w:rPr>
        <w:t>g</w:t>
      </w:r>
      <w:r>
        <w:rPr>
          <w:lang w:eastAsia="ko-KR"/>
        </w:rPr>
        <w:t xml:space="preserve"> = +0.68, 95% CI [+0.20, +1.16], </w:t>
      </w:r>
      <w:r>
        <w:rPr>
          <w:i/>
          <w:lang w:eastAsia="ko-KR"/>
        </w:rPr>
        <w:t>p</w:t>
      </w:r>
      <w:r>
        <w:rPr>
          <w:lang w:eastAsia="ko-KR"/>
        </w:rPr>
        <w:t xml:space="preserve"> = 0.020, </w:t>
      </w:r>
      <w:r>
        <w:rPr>
          <w:i/>
          <w:lang w:eastAsia="ko-KR"/>
        </w:rPr>
        <w:t>I</w:t>
      </w:r>
      <w:r>
        <w:rPr>
          <w:lang w:eastAsia="ko-KR"/>
        </w:rPr>
        <w:t>² = 48.6%). 네 효과는 모두 같은 방향이었다. 중국의 공원[37]과 주거단지 옥외공간[38]에서 수행된 두 현장실험은 자연음 조건과 소음 조건에서 집단 또는 두 사람 사이의 상호작용을 비교했고(</w:t>
      </w:r>
      <w:r>
        <w:rPr>
          <w:i/>
          <w:lang w:eastAsia="ko-KR"/>
        </w:rPr>
        <w:t>g</w:t>
      </w:r>
      <w:r>
        <w:rPr>
          <w:lang w:eastAsia="ko-KR"/>
        </w:rPr>
        <w:t xml:space="preserve"> = +0.98, +0.55), 나머지 두 현장실험은 조용한 조건과 도로공사 소음[39] 또는 잔디깎기 소음[40] 조건에서 낯선 사람을 돕는 행동을 비교했다(</w:t>
      </w:r>
      <w:r>
        <w:rPr>
          <w:i/>
          <w:lang w:eastAsia="ko-KR"/>
        </w:rPr>
        <w:t>g</w:t>
      </w:r>
      <w:r>
        <w:rPr>
          <w:lang w:eastAsia="ko-KR"/>
        </w:rPr>
        <w:t xml:space="preserve"> = +0.43, +1.07). 이 클러스터에는 MMAT low 등급 연구가 포함되지 않았다.</w:t>
      </w:r>
    </w:p>
    <w:p>
      <w:pPr>
        <w:ind w:firstLine="288"/>
        <w:jc w:val="both"/>
        <w:rPr>
          <w:lang w:eastAsia="ko-KR"/>
        </w:rPr>
      </w:pPr>
      <w:r>
        <w:rPr>
          <w:lang w:eastAsia="ko-KR"/>
        </w:rPr>
        <w:t>소리–행태 상관 클러스터(</w:t>
      </w:r>
      <w:r>
        <w:rPr>
          <w:i/>
          <w:lang w:eastAsia="ko-KR"/>
        </w:rPr>
        <w:t>k</w:t>
      </w:r>
      <w:r>
        <w:rPr>
          <w:lang w:eastAsia="ko-KR"/>
        </w:rPr>
        <w:t xml:space="preserve"> = 6)에서는 소리 지표와 행태 사이에 정적 상관이 나타났고(</w:t>
      </w:r>
      <w:r>
        <w:rPr>
          <w:i/>
          <w:lang w:eastAsia="ko-KR"/>
        </w:rPr>
        <w:t>r</w:t>
      </w:r>
      <w:r>
        <w:rPr>
          <w:lang w:eastAsia="ko-KR"/>
        </w:rPr>
        <w:t xml:space="preserve"> = +0.42, 95% CI [+0.19, +0.61], </w:t>
      </w:r>
      <w:r>
        <w:rPr>
          <w:i/>
          <w:lang w:eastAsia="ko-KR"/>
        </w:rPr>
        <w:t>p</w:t>
      </w:r>
      <w:r>
        <w:rPr>
          <w:lang w:eastAsia="ko-KR"/>
        </w:rPr>
        <w:t xml:space="preserve"> = 0.006), 이질성이 높았다(</w:t>
      </w:r>
      <w:r>
        <w:rPr>
          <w:i/>
          <w:lang w:eastAsia="ko-KR"/>
        </w:rPr>
        <w:t>I</w:t>
      </w:r>
      <w:r>
        <w:rPr>
          <w:lang w:eastAsia="ko-KR"/>
        </w:rPr>
        <w:t>² = 92.0%). 개별 상관계수는 +0.16에서 +0.65 사이에 분포했다. 도시공원 방문객의 사운드스케이프 쾌적성과 정적 행태[41], 공원 체류시간과 회복감 지각[42], 가로의 등가소음도(LAeq)와 발성 노력[43]의 상관은 +0.55 이상이었고, 광장에서의 동행 여부와 소리 인지[44], 상업 가로의 자연음 사건과 대기(queuing) 행동[45]의 상관은 +0.21 이하였다. 가로의 음향 쾌적성과 보행 쾌적성의 상관(</w:t>
      </w:r>
      <w:r>
        <w:rPr>
          <w:i/>
          <w:lang w:eastAsia="ko-KR"/>
        </w:rPr>
        <w:t>r</w:t>
      </w:r>
      <w:r>
        <w:rPr>
          <w:lang w:eastAsia="ko-KR"/>
        </w:rPr>
        <w:t xml:space="preserve"> = +0.40)[46]은 신뢰구간이 가장 넓었다.</w:t>
      </w:r>
    </w:p>
    <w:p>
      <w:pPr>
        <w:spacing w:before="160" w:after="80" w:line="240" w:lineRule="auto"/>
        <w:rPr>
          <w:b/>
          <w:sz w:val="22"/>
          <w:lang w:eastAsia="ko-KR"/>
        </w:rPr>
        <w:sectPr>
          <w:pgSz w:w="11909" w:h="16834"/>
          <w:pgMar w:top="1440" w:right="1440" w:bottom="1440" w:left="1699" w:header="720" w:footer="720" w:gutter="0"/>
          <w:cols w:space="720"/>
          <w:docGrid w:linePitch="360"/>
        </w:sectPr>
      </w:pPr>
    </w:p>
    <w:p>
      <w:pPr>
        <w:spacing w:before="160" w:after="80" w:line="240" w:lineRule="auto"/>
      </w:pPr>
      <w:r>
        <w:rPr>
          <w:b/>
          <w:sz w:val="22"/>
        </w:rPr>
        <w:t>Table 2.</w:t>
      </w:r>
      <w:r>
        <w:rPr>
          <w:sz w:val="22"/>
        </w:rPr>
        <w:t xml:space="preserve"> Characteristics and effect sizes of the studies contributing to the meta-analyses.</w:t>
      </w:r>
    </w:p>
    <w:tbl>
      <w:tblPr>
        <w:tblStyle w:val="af9"/>
        <w:tblW w:w="5304" w:type="pct"/>
        <w:jc w:val="center"/>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3165"/>
        <w:gridCol w:w="1252"/>
        <w:gridCol w:w="1331"/>
        <w:gridCol w:w="1891"/>
        <w:gridCol w:w="3824"/>
        <w:gridCol w:w="571"/>
        <w:gridCol w:w="1064"/>
        <w:gridCol w:w="2101"/>
      </w:tblGrid>
      <w:tr>
        <w:trPr>
          <w:trHeight w:val="334"/>
          <w:jc w:val="center"/>
        </w:trPr>
        <w:tc>
          <w:tcPr>
            <w:tcW w:w="1041" w:type="pct"/>
            <w:tcBorders>
              <w:top w:val="single" w:sz="12" w:space="0" w:color="auto"/>
              <w:right w:val="nil"/>
            </w:tcBorders>
            <w:vAlign w:val="center"/>
          </w:tcPr>
          <w:p>
            <w:pPr>
              <w:spacing w:line="240" w:lineRule="auto"/>
              <w:jc w:val="both"/>
            </w:pPr>
            <w:r>
              <w:rPr>
                <w:b/>
                <w:sz w:val="22"/>
              </w:rPr>
              <w:t>Study</w:t>
            </w:r>
          </w:p>
        </w:tc>
        <w:tc>
          <w:tcPr>
            <w:tcW w:w="412" w:type="pct"/>
            <w:tcBorders>
              <w:top w:val="single" w:sz="12" w:space="0" w:color="auto"/>
              <w:left w:val="nil"/>
              <w:right w:val="nil"/>
            </w:tcBorders>
            <w:vAlign w:val="center"/>
          </w:tcPr>
          <w:p>
            <w:pPr>
              <w:spacing w:line="240" w:lineRule="auto"/>
              <w:jc w:val="both"/>
            </w:pPr>
            <w:r>
              <w:rPr>
                <w:b/>
                <w:sz w:val="22"/>
              </w:rPr>
              <w:t>Country</w:t>
            </w:r>
          </w:p>
        </w:tc>
        <w:tc>
          <w:tcPr>
            <w:tcW w:w="438" w:type="pct"/>
            <w:tcBorders>
              <w:top w:val="single" w:sz="12" w:space="0" w:color="auto"/>
              <w:left w:val="nil"/>
              <w:right w:val="nil"/>
            </w:tcBorders>
            <w:vAlign w:val="center"/>
          </w:tcPr>
          <w:p>
            <w:pPr>
              <w:spacing w:line="240" w:lineRule="auto"/>
              <w:jc w:val="both"/>
            </w:pPr>
            <w:r>
              <w:rPr>
                <w:b/>
                <w:sz w:val="22"/>
              </w:rPr>
              <w:t>Setting</w:t>
            </w:r>
          </w:p>
        </w:tc>
        <w:tc>
          <w:tcPr>
            <w:tcW w:w="622" w:type="pct"/>
            <w:tcBorders>
              <w:top w:val="single" w:sz="12" w:space="0" w:color="auto"/>
              <w:left w:val="nil"/>
              <w:right w:val="nil"/>
            </w:tcBorders>
            <w:vAlign w:val="center"/>
          </w:tcPr>
          <w:p>
            <w:pPr>
              <w:spacing w:line="240" w:lineRule="auto"/>
              <w:jc w:val="both"/>
            </w:pPr>
            <w:r>
              <w:rPr>
                <w:b/>
                <w:sz w:val="22"/>
              </w:rPr>
              <w:t>Design</w:t>
            </w:r>
          </w:p>
        </w:tc>
        <w:tc>
          <w:tcPr>
            <w:tcW w:w="1258" w:type="pct"/>
            <w:tcBorders>
              <w:top w:val="single" w:sz="12" w:space="0" w:color="auto"/>
              <w:left w:val="nil"/>
              <w:right w:val="nil"/>
            </w:tcBorders>
            <w:vAlign w:val="center"/>
          </w:tcPr>
          <w:p>
            <w:pPr>
              <w:spacing w:line="240" w:lineRule="auto"/>
              <w:jc w:val="both"/>
            </w:pPr>
            <w:r>
              <w:rPr>
                <w:b/>
                <w:sz w:val="22"/>
              </w:rPr>
              <w:t>Contrast or measure</w:t>
            </w:r>
          </w:p>
        </w:tc>
        <w:tc>
          <w:tcPr>
            <w:tcW w:w="188" w:type="pct"/>
            <w:tcBorders>
              <w:top w:val="single" w:sz="12" w:space="0" w:color="auto"/>
              <w:left w:val="nil"/>
              <w:right w:val="nil"/>
            </w:tcBorders>
            <w:vAlign w:val="center"/>
          </w:tcPr>
          <w:p>
            <w:pPr>
              <w:spacing w:line="240" w:lineRule="auto"/>
              <w:jc w:val="both"/>
            </w:pPr>
            <w:r>
              <w:rPr>
                <w:b/>
                <w:i/>
                <w:sz w:val="22"/>
              </w:rPr>
              <w:t>n</w:t>
            </w:r>
          </w:p>
        </w:tc>
        <w:tc>
          <w:tcPr>
            <w:tcW w:w="350" w:type="pct"/>
            <w:tcBorders>
              <w:top w:val="single" w:sz="12" w:space="0" w:color="auto"/>
              <w:left w:val="nil"/>
              <w:right w:val="nil"/>
            </w:tcBorders>
            <w:vAlign w:val="center"/>
          </w:tcPr>
          <w:p>
            <w:pPr>
              <w:spacing w:line="240" w:lineRule="auto"/>
              <w:jc w:val="both"/>
            </w:pPr>
            <w:r>
              <w:rPr>
                <w:b/>
                <w:sz w:val="22"/>
              </w:rPr>
              <w:t>MMAT</w:t>
            </w:r>
          </w:p>
        </w:tc>
        <w:tc>
          <w:tcPr>
            <w:tcW w:w="690" w:type="pct"/>
            <w:tcBorders>
              <w:top w:val="single" w:sz="12" w:space="0" w:color="auto"/>
              <w:left w:val="nil"/>
            </w:tcBorders>
            <w:vAlign w:val="center"/>
          </w:tcPr>
          <w:p>
            <w:pPr>
              <w:spacing w:line="240" w:lineRule="auto"/>
              <w:jc w:val="both"/>
            </w:pPr>
            <w:r>
              <w:rPr>
                <w:b/>
                <w:sz w:val="22"/>
              </w:rPr>
              <w:t>Effect [95% CI]</w:t>
            </w:r>
          </w:p>
        </w:tc>
      </w:tr>
      <w:tr>
        <w:trPr>
          <w:trHeight w:val="334"/>
          <w:jc w:val="center"/>
        </w:trPr>
        <w:tc>
          <w:tcPr>
            <w:tcW w:w="5000" w:type="pct"/>
            <w:gridSpan w:val="8"/>
            <w:tcBorders>
              <w:bottom w:val="single" w:sz="4" w:space="0" w:color="auto"/>
            </w:tcBorders>
            <w:vAlign w:val="center"/>
          </w:tcPr>
          <w:p>
            <w:pPr>
              <w:spacing w:line="240" w:lineRule="auto"/>
              <w:jc w:val="both"/>
            </w:pPr>
            <w:r>
              <w:rPr>
                <w:b/>
                <w:sz w:val="22"/>
              </w:rPr>
              <w:t>Walking speed (Hedges' g; negative = faster under noise)</w:t>
            </w:r>
          </w:p>
        </w:tc>
      </w:tr>
      <w:tr>
        <w:trPr>
          <w:trHeight w:val="334"/>
          <w:jc w:val="center"/>
        </w:trPr>
        <w:tc>
          <w:tcPr>
            <w:tcW w:w="1041" w:type="pct"/>
            <w:tcBorders>
              <w:top w:val="single" w:sz="4" w:space="0" w:color="auto"/>
              <w:bottom w:val="nil"/>
              <w:right w:val="nil"/>
            </w:tcBorders>
            <w:vAlign w:val="center"/>
          </w:tcPr>
          <w:p>
            <w:pPr>
              <w:spacing w:line="240" w:lineRule="auto"/>
              <w:jc w:val="both"/>
            </w:pPr>
            <w:r>
              <w:rPr>
                <w:sz w:val="22"/>
              </w:rPr>
              <w:t>Franěk et al. (2018)</w:t>
            </w:r>
          </w:p>
        </w:tc>
        <w:tc>
          <w:tcPr>
            <w:tcW w:w="412" w:type="pct"/>
            <w:tcBorders>
              <w:top w:val="single" w:sz="4" w:space="0" w:color="auto"/>
              <w:left w:val="nil"/>
              <w:bottom w:val="nil"/>
              <w:right w:val="nil"/>
            </w:tcBorders>
            <w:vAlign w:val="center"/>
          </w:tcPr>
          <w:p>
            <w:pPr>
              <w:spacing w:line="240" w:lineRule="auto"/>
              <w:jc w:val="both"/>
            </w:pPr>
            <w:r>
              <w:rPr>
                <w:sz w:val="22"/>
              </w:rPr>
              <w:t>Czechia</w:t>
            </w:r>
          </w:p>
        </w:tc>
        <w:tc>
          <w:tcPr>
            <w:tcW w:w="438" w:type="pct"/>
            <w:tcBorders>
              <w:top w:val="single" w:sz="4" w:space="0" w:color="auto"/>
              <w:left w:val="nil"/>
              <w:bottom w:val="nil"/>
              <w:right w:val="nil"/>
            </w:tcBorders>
            <w:vAlign w:val="center"/>
          </w:tcPr>
          <w:p>
            <w:pPr>
              <w:spacing w:line="240" w:lineRule="auto"/>
              <w:jc w:val="both"/>
            </w:pPr>
            <w:r>
              <w:rPr>
                <w:sz w:val="22"/>
              </w:rPr>
              <w:t>Street</w:t>
            </w:r>
          </w:p>
        </w:tc>
        <w:tc>
          <w:tcPr>
            <w:tcW w:w="622" w:type="pct"/>
            <w:tcBorders>
              <w:top w:val="single" w:sz="4" w:space="0" w:color="auto"/>
              <w:left w:val="nil"/>
              <w:bottom w:val="nil"/>
              <w:right w:val="nil"/>
            </w:tcBorders>
            <w:vAlign w:val="center"/>
          </w:tcPr>
          <w:p>
            <w:pPr>
              <w:spacing w:line="240" w:lineRule="auto"/>
              <w:jc w:val="both"/>
            </w:pPr>
            <w:r>
              <w:rPr>
                <w:sz w:val="22"/>
              </w:rPr>
              <w:t>Field experiment</w:t>
            </w:r>
          </w:p>
        </w:tc>
        <w:tc>
          <w:tcPr>
            <w:tcW w:w="1258" w:type="pct"/>
            <w:tcBorders>
              <w:top w:val="single" w:sz="4" w:space="0" w:color="auto"/>
              <w:left w:val="nil"/>
              <w:bottom w:val="nil"/>
              <w:right w:val="nil"/>
            </w:tcBorders>
            <w:vAlign w:val="center"/>
          </w:tcPr>
          <w:p>
            <w:pPr>
              <w:spacing w:line="240" w:lineRule="auto"/>
              <w:jc w:val="both"/>
            </w:pPr>
            <w:r>
              <w:rPr>
                <w:sz w:val="22"/>
              </w:rPr>
              <w:t>birdsong vs traffic noise</w:t>
            </w:r>
          </w:p>
        </w:tc>
        <w:tc>
          <w:tcPr>
            <w:tcW w:w="188" w:type="pct"/>
            <w:tcBorders>
              <w:top w:val="single" w:sz="4" w:space="0" w:color="auto"/>
              <w:left w:val="nil"/>
              <w:bottom w:val="nil"/>
              <w:right w:val="nil"/>
            </w:tcBorders>
            <w:vAlign w:val="center"/>
          </w:tcPr>
          <w:p>
            <w:pPr>
              <w:spacing w:line="240" w:lineRule="auto"/>
              <w:jc w:val="both"/>
            </w:pPr>
            <w:r>
              <w:rPr>
                <w:sz w:val="22"/>
              </w:rPr>
              <w:t>57</w:t>
            </w:r>
          </w:p>
        </w:tc>
        <w:tc>
          <w:tcPr>
            <w:tcW w:w="350" w:type="pct"/>
            <w:tcBorders>
              <w:top w:val="single" w:sz="4" w:space="0" w:color="auto"/>
              <w:left w:val="nil"/>
              <w:bottom w:val="nil"/>
              <w:right w:val="nil"/>
            </w:tcBorders>
            <w:vAlign w:val="center"/>
          </w:tcPr>
          <w:p>
            <w:pPr>
              <w:spacing w:line="240" w:lineRule="auto"/>
              <w:jc w:val="both"/>
            </w:pPr>
            <w:r>
              <w:rPr>
                <w:sz w:val="22"/>
              </w:rPr>
              <w:t>Low</w:t>
            </w:r>
          </w:p>
        </w:tc>
        <w:tc>
          <w:tcPr>
            <w:tcW w:w="690" w:type="pct"/>
            <w:tcBorders>
              <w:top w:val="single" w:sz="4" w:space="0" w:color="auto"/>
              <w:left w:val="nil"/>
              <w:bottom w:val="nil"/>
            </w:tcBorders>
            <w:vAlign w:val="center"/>
          </w:tcPr>
          <w:p>
            <w:pPr>
              <w:spacing w:line="240" w:lineRule="auto"/>
              <w:jc w:val="both"/>
            </w:pPr>
            <w:r>
              <w:rPr>
                <w:sz w:val="22"/>
              </w:rPr>
              <w:t>−1.02 [−1.58, −0.47]</w:t>
            </w:r>
          </w:p>
        </w:tc>
      </w:tr>
      <w:tr>
        <w:trPr>
          <w:trHeight w:val="334"/>
          <w:jc w:val="center"/>
        </w:trPr>
        <w:tc>
          <w:tcPr>
            <w:tcW w:w="1041" w:type="pct"/>
            <w:tcBorders>
              <w:top w:val="nil"/>
              <w:bottom w:val="nil"/>
              <w:right w:val="nil"/>
            </w:tcBorders>
            <w:vAlign w:val="center"/>
          </w:tcPr>
          <w:p>
            <w:pPr>
              <w:spacing w:line="240" w:lineRule="auto"/>
              <w:jc w:val="both"/>
            </w:pPr>
            <w:r>
              <w:rPr>
                <w:sz w:val="22"/>
              </w:rPr>
              <w:t>Franěk et al. (2019)</w:t>
            </w:r>
          </w:p>
        </w:tc>
        <w:tc>
          <w:tcPr>
            <w:tcW w:w="412" w:type="pct"/>
            <w:tcBorders>
              <w:top w:val="nil"/>
              <w:left w:val="nil"/>
              <w:bottom w:val="nil"/>
              <w:right w:val="nil"/>
            </w:tcBorders>
            <w:vAlign w:val="center"/>
          </w:tcPr>
          <w:p>
            <w:pPr>
              <w:spacing w:line="240" w:lineRule="auto"/>
              <w:jc w:val="both"/>
            </w:pPr>
            <w:r>
              <w:rPr>
                <w:sz w:val="22"/>
              </w:rPr>
              <w:t>Czechia</w:t>
            </w:r>
          </w:p>
        </w:tc>
        <w:tc>
          <w:tcPr>
            <w:tcW w:w="438" w:type="pct"/>
            <w:tcBorders>
              <w:top w:val="nil"/>
              <w:left w:val="nil"/>
              <w:bottom w:val="nil"/>
              <w:right w:val="nil"/>
            </w:tcBorders>
            <w:vAlign w:val="center"/>
          </w:tcPr>
          <w:p>
            <w:pPr>
              <w:spacing w:line="240" w:lineRule="auto"/>
              <w:jc w:val="both"/>
            </w:pPr>
            <w:r>
              <w:rPr>
                <w:sz w:val="22"/>
              </w:rPr>
              <w:t>Street</w:t>
            </w:r>
          </w:p>
        </w:tc>
        <w:tc>
          <w:tcPr>
            <w:tcW w:w="622" w:type="pct"/>
            <w:tcBorders>
              <w:top w:val="nil"/>
              <w:left w:val="nil"/>
              <w:bottom w:val="nil"/>
              <w:right w:val="nil"/>
            </w:tcBorders>
            <w:vAlign w:val="center"/>
          </w:tcPr>
          <w:p>
            <w:pPr>
              <w:spacing w:line="240" w:lineRule="auto"/>
              <w:jc w:val="both"/>
            </w:pPr>
            <w:r>
              <w:rPr>
                <w:sz w:val="22"/>
              </w:rPr>
              <w:t>Field experiment</w:t>
            </w:r>
          </w:p>
        </w:tc>
        <w:tc>
          <w:tcPr>
            <w:tcW w:w="1258" w:type="pct"/>
            <w:tcBorders>
              <w:top w:val="nil"/>
              <w:left w:val="nil"/>
              <w:bottom w:val="nil"/>
              <w:right w:val="nil"/>
            </w:tcBorders>
            <w:vAlign w:val="center"/>
          </w:tcPr>
          <w:p>
            <w:pPr>
              <w:spacing w:line="240" w:lineRule="auto"/>
              <w:jc w:val="both"/>
            </w:pPr>
            <w:r>
              <w:rPr>
                <w:sz w:val="22"/>
              </w:rPr>
              <w:t>birdsong vs city noise (Exp 1 and 2)</w:t>
            </w:r>
          </w:p>
        </w:tc>
        <w:tc>
          <w:tcPr>
            <w:tcW w:w="188" w:type="pct"/>
            <w:tcBorders>
              <w:top w:val="nil"/>
              <w:left w:val="nil"/>
              <w:bottom w:val="nil"/>
              <w:right w:val="nil"/>
            </w:tcBorders>
            <w:vAlign w:val="center"/>
          </w:tcPr>
          <w:p>
            <w:pPr>
              <w:spacing w:line="240" w:lineRule="auto"/>
              <w:jc w:val="both"/>
            </w:pPr>
            <w:r>
              <w:rPr>
                <w:sz w:val="22"/>
              </w:rPr>
              <w:t>102</w:t>
            </w:r>
          </w:p>
        </w:tc>
        <w:tc>
          <w:tcPr>
            <w:tcW w:w="350" w:type="pct"/>
            <w:tcBorders>
              <w:top w:val="nil"/>
              <w:left w:val="nil"/>
              <w:bottom w:val="nil"/>
              <w:right w:val="nil"/>
            </w:tcBorders>
            <w:vAlign w:val="center"/>
          </w:tcPr>
          <w:p>
            <w:pPr>
              <w:spacing w:line="240" w:lineRule="auto"/>
              <w:jc w:val="both"/>
            </w:pPr>
            <w:r>
              <w:rPr>
                <w:sz w:val="22"/>
              </w:rPr>
              <w:t>Low</w:t>
            </w:r>
          </w:p>
        </w:tc>
        <w:tc>
          <w:tcPr>
            <w:tcW w:w="690" w:type="pct"/>
            <w:tcBorders>
              <w:top w:val="nil"/>
              <w:left w:val="nil"/>
              <w:bottom w:val="nil"/>
            </w:tcBorders>
            <w:vAlign w:val="center"/>
          </w:tcPr>
          <w:p>
            <w:pPr>
              <w:spacing w:line="240" w:lineRule="auto"/>
              <w:jc w:val="both"/>
            </w:pPr>
            <w:r>
              <w:rPr>
                <w:sz w:val="22"/>
              </w:rPr>
              <w:t>−0.63 [−1.12, −0.13]</w:t>
            </w:r>
          </w:p>
        </w:tc>
      </w:tr>
      <w:tr>
        <w:trPr>
          <w:trHeight w:val="334"/>
          <w:jc w:val="center"/>
        </w:trPr>
        <w:tc>
          <w:tcPr>
            <w:tcW w:w="1041" w:type="pct"/>
            <w:tcBorders>
              <w:top w:val="nil"/>
              <w:bottom w:val="single" w:sz="4" w:space="0" w:color="auto"/>
              <w:right w:val="nil"/>
            </w:tcBorders>
            <w:vAlign w:val="center"/>
          </w:tcPr>
          <w:p>
            <w:pPr>
              <w:spacing w:line="240" w:lineRule="auto"/>
              <w:jc w:val="both"/>
            </w:pPr>
            <w:r>
              <w:rPr>
                <w:sz w:val="22"/>
              </w:rPr>
              <w:t>Berkouk et al. (2020)</w:t>
            </w:r>
          </w:p>
        </w:tc>
        <w:tc>
          <w:tcPr>
            <w:tcW w:w="412" w:type="pct"/>
            <w:tcBorders>
              <w:top w:val="nil"/>
              <w:left w:val="nil"/>
              <w:bottom w:val="single" w:sz="4" w:space="0" w:color="auto"/>
              <w:right w:val="nil"/>
            </w:tcBorders>
            <w:vAlign w:val="center"/>
          </w:tcPr>
          <w:p>
            <w:pPr>
              <w:spacing w:line="240" w:lineRule="auto"/>
              <w:jc w:val="both"/>
            </w:pPr>
            <w:r>
              <w:rPr>
                <w:sz w:val="22"/>
              </w:rPr>
              <w:t>Algeria</w:t>
            </w:r>
          </w:p>
        </w:tc>
        <w:tc>
          <w:tcPr>
            <w:tcW w:w="438" w:type="pct"/>
            <w:tcBorders>
              <w:top w:val="nil"/>
              <w:left w:val="nil"/>
              <w:bottom w:val="single" w:sz="4" w:space="0" w:color="auto"/>
              <w:right w:val="nil"/>
            </w:tcBorders>
            <w:vAlign w:val="center"/>
          </w:tcPr>
          <w:p>
            <w:pPr>
              <w:spacing w:line="240" w:lineRule="auto"/>
              <w:jc w:val="both"/>
            </w:pPr>
            <w:r>
              <w:rPr>
                <w:sz w:val="22"/>
              </w:rPr>
              <w:t>Street</w:t>
            </w:r>
          </w:p>
        </w:tc>
        <w:tc>
          <w:tcPr>
            <w:tcW w:w="622" w:type="pct"/>
            <w:tcBorders>
              <w:top w:val="nil"/>
              <w:left w:val="nil"/>
              <w:bottom w:val="single" w:sz="4" w:space="0" w:color="auto"/>
              <w:right w:val="nil"/>
            </w:tcBorders>
            <w:vAlign w:val="center"/>
          </w:tcPr>
          <w:p>
            <w:pPr>
              <w:spacing w:line="240" w:lineRule="auto"/>
              <w:jc w:val="both"/>
            </w:pPr>
            <w:r>
              <w:rPr>
                <w:sz w:val="22"/>
              </w:rPr>
              <w:t>Observation</w:t>
            </w:r>
          </w:p>
        </w:tc>
        <w:tc>
          <w:tcPr>
            <w:tcW w:w="1258" w:type="pct"/>
            <w:tcBorders>
              <w:top w:val="nil"/>
              <w:left w:val="nil"/>
              <w:bottom w:val="single" w:sz="4" w:space="0" w:color="auto"/>
              <w:right w:val="nil"/>
            </w:tcBorders>
            <w:vAlign w:val="center"/>
          </w:tcPr>
          <w:p>
            <w:pPr>
              <w:spacing w:line="240" w:lineRule="auto"/>
              <w:jc w:val="both"/>
            </w:pPr>
            <w:r>
              <w:rPr>
                <w:sz w:val="22"/>
              </w:rPr>
              <w:t>natural vs traffic sound</w:t>
            </w:r>
          </w:p>
        </w:tc>
        <w:tc>
          <w:tcPr>
            <w:tcW w:w="188" w:type="pct"/>
            <w:tcBorders>
              <w:top w:val="nil"/>
              <w:left w:val="nil"/>
              <w:bottom w:val="single" w:sz="4" w:space="0" w:color="auto"/>
              <w:right w:val="nil"/>
            </w:tcBorders>
            <w:vAlign w:val="center"/>
          </w:tcPr>
          <w:p>
            <w:pPr>
              <w:spacing w:line="240" w:lineRule="auto"/>
              <w:jc w:val="both"/>
            </w:pPr>
            <w:r>
              <w:rPr>
                <w:sz w:val="22"/>
              </w:rPr>
              <w:t>54</w:t>
            </w:r>
          </w:p>
        </w:tc>
        <w:tc>
          <w:tcPr>
            <w:tcW w:w="350" w:type="pct"/>
            <w:tcBorders>
              <w:top w:val="nil"/>
              <w:left w:val="nil"/>
              <w:bottom w:val="single" w:sz="4" w:space="0" w:color="auto"/>
              <w:right w:val="nil"/>
            </w:tcBorders>
            <w:vAlign w:val="center"/>
          </w:tcPr>
          <w:p>
            <w:pPr>
              <w:spacing w:line="240" w:lineRule="auto"/>
              <w:jc w:val="both"/>
            </w:pPr>
            <w:r>
              <w:rPr>
                <w:sz w:val="22"/>
              </w:rPr>
              <w:t>Low</w:t>
            </w:r>
          </w:p>
        </w:tc>
        <w:tc>
          <w:tcPr>
            <w:tcW w:w="690" w:type="pct"/>
            <w:tcBorders>
              <w:top w:val="nil"/>
              <w:left w:val="nil"/>
              <w:bottom w:val="single" w:sz="4" w:space="0" w:color="auto"/>
            </w:tcBorders>
            <w:vAlign w:val="center"/>
          </w:tcPr>
          <w:p>
            <w:pPr>
              <w:spacing w:line="240" w:lineRule="auto"/>
              <w:jc w:val="both"/>
            </w:pPr>
            <w:r>
              <w:rPr>
                <w:sz w:val="22"/>
              </w:rPr>
              <w:t>+0.23 [−0.31, +0.76]</w:t>
            </w:r>
          </w:p>
        </w:tc>
      </w:tr>
      <w:tr>
        <w:trPr>
          <w:trHeight w:val="334"/>
          <w:jc w:val="center"/>
        </w:trPr>
        <w:tc>
          <w:tcPr>
            <w:tcW w:w="5000" w:type="pct"/>
            <w:gridSpan w:val="8"/>
            <w:tcBorders>
              <w:top w:val="single" w:sz="4" w:space="0" w:color="auto"/>
              <w:bottom w:val="single" w:sz="4" w:space="0" w:color="auto"/>
            </w:tcBorders>
            <w:vAlign w:val="center"/>
          </w:tcPr>
          <w:p>
            <w:pPr>
              <w:spacing w:line="240" w:lineRule="auto"/>
              <w:jc w:val="both"/>
            </w:pPr>
            <w:r>
              <w:rPr>
                <w:b/>
                <w:sz w:val="22"/>
              </w:rPr>
              <w:t>Staying / dwell time (Hedges' g; positive = longer stay)</w:t>
            </w:r>
          </w:p>
        </w:tc>
      </w:tr>
      <w:tr>
        <w:trPr>
          <w:trHeight w:val="334"/>
          <w:jc w:val="center"/>
        </w:trPr>
        <w:tc>
          <w:tcPr>
            <w:tcW w:w="1041" w:type="pct"/>
            <w:tcBorders>
              <w:top w:val="single" w:sz="4" w:space="0" w:color="auto"/>
              <w:bottom w:val="nil"/>
              <w:right w:val="nil"/>
            </w:tcBorders>
            <w:vAlign w:val="center"/>
          </w:tcPr>
          <w:p>
            <w:pPr>
              <w:spacing w:line="240" w:lineRule="auto"/>
              <w:jc w:val="both"/>
            </w:pPr>
            <w:r>
              <w:rPr>
                <w:sz w:val="22"/>
              </w:rPr>
              <w:t>Aletta et al. (2016)</w:t>
            </w:r>
          </w:p>
        </w:tc>
        <w:tc>
          <w:tcPr>
            <w:tcW w:w="412" w:type="pct"/>
            <w:tcBorders>
              <w:top w:val="single" w:sz="4" w:space="0" w:color="auto"/>
              <w:left w:val="nil"/>
              <w:bottom w:val="nil"/>
              <w:right w:val="nil"/>
            </w:tcBorders>
            <w:vAlign w:val="center"/>
          </w:tcPr>
          <w:p>
            <w:pPr>
              <w:spacing w:line="240" w:lineRule="auto"/>
              <w:jc w:val="both"/>
            </w:pPr>
            <w:r>
              <w:rPr>
                <w:sz w:val="22"/>
              </w:rPr>
              <w:t>UK</w:t>
            </w:r>
          </w:p>
        </w:tc>
        <w:tc>
          <w:tcPr>
            <w:tcW w:w="438" w:type="pct"/>
            <w:tcBorders>
              <w:top w:val="single" w:sz="4" w:space="0" w:color="auto"/>
              <w:left w:val="nil"/>
              <w:bottom w:val="nil"/>
              <w:right w:val="nil"/>
            </w:tcBorders>
            <w:vAlign w:val="center"/>
          </w:tcPr>
          <w:p>
            <w:pPr>
              <w:spacing w:line="240" w:lineRule="auto"/>
              <w:jc w:val="both"/>
            </w:pPr>
            <w:r>
              <w:rPr>
                <w:sz w:val="22"/>
              </w:rPr>
              <w:t>Campus</w:t>
            </w:r>
          </w:p>
        </w:tc>
        <w:tc>
          <w:tcPr>
            <w:tcW w:w="622" w:type="pct"/>
            <w:tcBorders>
              <w:top w:val="single" w:sz="4" w:space="0" w:color="auto"/>
              <w:left w:val="nil"/>
              <w:bottom w:val="nil"/>
              <w:right w:val="nil"/>
            </w:tcBorders>
            <w:vAlign w:val="center"/>
          </w:tcPr>
          <w:p>
            <w:pPr>
              <w:spacing w:line="240" w:lineRule="auto"/>
              <w:jc w:val="both"/>
            </w:pPr>
            <w:r>
              <w:rPr>
                <w:sz w:val="22"/>
              </w:rPr>
              <w:t>Field experiment</w:t>
            </w:r>
          </w:p>
        </w:tc>
        <w:tc>
          <w:tcPr>
            <w:tcW w:w="1258" w:type="pct"/>
            <w:tcBorders>
              <w:top w:val="single" w:sz="4" w:space="0" w:color="auto"/>
              <w:left w:val="nil"/>
              <w:bottom w:val="nil"/>
              <w:right w:val="nil"/>
            </w:tcBorders>
            <w:vAlign w:val="center"/>
          </w:tcPr>
          <w:p>
            <w:pPr>
              <w:spacing w:line="240" w:lineRule="auto"/>
              <w:jc w:val="both"/>
            </w:pPr>
            <w:r>
              <w:rPr>
                <w:sz w:val="22"/>
              </w:rPr>
              <w:t>music vs no music</w:t>
            </w:r>
          </w:p>
        </w:tc>
        <w:tc>
          <w:tcPr>
            <w:tcW w:w="188" w:type="pct"/>
            <w:tcBorders>
              <w:top w:val="single" w:sz="4" w:space="0" w:color="auto"/>
              <w:left w:val="nil"/>
              <w:bottom w:val="nil"/>
              <w:right w:val="nil"/>
            </w:tcBorders>
            <w:vAlign w:val="center"/>
          </w:tcPr>
          <w:p>
            <w:pPr>
              <w:spacing w:line="240" w:lineRule="auto"/>
              <w:jc w:val="both"/>
            </w:pPr>
            <w:r>
              <w:rPr>
                <w:sz w:val="22"/>
              </w:rPr>
              <w:t>596</w:t>
            </w:r>
          </w:p>
        </w:tc>
        <w:tc>
          <w:tcPr>
            <w:tcW w:w="350" w:type="pct"/>
            <w:tcBorders>
              <w:top w:val="single" w:sz="4" w:space="0" w:color="auto"/>
              <w:left w:val="nil"/>
              <w:bottom w:val="nil"/>
              <w:right w:val="nil"/>
            </w:tcBorders>
            <w:vAlign w:val="center"/>
          </w:tcPr>
          <w:p>
            <w:pPr>
              <w:spacing w:line="240" w:lineRule="auto"/>
              <w:jc w:val="both"/>
            </w:pPr>
            <w:r>
              <w:rPr>
                <w:sz w:val="22"/>
              </w:rPr>
              <w:t>High</w:t>
            </w:r>
          </w:p>
        </w:tc>
        <w:tc>
          <w:tcPr>
            <w:tcW w:w="690" w:type="pct"/>
            <w:tcBorders>
              <w:top w:val="single" w:sz="4" w:space="0" w:color="auto"/>
              <w:left w:val="nil"/>
              <w:bottom w:val="nil"/>
            </w:tcBorders>
            <w:vAlign w:val="center"/>
          </w:tcPr>
          <w:p>
            <w:pPr>
              <w:spacing w:line="240" w:lineRule="auto"/>
              <w:jc w:val="both"/>
            </w:pPr>
            <w:r>
              <w:rPr>
                <w:sz w:val="22"/>
              </w:rPr>
              <w:t>+0.39 [+0.19, +0.59]</w:t>
            </w:r>
          </w:p>
        </w:tc>
      </w:tr>
      <w:tr>
        <w:trPr>
          <w:trHeight w:val="334"/>
          <w:jc w:val="center"/>
        </w:trPr>
        <w:tc>
          <w:tcPr>
            <w:tcW w:w="1041" w:type="pct"/>
            <w:tcBorders>
              <w:top w:val="nil"/>
              <w:bottom w:val="nil"/>
              <w:right w:val="nil"/>
            </w:tcBorders>
            <w:vAlign w:val="center"/>
          </w:tcPr>
          <w:p>
            <w:pPr>
              <w:spacing w:line="240" w:lineRule="auto"/>
              <w:jc w:val="both"/>
            </w:pPr>
            <w:r>
              <w:rPr>
                <w:sz w:val="22"/>
              </w:rPr>
              <w:t>Ba et al. (2020)</w:t>
            </w:r>
          </w:p>
        </w:tc>
        <w:tc>
          <w:tcPr>
            <w:tcW w:w="412" w:type="pct"/>
            <w:tcBorders>
              <w:top w:val="nil"/>
              <w:left w:val="nil"/>
              <w:bottom w:val="nil"/>
              <w:right w:val="nil"/>
            </w:tcBorders>
            <w:vAlign w:val="center"/>
          </w:tcPr>
          <w:p>
            <w:pPr>
              <w:spacing w:line="240" w:lineRule="auto"/>
              <w:jc w:val="both"/>
            </w:pPr>
            <w:r>
              <w:rPr>
                <w:sz w:val="22"/>
              </w:rPr>
              <w:t>China</w:t>
            </w:r>
          </w:p>
        </w:tc>
        <w:tc>
          <w:tcPr>
            <w:tcW w:w="438" w:type="pct"/>
            <w:tcBorders>
              <w:top w:val="nil"/>
              <w:left w:val="nil"/>
              <w:bottom w:val="nil"/>
              <w:right w:val="nil"/>
            </w:tcBorders>
            <w:vAlign w:val="center"/>
          </w:tcPr>
          <w:p>
            <w:pPr>
              <w:spacing w:line="240" w:lineRule="auto"/>
              <w:jc w:val="both"/>
            </w:pPr>
            <w:r>
              <w:rPr>
                <w:sz w:val="22"/>
              </w:rPr>
              <w:t>Street</w:t>
            </w:r>
          </w:p>
        </w:tc>
        <w:tc>
          <w:tcPr>
            <w:tcW w:w="622" w:type="pct"/>
            <w:tcBorders>
              <w:top w:val="nil"/>
              <w:left w:val="nil"/>
              <w:bottom w:val="nil"/>
              <w:right w:val="nil"/>
            </w:tcBorders>
            <w:vAlign w:val="center"/>
          </w:tcPr>
          <w:p>
            <w:pPr>
              <w:spacing w:line="240" w:lineRule="auto"/>
              <w:jc w:val="both"/>
            </w:pPr>
            <w:r>
              <w:rPr>
                <w:sz w:val="22"/>
              </w:rPr>
              <w:t>Field experiment</w:t>
            </w:r>
          </w:p>
        </w:tc>
        <w:tc>
          <w:tcPr>
            <w:tcW w:w="1258" w:type="pct"/>
            <w:tcBorders>
              <w:top w:val="nil"/>
              <w:left w:val="nil"/>
              <w:bottom w:val="nil"/>
              <w:right w:val="nil"/>
            </w:tcBorders>
            <w:vAlign w:val="center"/>
          </w:tcPr>
          <w:p>
            <w:pPr>
              <w:spacing w:line="240" w:lineRule="auto"/>
              <w:jc w:val="both"/>
            </w:pPr>
            <w:r>
              <w:rPr>
                <w:sz w:val="22"/>
              </w:rPr>
              <w:t>music vs no sound</w:t>
            </w:r>
          </w:p>
        </w:tc>
        <w:tc>
          <w:tcPr>
            <w:tcW w:w="188" w:type="pct"/>
            <w:tcBorders>
              <w:top w:val="nil"/>
              <w:left w:val="nil"/>
              <w:bottom w:val="nil"/>
              <w:right w:val="nil"/>
            </w:tcBorders>
            <w:vAlign w:val="center"/>
          </w:tcPr>
          <w:p>
            <w:pPr>
              <w:spacing w:line="240" w:lineRule="auto"/>
              <w:jc w:val="both"/>
            </w:pPr>
            <w:r>
              <w:rPr>
                <w:sz w:val="22"/>
              </w:rPr>
              <w:t>97</w:t>
            </w:r>
          </w:p>
        </w:tc>
        <w:tc>
          <w:tcPr>
            <w:tcW w:w="350" w:type="pct"/>
            <w:tcBorders>
              <w:top w:val="nil"/>
              <w:left w:val="nil"/>
              <w:bottom w:val="nil"/>
              <w:right w:val="nil"/>
            </w:tcBorders>
            <w:vAlign w:val="center"/>
          </w:tcPr>
          <w:p>
            <w:pPr>
              <w:spacing w:line="240" w:lineRule="auto"/>
              <w:jc w:val="both"/>
            </w:pPr>
            <w:r>
              <w:rPr>
                <w:sz w:val="22"/>
              </w:rPr>
              <w:t>Moderate</w:t>
            </w:r>
          </w:p>
        </w:tc>
        <w:tc>
          <w:tcPr>
            <w:tcW w:w="690" w:type="pct"/>
            <w:tcBorders>
              <w:top w:val="nil"/>
              <w:left w:val="nil"/>
              <w:bottom w:val="nil"/>
            </w:tcBorders>
            <w:vAlign w:val="center"/>
          </w:tcPr>
          <w:p>
            <w:pPr>
              <w:spacing w:line="240" w:lineRule="auto"/>
              <w:jc w:val="both"/>
            </w:pPr>
            <w:r>
              <w:rPr>
                <w:sz w:val="22"/>
              </w:rPr>
              <w:t>+0.61 [+0.21, +1.02]</w:t>
            </w:r>
          </w:p>
        </w:tc>
      </w:tr>
      <w:tr>
        <w:trPr>
          <w:trHeight w:val="334"/>
          <w:jc w:val="center"/>
        </w:trPr>
        <w:tc>
          <w:tcPr>
            <w:tcW w:w="1041" w:type="pct"/>
            <w:tcBorders>
              <w:top w:val="nil"/>
              <w:bottom w:val="single" w:sz="4" w:space="0" w:color="auto"/>
              <w:right w:val="nil"/>
            </w:tcBorders>
            <w:vAlign w:val="center"/>
          </w:tcPr>
          <w:p>
            <w:pPr>
              <w:spacing w:line="240" w:lineRule="auto"/>
              <w:jc w:val="both"/>
            </w:pPr>
            <w:r>
              <w:rPr>
                <w:sz w:val="22"/>
              </w:rPr>
              <w:t>Fu et al. (2026)</w:t>
            </w:r>
          </w:p>
        </w:tc>
        <w:tc>
          <w:tcPr>
            <w:tcW w:w="412" w:type="pct"/>
            <w:tcBorders>
              <w:top w:val="nil"/>
              <w:left w:val="nil"/>
              <w:bottom w:val="single" w:sz="4" w:space="0" w:color="auto"/>
              <w:right w:val="nil"/>
            </w:tcBorders>
            <w:vAlign w:val="center"/>
          </w:tcPr>
          <w:p>
            <w:pPr>
              <w:spacing w:line="240" w:lineRule="auto"/>
              <w:jc w:val="both"/>
            </w:pPr>
            <w:r>
              <w:rPr>
                <w:sz w:val="22"/>
              </w:rPr>
              <w:t>China</w:t>
            </w:r>
          </w:p>
        </w:tc>
        <w:tc>
          <w:tcPr>
            <w:tcW w:w="438" w:type="pct"/>
            <w:tcBorders>
              <w:top w:val="nil"/>
              <w:left w:val="nil"/>
              <w:bottom w:val="single" w:sz="4" w:space="0" w:color="auto"/>
              <w:right w:val="nil"/>
            </w:tcBorders>
            <w:vAlign w:val="center"/>
          </w:tcPr>
          <w:p>
            <w:pPr>
              <w:spacing w:line="240" w:lineRule="auto"/>
              <w:jc w:val="both"/>
            </w:pPr>
            <w:r>
              <w:rPr>
                <w:sz w:val="22"/>
              </w:rPr>
              <w:t>Mixed</w:t>
            </w:r>
          </w:p>
        </w:tc>
        <w:tc>
          <w:tcPr>
            <w:tcW w:w="622" w:type="pct"/>
            <w:tcBorders>
              <w:top w:val="nil"/>
              <w:left w:val="nil"/>
              <w:bottom w:val="single" w:sz="4" w:space="0" w:color="auto"/>
              <w:right w:val="nil"/>
            </w:tcBorders>
            <w:vAlign w:val="center"/>
          </w:tcPr>
          <w:p>
            <w:pPr>
              <w:spacing w:line="240" w:lineRule="auto"/>
              <w:jc w:val="both"/>
            </w:pPr>
            <w:r>
              <w:rPr>
                <w:sz w:val="22"/>
              </w:rPr>
              <w:t>Mixed</w:t>
            </w:r>
          </w:p>
        </w:tc>
        <w:tc>
          <w:tcPr>
            <w:tcW w:w="1258" w:type="pct"/>
            <w:tcBorders>
              <w:top w:val="nil"/>
              <w:left w:val="nil"/>
              <w:bottom w:val="single" w:sz="4" w:space="0" w:color="auto"/>
              <w:right w:val="nil"/>
            </w:tcBorders>
            <w:vAlign w:val="center"/>
          </w:tcPr>
          <w:p>
            <w:pPr>
              <w:spacing w:line="240" w:lineRule="auto"/>
              <w:jc w:val="both"/>
            </w:pPr>
            <w:r>
              <w:rPr>
                <w:sz w:val="22"/>
              </w:rPr>
              <w:t>natural sound index (high vs low)</w:t>
            </w:r>
          </w:p>
        </w:tc>
        <w:tc>
          <w:tcPr>
            <w:tcW w:w="188" w:type="pct"/>
            <w:tcBorders>
              <w:top w:val="nil"/>
              <w:left w:val="nil"/>
              <w:bottom w:val="single" w:sz="4" w:space="0" w:color="auto"/>
              <w:right w:val="nil"/>
            </w:tcBorders>
            <w:vAlign w:val="center"/>
          </w:tcPr>
          <w:p>
            <w:pPr>
              <w:spacing w:line="240" w:lineRule="auto"/>
              <w:jc w:val="both"/>
            </w:pPr>
            <w:r>
              <w:rPr>
                <w:sz w:val="22"/>
              </w:rPr>
              <w:t>241</w:t>
            </w:r>
          </w:p>
        </w:tc>
        <w:tc>
          <w:tcPr>
            <w:tcW w:w="350" w:type="pct"/>
            <w:tcBorders>
              <w:top w:val="nil"/>
              <w:left w:val="nil"/>
              <w:bottom w:val="single" w:sz="4" w:space="0" w:color="auto"/>
              <w:right w:val="nil"/>
            </w:tcBorders>
            <w:vAlign w:val="center"/>
          </w:tcPr>
          <w:p>
            <w:pPr>
              <w:spacing w:line="240" w:lineRule="auto"/>
              <w:jc w:val="both"/>
            </w:pPr>
            <w:r>
              <w:rPr>
                <w:sz w:val="22"/>
              </w:rPr>
              <w:t>Moderate</w:t>
            </w:r>
          </w:p>
        </w:tc>
        <w:tc>
          <w:tcPr>
            <w:tcW w:w="690" w:type="pct"/>
            <w:tcBorders>
              <w:top w:val="nil"/>
              <w:left w:val="nil"/>
              <w:bottom w:val="single" w:sz="4" w:space="0" w:color="auto"/>
            </w:tcBorders>
            <w:vAlign w:val="center"/>
          </w:tcPr>
          <w:p>
            <w:pPr>
              <w:spacing w:line="240" w:lineRule="auto"/>
              <w:jc w:val="both"/>
            </w:pPr>
            <w:r>
              <w:rPr>
                <w:sz w:val="22"/>
              </w:rPr>
              <w:t>+0.21 [+0.07, +0.36]</w:t>
            </w:r>
          </w:p>
        </w:tc>
      </w:tr>
      <w:tr>
        <w:trPr>
          <w:trHeight w:val="334"/>
          <w:jc w:val="center"/>
        </w:trPr>
        <w:tc>
          <w:tcPr>
            <w:tcW w:w="5000" w:type="pct"/>
            <w:gridSpan w:val="8"/>
            <w:tcBorders>
              <w:top w:val="single" w:sz="4" w:space="0" w:color="auto"/>
              <w:bottom w:val="single" w:sz="4" w:space="0" w:color="auto"/>
            </w:tcBorders>
            <w:vAlign w:val="center"/>
          </w:tcPr>
          <w:p>
            <w:pPr>
              <w:spacing w:line="240" w:lineRule="auto"/>
              <w:jc w:val="both"/>
            </w:pPr>
            <w:r>
              <w:rPr>
                <w:b/>
                <w:sz w:val="22"/>
              </w:rPr>
              <w:t>Social interaction (Hedges' g; positive = more interaction)</w:t>
            </w:r>
          </w:p>
        </w:tc>
      </w:tr>
      <w:tr>
        <w:trPr>
          <w:trHeight w:val="334"/>
          <w:jc w:val="center"/>
        </w:trPr>
        <w:tc>
          <w:tcPr>
            <w:tcW w:w="1041" w:type="pct"/>
            <w:tcBorders>
              <w:top w:val="single" w:sz="4" w:space="0" w:color="auto"/>
              <w:bottom w:val="nil"/>
              <w:right w:val="nil"/>
            </w:tcBorders>
            <w:vAlign w:val="center"/>
          </w:tcPr>
          <w:p>
            <w:pPr>
              <w:spacing w:line="240" w:lineRule="auto"/>
              <w:jc w:val="both"/>
            </w:pPr>
            <w:r>
              <w:rPr>
                <w:sz w:val="22"/>
              </w:rPr>
              <w:t>Chen &amp; Kang (2023)</w:t>
            </w:r>
          </w:p>
        </w:tc>
        <w:tc>
          <w:tcPr>
            <w:tcW w:w="412" w:type="pct"/>
            <w:tcBorders>
              <w:top w:val="single" w:sz="4" w:space="0" w:color="auto"/>
              <w:left w:val="nil"/>
              <w:bottom w:val="nil"/>
              <w:right w:val="nil"/>
            </w:tcBorders>
            <w:vAlign w:val="center"/>
          </w:tcPr>
          <w:p>
            <w:pPr>
              <w:spacing w:line="240" w:lineRule="auto"/>
              <w:jc w:val="both"/>
            </w:pPr>
            <w:r>
              <w:rPr>
                <w:sz w:val="22"/>
              </w:rPr>
              <w:t>China</w:t>
            </w:r>
          </w:p>
        </w:tc>
        <w:tc>
          <w:tcPr>
            <w:tcW w:w="438" w:type="pct"/>
            <w:tcBorders>
              <w:top w:val="single" w:sz="4" w:space="0" w:color="auto"/>
              <w:left w:val="nil"/>
              <w:bottom w:val="nil"/>
              <w:right w:val="nil"/>
            </w:tcBorders>
            <w:vAlign w:val="center"/>
          </w:tcPr>
          <w:p>
            <w:pPr>
              <w:spacing w:line="240" w:lineRule="auto"/>
              <w:jc w:val="both"/>
            </w:pPr>
            <w:r>
              <w:rPr>
                <w:sz w:val="22"/>
              </w:rPr>
              <w:t>Park</w:t>
            </w:r>
          </w:p>
        </w:tc>
        <w:tc>
          <w:tcPr>
            <w:tcW w:w="622" w:type="pct"/>
            <w:tcBorders>
              <w:top w:val="single" w:sz="4" w:space="0" w:color="auto"/>
              <w:left w:val="nil"/>
              <w:bottom w:val="nil"/>
              <w:right w:val="nil"/>
            </w:tcBorders>
            <w:vAlign w:val="center"/>
          </w:tcPr>
          <w:p>
            <w:pPr>
              <w:spacing w:line="240" w:lineRule="auto"/>
              <w:jc w:val="both"/>
            </w:pPr>
            <w:r>
              <w:rPr>
                <w:sz w:val="22"/>
              </w:rPr>
              <w:t>Field experiment</w:t>
            </w:r>
          </w:p>
        </w:tc>
        <w:tc>
          <w:tcPr>
            <w:tcW w:w="1258" w:type="pct"/>
            <w:tcBorders>
              <w:top w:val="single" w:sz="4" w:space="0" w:color="auto"/>
              <w:left w:val="nil"/>
              <w:bottom w:val="nil"/>
              <w:right w:val="nil"/>
            </w:tcBorders>
            <w:vAlign w:val="center"/>
          </w:tcPr>
          <w:p>
            <w:pPr>
              <w:spacing w:line="240" w:lineRule="auto"/>
              <w:jc w:val="both"/>
            </w:pPr>
            <w:r>
              <w:rPr>
                <w:sz w:val="22"/>
              </w:rPr>
              <w:t>natural vs noise (group interaction)</w:t>
            </w:r>
          </w:p>
        </w:tc>
        <w:tc>
          <w:tcPr>
            <w:tcW w:w="188" w:type="pct"/>
            <w:tcBorders>
              <w:top w:val="single" w:sz="4" w:space="0" w:color="auto"/>
              <w:left w:val="nil"/>
              <w:bottom w:val="nil"/>
              <w:right w:val="nil"/>
            </w:tcBorders>
            <w:vAlign w:val="center"/>
          </w:tcPr>
          <w:p>
            <w:pPr>
              <w:spacing w:line="240" w:lineRule="auto"/>
              <w:jc w:val="both"/>
            </w:pPr>
            <w:r>
              <w:rPr>
                <w:sz w:val="22"/>
              </w:rPr>
              <w:t>73</w:t>
            </w:r>
          </w:p>
        </w:tc>
        <w:tc>
          <w:tcPr>
            <w:tcW w:w="350" w:type="pct"/>
            <w:tcBorders>
              <w:top w:val="single" w:sz="4" w:space="0" w:color="auto"/>
              <w:left w:val="nil"/>
              <w:bottom w:val="nil"/>
              <w:right w:val="nil"/>
            </w:tcBorders>
            <w:vAlign w:val="center"/>
          </w:tcPr>
          <w:p>
            <w:pPr>
              <w:spacing w:line="240" w:lineRule="auto"/>
              <w:jc w:val="both"/>
            </w:pPr>
            <w:r>
              <w:rPr>
                <w:sz w:val="22"/>
              </w:rPr>
              <w:t>Moderate</w:t>
            </w:r>
          </w:p>
        </w:tc>
        <w:tc>
          <w:tcPr>
            <w:tcW w:w="690" w:type="pct"/>
            <w:tcBorders>
              <w:top w:val="single" w:sz="4" w:space="0" w:color="auto"/>
              <w:left w:val="nil"/>
              <w:bottom w:val="nil"/>
            </w:tcBorders>
            <w:vAlign w:val="center"/>
          </w:tcPr>
          <w:p>
            <w:pPr>
              <w:spacing w:line="240" w:lineRule="auto"/>
              <w:jc w:val="both"/>
            </w:pPr>
            <w:r>
              <w:rPr>
                <w:sz w:val="22"/>
              </w:rPr>
              <w:t>+0.98 [+0.49, +1.46]</w:t>
            </w:r>
          </w:p>
        </w:tc>
      </w:tr>
      <w:tr>
        <w:trPr>
          <w:trHeight w:val="334"/>
          <w:jc w:val="center"/>
        </w:trPr>
        <w:tc>
          <w:tcPr>
            <w:tcW w:w="1041" w:type="pct"/>
            <w:tcBorders>
              <w:top w:val="nil"/>
              <w:bottom w:val="nil"/>
              <w:right w:val="nil"/>
            </w:tcBorders>
            <w:vAlign w:val="center"/>
          </w:tcPr>
          <w:p>
            <w:pPr>
              <w:spacing w:line="240" w:lineRule="auto"/>
              <w:jc w:val="both"/>
            </w:pPr>
            <w:r>
              <w:rPr>
                <w:sz w:val="22"/>
              </w:rPr>
              <w:t>Chen et al. (2024)</w:t>
            </w:r>
          </w:p>
        </w:tc>
        <w:tc>
          <w:tcPr>
            <w:tcW w:w="412" w:type="pct"/>
            <w:tcBorders>
              <w:top w:val="nil"/>
              <w:left w:val="nil"/>
              <w:bottom w:val="nil"/>
              <w:right w:val="nil"/>
            </w:tcBorders>
            <w:vAlign w:val="center"/>
          </w:tcPr>
          <w:p>
            <w:pPr>
              <w:spacing w:line="240" w:lineRule="auto"/>
              <w:jc w:val="both"/>
            </w:pPr>
            <w:r>
              <w:rPr>
                <w:sz w:val="22"/>
              </w:rPr>
              <w:t>China</w:t>
            </w:r>
          </w:p>
        </w:tc>
        <w:tc>
          <w:tcPr>
            <w:tcW w:w="438" w:type="pct"/>
            <w:tcBorders>
              <w:top w:val="nil"/>
              <w:left w:val="nil"/>
              <w:bottom w:val="nil"/>
              <w:right w:val="nil"/>
            </w:tcBorders>
            <w:vAlign w:val="center"/>
          </w:tcPr>
          <w:p>
            <w:pPr>
              <w:spacing w:line="240" w:lineRule="auto"/>
              <w:jc w:val="both"/>
            </w:pPr>
            <w:r>
              <w:rPr>
                <w:sz w:val="22"/>
              </w:rPr>
              <w:t>Residential</w:t>
            </w:r>
          </w:p>
        </w:tc>
        <w:tc>
          <w:tcPr>
            <w:tcW w:w="622" w:type="pct"/>
            <w:tcBorders>
              <w:top w:val="nil"/>
              <w:left w:val="nil"/>
              <w:bottom w:val="nil"/>
              <w:right w:val="nil"/>
            </w:tcBorders>
            <w:vAlign w:val="center"/>
          </w:tcPr>
          <w:p>
            <w:pPr>
              <w:spacing w:line="240" w:lineRule="auto"/>
              <w:jc w:val="both"/>
            </w:pPr>
            <w:r>
              <w:rPr>
                <w:sz w:val="22"/>
              </w:rPr>
              <w:t>Field experiment</w:t>
            </w:r>
          </w:p>
        </w:tc>
        <w:tc>
          <w:tcPr>
            <w:tcW w:w="1258" w:type="pct"/>
            <w:tcBorders>
              <w:top w:val="nil"/>
              <w:left w:val="nil"/>
              <w:bottom w:val="nil"/>
              <w:right w:val="nil"/>
            </w:tcBorders>
            <w:vAlign w:val="center"/>
          </w:tcPr>
          <w:p>
            <w:pPr>
              <w:spacing w:line="240" w:lineRule="auto"/>
              <w:jc w:val="both"/>
            </w:pPr>
            <w:r>
              <w:rPr>
                <w:sz w:val="22"/>
              </w:rPr>
              <w:t>natural vs noise (paired interaction)</w:t>
            </w:r>
          </w:p>
        </w:tc>
        <w:tc>
          <w:tcPr>
            <w:tcW w:w="188" w:type="pct"/>
            <w:tcBorders>
              <w:top w:val="nil"/>
              <w:left w:val="nil"/>
              <w:bottom w:val="nil"/>
              <w:right w:val="nil"/>
            </w:tcBorders>
            <w:vAlign w:val="center"/>
          </w:tcPr>
          <w:p>
            <w:pPr>
              <w:spacing w:line="240" w:lineRule="auto"/>
              <w:jc w:val="both"/>
            </w:pPr>
            <w:r>
              <w:rPr>
                <w:sz w:val="22"/>
              </w:rPr>
              <w:t>146</w:t>
            </w:r>
          </w:p>
        </w:tc>
        <w:tc>
          <w:tcPr>
            <w:tcW w:w="350" w:type="pct"/>
            <w:tcBorders>
              <w:top w:val="nil"/>
              <w:left w:val="nil"/>
              <w:bottom w:val="nil"/>
              <w:right w:val="nil"/>
            </w:tcBorders>
            <w:vAlign w:val="center"/>
          </w:tcPr>
          <w:p>
            <w:pPr>
              <w:spacing w:line="240" w:lineRule="auto"/>
              <w:jc w:val="both"/>
            </w:pPr>
            <w:r>
              <w:rPr>
                <w:sz w:val="22"/>
              </w:rPr>
              <w:t>High</w:t>
            </w:r>
          </w:p>
        </w:tc>
        <w:tc>
          <w:tcPr>
            <w:tcW w:w="690" w:type="pct"/>
            <w:tcBorders>
              <w:top w:val="nil"/>
              <w:left w:val="nil"/>
              <w:bottom w:val="nil"/>
            </w:tcBorders>
            <w:vAlign w:val="center"/>
          </w:tcPr>
          <w:p>
            <w:pPr>
              <w:spacing w:line="240" w:lineRule="auto"/>
              <w:jc w:val="both"/>
            </w:pPr>
            <w:r>
              <w:rPr>
                <w:sz w:val="22"/>
              </w:rPr>
              <w:t>+0.55 [+0.22, +0.88]</w:t>
            </w:r>
          </w:p>
        </w:tc>
      </w:tr>
      <w:tr>
        <w:trPr>
          <w:trHeight w:val="334"/>
          <w:jc w:val="center"/>
        </w:trPr>
        <w:tc>
          <w:tcPr>
            <w:tcW w:w="1041" w:type="pct"/>
            <w:tcBorders>
              <w:top w:val="nil"/>
              <w:bottom w:val="nil"/>
              <w:right w:val="nil"/>
            </w:tcBorders>
            <w:vAlign w:val="center"/>
          </w:tcPr>
          <w:p>
            <w:pPr>
              <w:spacing w:line="240" w:lineRule="auto"/>
              <w:jc w:val="both"/>
            </w:pPr>
            <w:r>
              <w:rPr>
                <w:sz w:val="22"/>
              </w:rPr>
              <w:t>Moser (1988)</w:t>
            </w:r>
          </w:p>
        </w:tc>
        <w:tc>
          <w:tcPr>
            <w:tcW w:w="412" w:type="pct"/>
            <w:tcBorders>
              <w:top w:val="nil"/>
              <w:left w:val="nil"/>
              <w:bottom w:val="nil"/>
              <w:right w:val="nil"/>
            </w:tcBorders>
            <w:vAlign w:val="center"/>
          </w:tcPr>
          <w:p>
            <w:pPr>
              <w:spacing w:line="240" w:lineRule="auto"/>
              <w:jc w:val="both"/>
            </w:pPr>
            <w:r>
              <w:rPr>
                <w:sz w:val="22"/>
              </w:rPr>
              <w:t>France</w:t>
            </w:r>
          </w:p>
        </w:tc>
        <w:tc>
          <w:tcPr>
            <w:tcW w:w="438" w:type="pct"/>
            <w:tcBorders>
              <w:top w:val="nil"/>
              <w:left w:val="nil"/>
              <w:bottom w:val="nil"/>
              <w:right w:val="nil"/>
            </w:tcBorders>
            <w:vAlign w:val="center"/>
          </w:tcPr>
          <w:p>
            <w:pPr>
              <w:spacing w:line="240" w:lineRule="auto"/>
              <w:jc w:val="both"/>
            </w:pPr>
            <w:r>
              <w:rPr>
                <w:sz w:val="22"/>
              </w:rPr>
              <w:t>Street</w:t>
            </w:r>
          </w:p>
        </w:tc>
        <w:tc>
          <w:tcPr>
            <w:tcW w:w="622" w:type="pct"/>
            <w:tcBorders>
              <w:top w:val="nil"/>
              <w:left w:val="nil"/>
              <w:bottom w:val="nil"/>
              <w:right w:val="nil"/>
            </w:tcBorders>
            <w:vAlign w:val="center"/>
          </w:tcPr>
          <w:p>
            <w:pPr>
              <w:spacing w:line="240" w:lineRule="auto"/>
              <w:jc w:val="both"/>
            </w:pPr>
            <w:r>
              <w:rPr>
                <w:sz w:val="22"/>
              </w:rPr>
              <w:t>Field experiment</w:t>
            </w:r>
          </w:p>
        </w:tc>
        <w:tc>
          <w:tcPr>
            <w:tcW w:w="1258" w:type="pct"/>
            <w:tcBorders>
              <w:top w:val="nil"/>
              <w:left w:val="nil"/>
              <w:bottom w:val="nil"/>
              <w:right w:val="nil"/>
            </w:tcBorders>
            <w:vAlign w:val="center"/>
          </w:tcPr>
          <w:p>
            <w:pPr>
              <w:spacing w:line="240" w:lineRule="auto"/>
              <w:jc w:val="both"/>
            </w:pPr>
            <w:r>
              <w:rPr>
                <w:sz w:val="22"/>
              </w:rPr>
              <w:t>quiet vs roadworks noise (helping)</w:t>
            </w:r>
          </w:p>
        </w:tc>
        <w:tc>
          <w:tcPr>
            <w:tcW w:w="188" w:type="pct"/>
            <w:tcBorders>
              <w:top w:val="nil"/>
              <w:left w:val="nil"/>
              <w:bottom w:val="nil"/>
              <w:right w:val="nil"/>
            </w:tcBorders>
            <w:vAlign w:val="center"/>
          </w:tcPr>
          <w:p>
            <w:pPr>
              <w:spacing w:line="240" w:lineRule="auto"/>
              <w:jc w:val="both"/>
            </w:pPr>
            <w:r>
              <w:rPr>
                <w:sz w:val="22"/>
              </w:rPr>
              <w:t>150</w:t>
            </w:r>
          </w:p>
        </w:tc>
        <w:tc>
          <w:tcPr>
            <w:tcW w:w="350" w:type="pct"/>
            <w:tcBorders>
              <w:top w:val="nil"/>
              <w:left w:val="nil"/>
              <w:bottom w:val="nil"/>
              <w:right w:val="nil"/>
            </w:tcBorders>
            <w:vAlign w:val="center"/>
          </w:tcPr>
          <w:p>
            <w:pPr>
              <w:spacing w:line="240" w:lineRule="auto"/>
              <w:jc w:val="both"/>
            </w:pPr>
            <w:r>
              <w:rPr>
                <w:sz w:val="22"/>
              </w:rPr>
              <w:t>High</w:t>
            </w:r>
          </w:p>
        </w:tc>
        <w:tc>
          <w:tcPr>
            <w:tcW w:w="690" w:type="pct"/>
            <w:tcBorders>
              <w:top w:val="nil"/>
              <w:left w:val="nil"/>
              <w:bottom w:val="nil"/>
            </w:tcBorders>
            <w:vAlign w:val="center"/>
          </w:tcPr>
          <w:p>
            <w:pPr>
              <w:spacing w:line="240" w:lineRule="auto"/>
              <w:jc w:val="both"/>
            </w:pPr>
            <w:r>
              <w:rPr>
                <w:sz w:val="22"/>
              </w:rPr>
              <w:t>+0.43 [+0.13, +0.73]</w:t>
            </w:r>
          </w:p>
        </w:tc>
      </w:tr>
      <w:tr>
        <w:trPr>
          <w:trHeight w:val="334"/>
          <w:jc w:val="center"/>
        </w:trPr>
        <w:tc>
          <w:tcPr>
            <w:tcW w:w="1041" w:type="pct"/>
            <w:tcBorders>
              <w:top w:val="nil"/>
              <w:bottom w:val="single" w:sz="4" w:space="0" w:color="auto"/>
              <w:right w:val="nil"/>
            </w:tcBorders>
            <w:vAlign w:val="center"/>
          </w:tcPr>
          <w:p>
            <w:pPr>
              <w:spacing w:line="240" w:lineRule="auto"/>
              <w:jc w:val="both"/>
            </w:pPr>
            <w:r>
              <w:rPr>
                <w:sz w:val="22"/>
              </w:rPr>
              <w:t>Mathews &amp; Canon (1975) ▲</w:t>
            </w:r>
          </w:p>
        </w:tc>
        <w:tc>
          <w:tcPr>
            <w:tcW w:w="412" w:type="pct"/>
            <w:tcBorders>
              <w:top w:val="nil"/>
              <w:left w:val="nil"/>
              <w:bottom w:val="single" w:sz="4" w:space="0" w:color="auto"/>
              <w:right w:val="nil"/>
            </w:tcBorders>
            <w:vAlign w:val="center"/>
          </w:tcPr>
          <w:p>
            <w:pPr>
              <w:spacing w:line="240" w:lineRule="auto"/>
              <w:jc w:val="both"/>
            </w:pPr>
            <w:r>
              <w:rPr>
                <w:sz w:val="22"/>
              </w:rPr>
              <w:t>NR</w:t>
            </w:r>
          </w:p>
        </w:tc>
        <w:tc>
          <w:tcPr>
            <w:tcW w:w="438" w:type="pct"/>
            <w:tcBorders>
              <w:top w:val="nil"/>
              <w:left w:val="nil"/>
              <w:bottom w:val="single" w:sz="4" w:space="0" w:color="auto"/>
              <w:right w:val="nil"/>
            </w:tcBorders>
            <w:vAlign w:val="center"/>
          </w:tcPr>
          <w:p>
            <w:pPr>
              <w:spacing w:line="240" w:lineRule="auto"/>
              <w:jc w:val="both"/>
            </w:pPr>
            <w:r>
              <w:rPr>
                <w:sz w:val="22"/>
              </w:rPr>
              <w:t>Street</w:t>
            </w:r>
          </w:p>
        </w:tc>
        <w:tc>
          <w:tcPr>
            <w:tcW w:w="622" w:type="pct"/>
            <w:tcBorders>
              <w:top w:val="nil"/>
              <w:left w:val="nil"/>
              <w:bottom w:val="single" w:sz="4" w:space="0" w:color="auto"/>
              <w:right w:val="nil"/>
            </w:tcBorders>
            <w:vAlign w:val="center"/>
          </w:tcPr>
          <w:p>
            <w:pPr>
              <w:spacing w:line="240" w:lineRule="auto"/>
              <w:jc w:val="both"/>
            </w:pPr>
            <w:r>
              <w:rPr>
                <w:sz w:val="22"/>
              </w:rPr>
              <w:t>Field experiment</w:t>
            </w:r>
          </w:p>
        </w:tc>
        <w:tc>
          <w:tcPr>
            <w:tcW w:w="1258" w:type="pct"/>
            <w:tcBorders>
              <w:top w:val="nil"/>
              <w:left w:val="nil"/>
              <w:bottom w:val="single" w:sz="4" w:space="0" w:color="auto"/>
              <w:right w:val="nil"/>
            </w:tcBorders>
            <w:vAlign w:val="center"/>
          </w:tcPr>
          <w:p>
            <w:pPr>
              <w:spacing w:line="240" w:lineRule="auto"/>
              <w:jc w:val="both"/>
            </w:pPr>
            <w:r>
              <w:rPr>
                <w:sz w:val="22"/>
              </w:rPr>
              <w:t>quiet vs lawnmower noise (helping)</w:t>
            </w:r>
          </w:p>
        </w:tc>
        <w:tc>
          <w:tcPr>
            <w:tcW w:w="188" w:type="pct"/>
            <w:tcBorders>
              <w:top w:val="nil"/>
              <w:left w:val="nil"/>
              <w:bottom w:val="single" w:sz="4" w:space="0" w:color="auto"/>
              <w:right w:val="nil"/>
            </w:tcBorders>
            <w:vAlign w:val="center"/>
          </w:tcPr>
          <w:p>
            <w:pPr>
              <w:spacing w:line="240" w:lineRule="auto"/>
              <w:jc w:val="both"/>
            </w:pPr>
            <w:r>
              <w:rPr>
                <w:sz w:val="22"/>
              </w:rPr>
              <w:t>80</w:t>
            </w:r>
          </w:p>
        </w:tc>
        <w:tc>
          <w:tcPr>
            <w:tcW w:w="350" w:type="pct"/>
            <w:tcBorders>
              <w:top w:val="nil"/>
              <w:left w:val="nil"/>
              <w:bottom w:val="single" w:sz="4" w:space="0" w:color="auto"/>
              <w:right w:val="nil"/>
            </w:tcBorders>
            <w:vAlign w:val="center"/>
          </w:tcPr>
          <w:p>
            <w:pPr>
              <w:spacing w:line="240" w:lineRule="auto"/>
              <w:jc w:val="both"/>
            </w:pPr>
            <w:r>
              <w:rPr>
                <w:sz w:val="22"/>
              </w:rPr>
              <w:t>Moderate</w:t>
            </w:r>
          </w:p>
        </w:tc>
        <w:tc>
          <w:tcPr>
            <w:tcW w:w="690" w:type="pct"/>
            <w:tcBorders>
              <w:top w:val="nil"/>
              <w:left w:val="nil"/>
              <w:bottom w:val="single" w:sz="4" w:space="0" w:color="auto"/>
            </w:tcBorders>
            <w:vAlign w:val="center"/>
          </w:tcPr>
          <w:p>
            <w:pPr>
              <w:spacing w:line="240" w:lineRule="auto"/>
              <w:jc w:val="both"/>
            </w:pPr>
            <w:r>
              <w:rPr>
                <w:sz w:val="22"/>
              </w:rPr>
              <w:t>+1.07 [+0.45, +1.69]</w:t>
            </w:r>
          </w:p>
        </w:tc>
      </w:tr>
      <w:tr>
        <w:trPr>
          <w:trHeight w:val="334"/>
          <w:jc w:val="center"/>
        </w:trPr>
        <w:tc>
          <w:tcPr>
            <w:tcW w:w="5000" w:type="pct"/>
            <w:gridSpan w:val="8"/>
            <w:tcBorders>
              <w:top w:val="single" w:sz="4" w:space="0" w:color="auto"/>
              <w:bottom w:val="single" w:sz="4" w:space="0" w:color="auto"/>
            </w:tcBorders>
            <w:vAlign w:val="center"/>
          </w:tcPr>
          <w:p>
            <w:pPr>
              <w:spacing w:line="240" w:lineRule="auto"/>
              <w:jc w:val="both"/>
            </w:pPr>
            <w:r>
              <w:rPr>
                <w:b/>
                <w:sz w:val="22"/>
              </w:rPr>
              <w:t>Sound–behaviour correlation (r; acoustic or perceptual measure, either direction)</w:t>
            </w:r>
          </w:p>
        </w:tc>
      </w:tr>
      <w:tr>
        <w:trPr>
          <w:trHeight w:val="334"/>
          <w:jc w:val="center"/>
        </w:trPr>
        <w:tc>
          <w:tcPr>
            <w:tcW w:w="1041" w:type="pct"/>
            <w:tcBorders>
              <w:top w:val="single" w:sz="4" w:space="0" w:color="auto"/>
              <w:bottom w:val="nil"/>
              <w:right w:val="nil"/>
            </w:tcBorders>
            <w:vAlign w:val="center"/>
          </w:tcPr>
          <w:p>
            <w:pPr>
              <w:spacing w:line="240" w:lineRule="auto"/>
              <w:jc w:val="both"/>
            </w:pPr>
            <w:r>
              <w:rPr>
                <w:sz w:val="22"/>
              </w:rPr>
              <w:t>Guo et al. (2024)</w:t>
            </w:r>
          </w:p>
        </w:tc>
        <w:tc>
          <w:tcPr>
            <w:tcW w:w="412" w:type="pct"/>
            <w:tcBorders>
              <w:top w:val="single" w:sz="4" w:space="0" w:color="auto"/>
              <w:left w:val="nil"/>
              <w:bottom w:val="nil"/>
              <w:right w:val="nil"/>
            </w:tcBorders>
            <w:vAlign w:val="center"/>
          </w:tcPr>
          <w:p>
            <w:pPr>
              <w:spacing w:line="240" w:lineRule="auto"/>
              <w:jc w:val="both"/>
            </w:pPr>
            <w:r>
              <w:rPr>
                <w:sz w:val="22"/>
              </w:rPr>
              <w:t>China</w:t>
            </w:r>
          </w:p>
        </w:tc>
        <w:tc>
          <w:tcPr>
            <w:tcW w:w="438" w:type="pct"/>
            <w:tcBorders>
              <w:top w:val="single" w:sz="4" w:space="0" w:color="auto"/>
              <w:left w:val="nil"/>
              <w:bottom w:val="nil"/>
              <w:right w:val="nil"/>
            </w:tcBorders>
            <w:vAlign w:val="center"/>
          </w:tcPr>
          <w:p>
            <w:pPr>
              <w:spacing w:line="240" w:lineRule="auto"/>
              <w:jc w:val="both"/>
            </w:pPr>
            <w:r>
              <w:rPr>
                <w:sz w:val="22"/>
              </w:rPr>
              <w:t>Park</w:t>
            </w:r>
          </w:p>
        </w:tc>
        <w:tc>
          <w:tcPr>
            <w:tcW w:w="622" w:type="pct"/>
            <w:tcBorders>
              <w:top w:val="single" w:sz="4" w:space="0" w:color="auto"/>
              <w:left w:val="nil"/>
              <w:bottom w:val="nil"/>
              <w:right w:val="nil"/>
            </w:tcBorders>
            <w:vAlign w:val="center"/>
          </w:tcPr>
          <w:p>
            <w:pPr>
              <w:spacing w:line="240" w:lineRule="auto"/>
              <w:jc w:val="both"/>
            </w:pPr>
            <w:r>
              <w:rPr>
                <w:sz w:val="22"/>
              </w:rPr>
              <w:t>Survey</w:t>
            </w:r>
          </w:p>
        </w:tc>
        <w:tc>
          <w:tcPr>
            <w:tcW w:w="1258" w:type="pct"/>
            <w:tcBorders>
              <w:top w:val="single" w:sz="4" w:space="0" w:color="auto"/>
              <w:left w:val="nil"/>
              <w:bottom w:val="nil"/>
              <w:right w:val="nil"/>
            </w:tcBorders>
            <w:vAlign w:val="center"/>
          </w:tcPr>
          <w:p>
            <w:pPr>
              <w:spacing w:line="240" w:lineRule="auto"/>
              <w:jc w:val="both"/>
            </w:pPr>
            <w:r>
              <w:rPr>
                <w:sz w:val="22"/>
              </w:rPr>
              <w:t>pleasantness with static behaviour</w:t>
            </w:r>
          </w:p>
        </w:tc>
        <w:tc>
          <w:tcPr>
            <w:tcW w:w="188" w:type="pct"/>
            <w:tcBorders>
              <w:top w:val="single" w:sz="4" w:space="0" w:color="auto"/>
              <w:left w:val="nil"/>
              <w:bottom w:val="nil"/>
              <w:right w:val="nil"/>
            </w:tcBorders>
            <w:vAlign w:val="center"/>
          </w:tcPr>
          <w:p>
            <w:pPr>
              <w:spacing w:line="240" w:lineRule="auto"/>
              <w:jc w:val="both"/>
            </w:pPr>
            <w:r>
              <w:rPr>
                <w:sz w:val="22"/>
              </w:rPr>
              <w:t>419</w:t>
            </w:r>
          </w:p>
        </w:tc>
        <w:tc>
          <w:tcPr>
            <w:tcW w:w="350" w:type="pct"/>
            <w:tcBorders>
              <w:top w:val="single" w:sz="4" w:space="0" w:color="auto"/>
              <w:left w:val="nil"/>
              <w:bottom w:val="nil"/>
              <w:right w:val="nil"/>
            </w:tcBorders>
            <w:vAlign w:val="center"/>
          </w:tcPr>
          <w:p>
            <w:pPr>
              <w:spacing w:line="240" w:lineRule="auto"/>
              <w:jc w:val="both"/>
            </w:pPr>
            <w:r>
              <w:rPr>
                <w:sz w:val="22"/>
              </w:rPr>
              <w:t>Moderate</w:t>
            </w:r>
          </w:p>
        </w:tc>
        <w:tc>
          <w:tcPr>
            <w:tcW w:w="690" w:type="pct"/>
            <w:tcBorders>
              <w:top w:val="single" w:sz="4" w:space="0" w:color="auto"/>
              <w:left w:val="nil"/>
              <w:bottom w:val="nil"/>
            </w:tcBorders>
            <w:vAlign w:val="center"/>
          </w:tcPr>
          <w:p>
            <w:pPr>
              <w:spacing w:line="240" w:lineRule="auto"/>
              <w:jc w:val="both"/>
            </w:pPr>
            <w:r>
              <w:rPr>
                <w:sz w:val="22"/>
              </w:rPr>
              <w:t>+0.56 [+0.49, +0.63]</w:t>
            </w:r>
          </w:p>
        </w:tc>
      </w:tr>
      <w:tr>
        <w:trPr>
          <w:trHeight w:val="334"/>
          <w:jc w:val="center"/>
        </w:trPr>
        <w:tc>
          <w:tcPr>
            <w:tcW w:w="1041" w:type="pct"/>
            <w:tcBorders>
              <w:top w:val="nil"/>
              <w:bottom w:val="nil"/>
              <w:right w:val="nil"/>
            </w:tcBorders>
            <w:vAlign w:val="center"/>
          </w:tcPr>
          <w:p>
            <w:pPr>
              <w:spacing w:line="240" w:lineRule="auto"/>
              <w:jc w:val="both"/>
            </w:pPr>
            <w:r>
              <w:rPr>
                <w:sz w:val="22"/>
              </w:rPr>
              <w:t>Zhou et al. (2026)</w:t>
            </w:r>
          </w:p>
        </w:tc>
        <w:tc>
          <w:tcPr>
            <w:tcW w:w="412" w:type="pct"/>
            <w:tcBorders>
              <w:top w:val="nil"/>
              <w:left w:val="nil"/>
              <w:bottom w:val="nil"/>
              <w:right w:val="nil"/>
            </w:tcBorders>
            <w:vAlign w:val="center"/>
          </w:tcPr>
          <w:p>
            <w:pPr>
              <w:spacing w:line="240" w:lineRule="auto"/>
              <w:jc w:val="both"/>
            </w:pPr>
            <w:r>
              <w:rPr>
                <w:sz w:val="22"/>
              </w:rPr>
              <w:t>China</w:t>
            </w:r>
          </w:p>
        </w:tc>
        <w:tc>
          <w:tcPr>
            <w:tcW w:w="438" w:type="pct"/>
            <w:tcBorders>
              <w:top w:val="nil"/>
              <w:left w:val="nil"/>
              <w:bottom w:val="nil"/>
              <w:right w:val="nil"/>
            </w:tcBorders>
            <w:vAlign w:val="center"/>
          </w:tcPr>
          <w:p>
            <w:pPr>
              <w:spacing w:line="240" w:lineRule="auto"/>
              <w:jc w:val="both"/>
            </w:pPr>
            <w:r>
              <w:rPr>
                <w:sz w:val="22"/>
              </w:rPr>
              <w:t>Street</w:t>
            </w:r>
          </w:p>
        </w:tc>
        <w:tc>
          <w:tcPr>
            <w:tcW w:w="622" w:type="pct"/>
            <w:tcBorders>
              <w:top w:val="nil"/>
              <w:left w:val="nil"/>
              <w:bottom w:val="nil"/>
              <w:right w:val="nil"/>
            </w:tcBorders>
            <w:vAlign w:val="center"/>
          </w:tcPr>
          <w:p>
            <w:pPr>
              <w:spacing w:line="240" w:lineRule="auto"/>
              <w:jc w:val="both"/>
            </w:pPr>
            <w:r>
              <w:rPr>
                <w:sz w:val="22"/>
              </w:rPr>
              <w:t>Mixed</w:t>
            </w:r>
          </w:p>
        </w:tc>
        <w:tc>
          <w:tcPr>
            <w:tcW w:w="1258" w:type="pct"/>
            <w:tcBorders>
              <w:top w:val="nil"/>
              <w:left w:val="nil"/>
              <w:bottom w:val="nil"/>
              <w:right w:val="nil"/>
            </w:tcBorders>
            <w:vAlign w:val="center"/>
          </w:tcPr>
          <w:p>
            <w:pPr>
              <w:spacing w:line="240" w:lineRule="auto"/>
              <w:jc w:val="both"/>
            </w:pPr>
            <w:r>
              <w:rPr>
                <w:sz w:val="22"/>
              </w:rPr>
              <w:t>natural sound events with queuing</w:t>
            </w:r>
          </w:p>
        </w:tc>
        <w:tc>
          <w:tcPr>
            <w:tcW w:w="188" w:type="pct"/>
            <w:tcBorders>
              <w:top w:val="nil"/>
              <w:left w:val="nil"/>
              <w:bottom w:val="nil"/>
              <w:right w:val="nil"/>
            </w:tcBorders>
            <w:vAlign w:val="center"/>
          </w:tcPr>
          <w:p>
            <w:pPr>
              <w:spacing w:line="240" w:lineRule="auto"/>
              <w:jc w:val="both"/>
            </w:pPr>
            <w:r>
              <w:rPr>
                <w:sz w:val="22"/>
              </w:rPr>
              <w:t>315</w:t>
            </w:r>
          </w:p>
        </w:tc>
        <w:tc>
          <w:tcPr>
            <w:tcW w:w="350" w:type="pct"/>
            <w:tcBorders>
              <w:top w:val="nil"/>
              <w:left w:val="nil"/>
              <w:bottom w:val="nil"/>
              <w:right w:val="nil"/>
            </w:tcBorders>
            <w:vAlign w:val="center"/>
          </w:tcPr>
          <w:p>
            <w:pPr>
              <w:spacing w:line="240" w:lineRule="auto"/>
              <w:jc w:val="both"/>
            </w:pPr>
            <w:r>
              <w:rPr>
                <w:sz w:val="22"/>
              </w:rPr>
              <w:t>Low</w:t>
            </w:r>
          </w:p>
        </w:tc>
        <w:tc>
          <w:tcPr>
            <w:tcW w:w="690" w:type="pct"/>
            <w:tcBorders>
              <w:top w:val="nil"/>
              <w:left w:val="nil"/>
              <w:bottom w:val="nil"/>
            </w:tcBorders>
            <w:vAlign w:val="center"/>
          </w:tcPr>
          <w:p>
            <w:pPr>
              <w:spacing w:line="240" w:lineRule="auto"/>
              <w:jc w:val="both"/>
            </w:pPr>
            <w:r>
              <w:rPr>
                <w:sz w:val="22"/>
              </w:rPr>
              <w:t>+0.21 [+0.10, +0.31]</w:t>
            </w:r>
          </w:p>
        </w:tc>
      </w:tr>
      <w:tr>
        <w:trPr>
          <w:trHeight w:val="334"/>
          <w:jc w:val="center"/>
        </w:trPr>
        <w:tc>
          <w:tcPr>
            <w:tcW w:w="1041" w:type="pct"/>
            <w:tcBorders>
              <w:top w:val="nil"/>
              <w:bottom w:val="nil"/>
              <w:right w:val="nil"/>
            </w:tcBorders>
            <w:vAlign w:val="center"/>
          </w:tcPr>
          <w:p>
            <w:pPr>
              <w:spacing w:line="240" w:lineRule="auto"/>
              <w:jc w:val="both"/>
            </w:pPr>
            <w:r>
              <w:rPr>
                <w:sz w:val="22"/>
              </w:rPr>
              <w:t>Mansouri et al. (2025)</w:t>
            </w:r>
          </w:p>
        </w:tc>
        <w:tc>
          <w:tcPr>
            <w:tcW w:w="412" w:type="pct"/>
            <w:tcBorders>
              <w:top w:val="nil"/>
              <w:left w:val="nil"/>
              <w:bottom w:val="nil"/>
              <w:right w:val="nil"/>
            </w:tcBorders>
            <w:vAlign w:val="center"/>
          </w:tcPr>
          <w:p>
            <w:pPr>
              <w:spacing w:line="240" w:lineRule="auto"/>
              <w:jc w:val="both"/>
            </w:pPr>
            <w:r>
              <w:rPr>
                <w:sz w:val="22"/>
              </w:rPr>
              <w:t>Algeria</w:t>
            </w:r>
          </w:p>
        </w:tc>
        <w:tc>
          <w:tcPr>
            <w:tcW w:w="438" w:type="pct"/>
            <w:tcBorders>
              <w:top w:val="nil"/>
              <w:left w:val="nil"/>
              <w:bottom w:val="nil"/>
              <w:right w:val="nil"/>
            </w:tcBorders>
            <w:vAlign w:val="center"/>
          </w:tcPr>
          <w:p>
            <w:pPr>
              <w:spacing w:line="240" w:lineRule="auto"/>
              <w:jc w:val="both"/>
            </w:pPr>
            <w:r>
              <w:rPr>
                <w:sz w:val="22"/>
              </w:rPr>
              <w:t>Street</w:t>
            </w:r>
          </w:p>
        </w:tc>
        <w:tc>
          <w:tcPr>
            <w:tcW w:w="622" w:type="pct"/>
            <w:tcBorders>
              <w:top w:val="nil"/>
              <w:left w:val="nil"/>
              <w:bottom w:val="nil"/>
              <w:right w:val="nil"/>
            </w:tcBorders>
            <w:vAlign w:val="center"/>
          </w:tcPr>
          <w:p>
            <w:pPr>
              <w:spacing w:line="240" w:lineRule="auto"/>
              <w:jc w:val="both"/>
            </w:pPr>
            <w:r>
              <w:rPr>
                <w:sz w:val="22"/>
              </w:rPr>
              <w:t>Mixed</w:t>
            </w:r>
          </w:p>
        </w:tc>
        <w:tc>
          <w:tcPr>
            <w:tcW w:w="1258" w:type="pct"/>
            <w:tcBorders>
              <w:top w:val="nil"/>
              <w:left w:val="nil"/>
              <w:bottom w:val="nil"/>
              <w:right w:val="nil"/>
            </w:tcBorders>
            <w:vAlign w:val="center"/>
          </w:tcPr>
          <w:p>
            <w:pPr>
              <w:spacing w:line="240" w:lineRule="auto"/>
              <w:jc w:val="both"/>
            </w:pPr>
            <w:r>
              <w:rPr>
                <w:sz w:val="22"/>
              </w:rPr>
              <w:t>sound comfort with walking comfort</w:t>
            </w:r>
          </w:p>
        </w:tc>
        <w:tc>
          <w:tcPr>
            <w:tcW w:w="188" w:type="pct"/>
            <w:tcBorders>
              <w:top w:val="nil"/>
              <w:left w:val="nil"/>
              <w:bottom w:val="nil"/>
              <w:right w:val="nil"/>
            </w:tcBorders>
            <w:vAlign w:val="center"/>
          </w:tcPr>
          <w:p>
            <w:pPr>
              <w:spacing w:line="240" w:lineRule="auto"/>
              <w:jc w:val="both"/>
            </w:pPr>
            <w:r>
              <w:rPr>
                <w:sz w:val="22"/>
              </w:rPr>
              <w:t>NR</w:t>
            </w:r>
          </w:p>
        </w:tc>
        <w:tc>
          <w:tcPr>
            <w:tcW w:w="350" w:type="pct"/>
            <w:tcBorders>
              <w:top w:val="nil"/>
              <w:left w:val="nil"/>
              <w:bottom w:val="nil"/>
              <w:right w:val="nil"/>
            </w:tcBorders>
            <w:vAlign w:val="center"/>
          </w:tcPr>
          <w:p>
            <w:pPr>
              <w:spacing w:line="240" w:lineRule="auto"/>
              <w:jc w:val="both"/>
            </w:pPr>
            <w:r>
              <w:rPr>
                <w:sz w:val="22"/>
              </w:rPr>
              <w:t>Moderate</w:t>
            </w:r>
          </w:p>
        </w:tc>
        <w:tc>
          <w:tcPr>
            <w:tcW w:w="690" w:type="pct"/>
            <w:tcBorders>
              <w:top w:val="nil"/>
              <w:left w:val="nil"/>
              <w:bottom w:val="nil"/>
            </w:tcBorders>
            <w:vAlign w:val="center"/>
          </w:tcPr>
          <w:p>
            <w:pPr>
              <w:spacing w:line="240" w:lineRule="auto"/>
              <w:jc w:val="both"/>
            </w:pPr>
            <w:r>
              <w:rPr>
                <w:sz w:val="22"/>
              </w:rPr>
              <w:t>+0.40 [+0.04, +0.67]</w:t>
            </w:r>
          </w:p>
        </w:tc>
      </w:tr>
      <w:tr>
        <w:trPr>
          <w:trHeight w:val="334"/>
          <w:jc w:val="center"/>
        </w:trPr>
        <w:tc>
          <w:tcPr>
            <w:tcW w:w="1041" w:type="pct"/>
            <w:tcBorders>
              <w:top w:val="nil"/>
              <w:bottom w:val="nil"/>
              <w:right w:val="nil"/>
            </w:tcBorders>
            <w:vAlign w:val="center"/>
          </w:tcPr>
          <w:p>
            <w:pPr>
              <w:spacing w:line="240" w:lineRule="auto"/>
              <w:jc w:val="both"/>
            </w:pPr>
            <w:r>
              <w:rPr>
                <w:sz w:val="22"/>
              </w:rPr>
              <w:t>Bao et al. (2023)</w:t>
            </w:r>
          </w:p>
        </w:tc>
        <w:tc>
          <w:tcPr>
            <w:tcW w:w="412" w:type="pct"/>
            <w:tcBorders>
              <w:top w:val="nil"/>
              <w:left w:val="nil"/>
              <w:bottom w:val="nil"/>
              <w:right w:val="nil"/>
            </w:tcBorders>
            <w:vAlign w:val="center"/>
          </w:tcPr>
          <w:p>
            <w:pPr>
              <w:spacing w:line="240" w:lineRule="auto"/>
              <w:jc w:val="both"/>
            </w:pPr>
            <w:r>
              <w:rPr>
                <w:sz w:val="22"/>
              </w:rPr>
              <w:t>China</w:t>
            </w:r>
          </w:p>
        </w:tc>
        <w:tc>
          <w:tcPr>
            <w:tcW w:w="438" w:type="pct"/>
            <w:tcBorders>
              <w:top w:val="nil"/>
              <w:left w:val="nil"/>
              <w:bottom w:val="nil"/>
              <w:right w:val="nil"/>
            </w:tcBorders>
            <w:vAlign w:val="center"/>
          </w:tcPr>
          <w:p>
            <w:pPr>
              <w:spacing w:line="240" w:lineRule="auto"/>
              <w:jc w:val="both"/>
            </w:pPr>
            <w:r>
              <w:rPr>
                <w:sz w:val="22"/>
              </w:rPr>
              <w:t>Park</w:t>
            </w:r>
          </w:p>
        </w:tc>
        <w:tc>
          <w:tcPr>
            <w:tcW w:w="622" w:type="pct"/>
            <w:tcBorders>
              <w:top w:val="nil"/>
              <w:left w:val="nil"/>
              <w:bottom w:val="nil"/>
              <w:right w:val="nil"/>
            </w:tcBorders>
            <w:vAlign w:val="center"/>
          </w:tcPr>
          <w:p>
            <w:pPr>
              <w:spacing w:line="240" w:lineRule="auto"/>
              <w:jc w:val="both"/>
            </w:pPr>
            <w:r>
              <w:rPr>
                <w:sz w:val="22"/>
              </w:rPr>
              <w:t>Survey</w:t>
            </w:r>
          </w:p>
        </w:tc>
        <w:tc>
          <w:tcPr>
            <w:tcW w:w="1258" w:type="pct"/>
            <w:tcBorders>
              <w:top w:val="nil"/>
              <w:left w:val="nil"/>
              <w:bottom w:val="nil"/>
              <w:right w:val="nil"/>
            </w:tcBorders>
            <w:vAlign w:val="center"/>
          </w:tcPr>
          <w:p>
            <w:pPr>
              <w:spacing w:line="240" w:lineRule="auto"/>
              <w:jc w:val="both"/>
            </w:pPr>
            <w:r>
              <w:rPr>
                <w:sz w:val="22"/>
              </w:rPr>
              <w:t>dwell time with perceived restoration</w:t>
            </w:r>
          </w:p>
        </w:tc>
        <w:tc>
          <w:tcPr>
            <w:tcW w:w="188" w:type="pct"/>
            <w:tcBorders>
              <w:top w:val="nil"/>
              <w:left w:val="nil"/>
              <w:bottom w:val="nil"/>
              <w:right w:val="nil"/>
            </w:tcBorders>
            <w:vAlign w:val="center"/>
          </w:tcPr>
          <w:p>
            <w:pPr>
              <w:spacing w:line="240" w:lineRule="auto"/>
              <w:jc w:val="both"/>
            </w:pPr>
            <w:r>
              <w:rPr>
                <w:sz w:val="22"/>
              </w:rPr>
              <w:t>180</w:t>
            </w:r>
          </w:p>
        </w:tc>
        <w:tc>
          <w:tcPr>
            <w:tcW w:w="350" w:type="pct"/>
            <w:tcBorders>
              <w:top w:val="nil"/>
              <w:left w:val="nil"/>
              <w:bottom w:val="nil"/>
              <w:right w:val="nil"/>
            </w:tcBorders>
            <w:vAlign w:val="center"/>
          </w:tcPr>
          <w:p>
            <w:pPr>
              <w:spacing w:line="240" w:lineRule="auto"/>
              <w:jc w:val="both"/>
            </w:pPr>
            <w:r>
              <w:rPr>
                <w:sz w:val="22"/>
              </w:rPr>
              <w:t>Moderate</w:t>
            </w:r>
          </w:p>
        </w:tc>
        <w:tc>
          <w:tcPr>
            <w:tcW w:w="690" w:type="pct"/>
            <w:tcBorders>
              <w:top w:val="nil"/>
              <w:left w:val="nil"/>
              <w:bottom w:val="nil"/>
            </w:tcBorders>
            <w:vAlign w:val="center"/>
          </w:tcPr>
          <w:p>
            <w:pPr>
              <w:spacing w:line="240" w:lineRule="auto"/>
              <w:jc w:val="both"/>
            </w:pPr>
            <w:r>
              <w:rPr>
                <w:sz w:val="22"/>
              </w:rPr>
              <w:t>+0.55 [+0.44, +0.65]</w:t>
            </w:r>
          </w:p>
        </w:tc>
      </w:tr>
      <w:tr>
        <w:trPr>
          <w:trHeight w:val="334"/>
          <w:jc w:val="center"/>
        </w:trPr>
        <w:tc>
          <w:tcPr>
            <w:tcW w:w="1041" w:type="pct"/>
            <w:tcBorders>
              <w:top w:val="nil"/>
              <w:bottom w:val="nil"/>
              <w:right w:val="nil"/>
            </w:tcBorders>
            <w:vAlign w:val="center"/>
          </w:tcPr>
          <w:p>
            <w:pPr>
              <w:spacing w:line="240" w:lineRule="auto"/>
              <w:jc w:val="both"/>
            </w:pPr>
            <w:r>
              <w:rPr>
                <w:sz w:val="22"/>
              </w:rPr>
              <w:t>Montes González et al. (2023) ▲</w:t>
            </w:r>
          </w:p>
        </w:tc>
        <w:tc>
          <w:tcPr>
            <w:tcW w:w="412" w:type="pct"/>
            <w:tcBorders>
              <w:top w:val="nil"/>
              <w:left w:val="nil"/>
              <w:bottom w:val="nil"/>
              <w:right w:val="nil"/>
            </w:tcBorders>
            <w:vAlign w:val="center"/>
          </w:tcPr>
          <w:p>
            <w:pPr>
              <w:spacing w:line="240" w:lineRule="auto"/>
              <w:jc w:val="both"/>
            </w:pPr>
            <w:r>
              <w:rPr>
                <w:sz w:val="22"/>
              </w:rPr>
              <w:t>Spain</w:t>
            </w:r>
          </w:p>
        </w:tc>
        <w:tc>
          <w:tcPr>
            <w:tcW w:w="438" w:type="pct"/>
            <w:tcBorders>
              <w:top w:val="nil"/>
              <w:left w:val="nil"/>
              <w:bottom w:val="nil"/>
              <w:right w:val="nil"/>
            </w:tcBorders>
            <w:vAlign w:val="center"/>
          </w:tcPr>
          <w:p>
            <w:pPr>
              <w:spacing w:line="240" w:lineRule="auto"/>
              <w:jc w:val="both"/>
            </w:pPr>
            <w:r>
              <w:rPr>
                <w:sz w:val="22"/>
              </w:rPr>
              <w:t>Street</w:t>
            </w:r>
          </w:p>
        </w:tc>
        <w:tc>
          <w:tcPr>
            <w:tcW w:w="622" w:type="pct"/>
            <w:tcBorders>
              <w:top w:val="nil"/>
              <w:left w:val="nil"/>
              <w:bottom w:val="nil"/>
              <w:right w:val="nil"/>
            </w:tcBorders>
            <w:vAlign w:val="center"/>
          </w:tcPr>
          <w:p>
            <w:pPr>
              <w:spacing w:line="240" w:lineRule="auto"/>
              <w:jc w:val="both"/>
            </w:pPr>
            <w:r>
              <w:rPr>
                <w:sz w:val="22"/>
              </w:rPr>
              <w:t>Survey</w:t>
            </w:r>
          </w:p>
        </w:tc>
        <w:tc>
          <w:tcPr>
            <w:tcW w:w="1258" w:type="pct"/>
            <w:tcBorders>
              <w:top w:val="nil"/>
              <w:left w:val="nil"/>
              <w:bottom w:val="nil"/>
              <w:right w:val="nil"/>
            </w:tcBorders>
            <w:vAlign w:val="center"/>
          </w:tcPr>
          <w:p>
            <w:pPr>
              <w:spacing w:line="240" w:lineRule="auto"/>
              <w:jc w:val="both"/>
            </w:pPr>
            <w:r>
              <w:rPr>
                <w:sz w:val="22"/>
              </w:rPr>
              <w:t>LAeq with vocal effort</w:t>
            </w:r>
          </w:p>
        </w:tc>
        <w:tc>
          <w:tcPr>
            <w:tcW w:w="188" w:type="pct"/>
            <w:tcBorders>
              <w:top w:val="nil"/>
              <w:left w:val="nil"/>
              <w:bottom w:val="nil"/>
              <w:right w:val="nil"/>
            </w:tcBorders>
            <w:vAlign w:val="center"/>
          </w:tcPr>
          <w:p>
            <w:pPr>
              <w:spacing w:line="240" w:lineRule="auto"/>
              <w:jc w:val="both"/>
            </w:pPr>
            <w:r>
              <w:rPr>
                <w:sz w:val="22"/>
              </w:rPr>
              <w:t>29</w:t>
            </w:r>
          </w:p>
        </w:tc>
        <w:tc>
          <w:tcPr>
            <w:tcW w:w="350" w:type="pct"/>
            <w:tcBorders>
              <w:top w:val="nil"/>
              <w:left w:val="nil"/>
              <w:bottom w:val="nil"/>
              <w:right w:val="nil"/>
            </w:tcBorders>
            <w:vAlign w:val="center"/>
          </w:tcPr>
          <w:p>
            <w:pPr>
              <w:spacing w:line="240" w:lineRule="auto"/>
              <w:jc w:val="both"/>
            </w:pPr>
            <w:r>
              <w:rPr>
                <w:sz w:val="22"/>
              </w:rPr>
              <w:t>Moderate</w:t>
            </w:r>
          </w:p>
        </w:tc>
        <w:tc>
          <w:tcPr>
            <w:tcW w:w="690" w:type="pct"/>
            <w:tcBorders>
              <w:top w:val="nil"/>
              <w:left w:val="nil"/>
              <w:bottom w:val="nil"/>
            </w:tcBorders>
            <w:vAlign w:val="center"/>
          </w:tcPr>
          <w:p>
            <w:pPr>
              <w:spacing w:line="240" w:lineRule="auto"/>
              <w:jc w:val="both"/>
            </w:pPr>
            <w:r>
              <w:rPr>
                <w:sz w:val="22"/>
              </w:rPr>
              <w:t>+0.65 [+0.37, +0.82]</w:t>
            </w:r>
          </w:p>
        </w:tc>
      </w:tr>
      <w:tr>
        <w:trPr>
          <w:trHeight w:val="334"/>
          <w:jc w:val="center"/>
        </w:trPr>
        <w:tc>
          <w:tcPr>
            <w:tcW w:w="1041" w:type="pct"/>
            <w:tcBorders>
              <w:top w:val="nil"/>
              <w:bottom w:val="single" w:sz="12" w:space="0" w:color="auto"/>
              <w:right w:val="nil"/>
            </w:tcBorders>
            <w:vAlign w:val="center"/>
          </w:tcPr>
          <w:p>
            <w:pPr>
              <w:spacing w:line="240" w:lineRule="auto"/>
              <w:jc w:val="both"/>
            </w:pPr>
            <w:r>
              <w:rPr>
                <w:sz w:val="22"/>
              </w:rPr>
              <w:t>Cao &amp; Kang (2021) ▲</w:t>
            </w:r>
          </w:p>
        </w:tc>
        <w:tc>
          <w:tcPr>
            <w:tcW w:w="412" w:type="pct"/>
            <w:tcBorders>
              <w:top w:val="nil"/>
              <w:left w:val="nil"/>
              <w:bottom w:val="single" w:sz="12" w:space="0" w:color="auto"/>
              <w:right w:val="nil"/>
            </w:tcBorders>
            <w:vAlign w:val="center"/>
          </w:tcPr>
          <w:p>
            <w:pPr>
              <w:spacing w:line="240" w:lineRule="auto"/>
              <w:jc w:val="both"/>
              <w:rPr>
                <w:lang w:eastAsia="ko-KR"/>
              </w:rPr>
            </w:pPr>
            <w:r>
              <w:rPr>
                <w:sz w:val="22"/>
              </w:rPr>
              <w:t>China; UK</w:t>
            </w:r>
          </w:p>
        </w:tc>
        <w:tc>
          <w:tcPr>
            <w:tcW w:w="438" w:type="pct"/>
            <w:tcBorders>
              <w:top w:val="nil"/>
              <w:left w:val="nil"/>
              <w:bottom w:val="single" w:sz="12" w:space="0" w:color="auto"/>
              <w:right w:val="nil"/>
            </w:tcBorders>
            <w:vAlign w:val="center"/>
          </w:tcPr>
          <w:p>
            <w:pPr>
              <w:spacing w:line="240" w:lineRule="auto"/>
              <w:jc w:val="both"/>
            </w:pPr>
            <w:r>
              <w:rPr>
                <w:sz w:val="22"/>
              </w:rPr>
              <w:t>Square</w:t>
            </w:r>
          </w:p>
        </w:tc>
        <w:tc>
          <w:tcPr>
            <w:tcW w:w="622" w:type="pct"/>
            <w:tcBorders>
              <w:top w:val="nil"/>
              <w:left w:val="nil"/>
              <w:bottom w:val="single" w:sz="12" w:space="0" w:color="auto"/>
              <w:right w:val="nil"/>
            </w:tcBorders>
            <w:vAlign w:val="center"/>
          </w:tcPr>
          <w:p>
            <w:pPr>
              <w:spacing w:line="240" w:lineRule="auto"/>
              <w:jc w:val="both"/>
            </w:pPr>
            <w:r>
              <w:rPr>
                <w:sz w:val="22"/>
              </w:rPr>
              <w:t>Survey</w:t>
            </w:r>
          </w:p>
        </w:tc>
        <w:tc>
          <w:tcPr>
            <w:tcW w:w="1258" w:type="pct"/>
            <w:tcBorders>
              <w:top w:val="nil"/>
              <w:left w:val="nil"/>
              <w:bottom w:val="single" w:sz="12" w:space="0" w:color="auto"/>
              <w:right w:val="nil"/>
            </w:tcBorders>
            <w:vAlign w:val="center"/>
          </w:tcPr>
          <w:p>
            <w:pPr>
              <w:spacing w:line="240" w:lineRule="auto"/>
              <w:jc w:val="both"/>
            </w:pPr>
            <w:r>
              <w:rPr>
                <w:sz w:val="22"/>
              </w:rPr>
              <w:t>companion presence with sound noticing</w:t>
            </w:r>
          </w:p>
        </w:tc>
        <w:tc>
          <w:tcPr>
            <w:tcW w:w="188" w:type="pct"/>
            <w:tcBorders>
              <w:top w:val="nil"/>
              <w:left w:val="nil"/>
              <w:bottom w:val="single" w:sz="12" w:space="0" w:color="auto"/>
              <w:right w:val="nil"/>
            </w:tcBorders>
            <w:vAlign w:val="center"/>
          </w:tcPr>
          <w:p>
            <w:pPr>
              <w:spacing w:line="240" w:lineRule="auto"/>
              <w:jc w:val="both"/>
            </w:pPr>
            <w:r>
              <w:rPr>
                <w:sz w:val="22"/>
              </w:rPr>
              <w:t>301</w:t>
            </w:r>
          </w:p>
        </w:tc>
        <w:tc>
          <w:tcPr>
            <w:tcW w:w="350" w:type="pct"/>
            <w:tcBorders>
              <w:top w:val="nil"/>
              <w:left w:val="nil"/>
              <w:bottom w:val="single" w:sz="12" w:space="0" w:color="auto"/>
              <w:right w:val="nil"/>
            </w:tcBorders>
            <w:vAlign w:val="center"/>
          </w:tcPr>
          <w:p>
            <w:pPr>
              <w:spacing w:line="240" w:lineRule="auto"/>
              <w:jc w:val="both"/>
            </w:pPr>
            <w:r>
              <w:rPr>
                <w:sz w:val="22"/>
              </w:rPr>
              <w:t>Moderate</w:t>
            </w:r>
          </w:p>
        </w:tc>
        <w:tc>
          <w:tcPr>
            <w:tcW w:w="690" w:type="pct"/>
            <w:tcBorders>
              <w:top w:val="nil"/>
              <w:left w:val="nil"/>
              <w:bottom w:val="single" w:sz="12" w:space="0" w:color="auto"/>
            </w:tcBorders>
            <w:vAlign w:val="center"/>
          </w:tcPr>
          <w:p>
            <w:pPr>
              <w:spacing w:line="240" w:lineRule="auto"/>
              <w:jc w:val="both"/>
            </w:pPr>
            <w:r>
              <w:rPr>
                <w:sz w:val="22"/>
              </w:rPr>
              <w:t>+0.16 [+0.05, +0.27]</w:t>
            </w:r>
          </w:p>
        </w:tc>
      </w:tr>
    </w:tbl>
    <w:p>
      <w:pPr>
        <w:spacing w:before="160" w:after="80" w:line="240" w:lineRule="auto"/>
      </w:pPr>
      <w:r>
        <w:rPr>
          <w:i/>
          <w:sz w:val="22"/>
        </w:rPr>
        <w:t>Note.</w:t>
      </w:r>
      <w:r>
        <w:rPr>
          <w:sz w:val="22"/>
        </w:rPr>
        <w:t xml:space="preserve"> ▲ = retrieved by citation searching. </w:t>
      </w:r>
      <w:r>
        <w:rPr>
          <w:i/>
          <w:sz w:val="22"/>
        </w:rPr>
        <w:t>n</w:t>
      </w:r>
      <w:r>
        <w:rPr>
          <w:sz w:val="22"/>
        </w:rPr>
        <w:t xml:space="preserve"> = analytic sample for the pooled contrast, which can differ from the total sample of the study. Effect sizes are Hedges' </w:t>
      </w:r>
      <w:r>
        <w:rPr>
          <w:i/>
          <w:sz w:val="22"/>
        </w:rPr>
        <w:t>g</w:t>
      </w:r>
      <w:r>
        <w:rPr>
          <w:sz w:val="22"/>
        </w:rPr>
        <w:t xml:space="preserve"> with 95% CI for the first three clusters and </w:t>
      </w:r>
      <w:r>
        <w:rPr>
          <w:i/>
          <w:sz w:val="22"/>
        </w:rPr>
        <w:t>r</w:t>
      </w:r>
      <w:r>
        <w:rPr>
          <w:sz w:val="22"/>
        </w:rPr>
        <w:t xml:space="preserve"> with 95% CI for the sound–behaviour correlation cluster. MMAT = Mixed Methods Appraisal Tool 2018 grade. NR = not reported; where </w:t>
      </w:r>
      <w:r>
        <w:rPr>
          <w:i/>
          <w:sz w:val="22"/>
        </w:rPr>
        <w:t>n</w:t>
      </w:r>
      <w:r>
        <w:rPr>
          <w:sz w:val="22"/>
        </w:rPr>
        <w:t xml:space="preserve"> was not reported, the variance was derived from the published CI. UK = United Kingdom.</w:t>
      </w:r>
    </w:p>
    <w:p>
      <w:pPr>
        <w:spacing w:before="200" w:after="80" w:line="240" w:lineRule="auto"/>
        <w:jc w:val="center"/>
        <w:sectPr>
          <w:pgSz w:w="16834" w:h="11909" w:orient="landscape"/>
          <w:pgMar w:top="1701" w:right="1361" w:bottom="1440" w:left="1361" w:header="720" w:footer="720" w:gutter="0"/>
          <w:cols w:space="720"/>
          <w:docGrid w:linePitch="360"/>
        </w:sectPr>
      </w:pPr>
    </w:p>
    <w:p>
      <w:pPr>
        <w:spacing w:before="200" w:after="80" w:line="240" w:lineRule="auto"/>
        <w:jc w:val="center"/>
      </w:pPr>
      <w:r>
        <w:drawing>
          <wp:inline xmlns:a="http://schemas.openxmlformats.org/drawingml/2006/main" xmlns:pic="http://schemas.openxmlformats.org/drawingml/2006/picture">
            <wp:extent cx="5444950" cy="8714631"/>
            <wp:docPr id="4" name="Picture 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44950" cy="8714631"/>
                    </a:xfrm>
                    <a:prstGeom prst="rect"/>
                  </pic:spPr>
                </pic:pic>
              </a:graphicData>
            </a:graphic>
          </wp:inline>
        </w:drawing>
      </w:r>
    </w:p>
    <w:p>
      <w:pPr>
        <w:spacing w:after="240" w:line="240" w:lineRule="auto"/>
      </w:pPr>
      <w:r>
        <w:rPr>
          <w:b/>
          <w:sz w:val="22"/>
        </w:rPr>
        <w:t xml:space="preserve">Fig. 4. </w:t>
      </w:r>
      <w:r>
        <w:rPr>
          <w:sz w:val="22"/>
        </w:rPr>
        <w:t>Forest plots of the four behavioural clusters: (a) walking speed, (b) staying or dwell time, (c) social interaction and (d) sound–behaviour correlation. Squares show the effect size of each study, and their size reflects the study's weight in the random-effects model (REML with the Hartung–Knapp adjustment); horizontal lines are 95% confidence intervals. Diamonds show the pooled estimate and its 95% confidence interval, and the dashed vertical line marks no effect. The columns on the right give each effect size with its 95% confidence interval and its weight (%). Effect sizes are Hedges' g in panels (a)–(c) and r in panel (d). Triangles mark studies retrieved by citation searching. Heterogeneity (I² and Q) and the p value of the pooled effect are given below each panel; prediction intervals and sensitivity analyses are given in Table 3.</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3.5 Sensitivity analyses and publication bias</w:t>
      </w:r>
    </w:p>
    <w:p>
      <w:pPr>
        <w:ind w:firstLine="288"/>
        <w:jc w:val="both"/>
        <w:rPr>
          <w:lang w:eastAsia="ko-KR"/>
        </w:rPr>
      </w:pPr>
      <w:r>
        <w:rPr>
          <w:lang w:eastAsia="ko-KR"/>
        </w:rPr>
        <w:t xml:space="preserve">민감도 분석 결과는 Table 3에 제시했다. 보행속도와 체류 클러스터에서는 어떤 민감도 분석에서도 합성 효과가 유의하지 않았다. 보행속도 클러스터에서 광장 배경음악 연구를 포함하면 추정치는 </w:t>
      </w:r>
      <w:r>
        <w:rPr>
          <w:i/>
          <w:lang w:eastAsia="ko-KR"/>
        </w:rPr>
        <w:t>g</w:t>
      </w:r>
      <w:r>
        <w:rPr>
          <w:lang w:eastAsia="ko-KR"/>
        </w:rPr>
        <w:t xml:space="preserve"> = −0.77(</w:t>
      </w:r>
      <w:r>
        <w:rPr>
          <w:i/>
          <w:lang w:eastAsia="ko-KR"/>
        </w:rPr>
        <w:t>p</w:t>
      </w:r>
      <w:r>
        <w:rPr>
          <w:lang w:eastAsia="ko-KR"/>
        </w:rPr>
        <w:t xml:space="preserve"> = 0.145)로 커졌고, 체류 클러스터에서 방문빈도를 결과로 보고한 연구를 포함하면 </w:t>
      </w:r>
      <w:r>
        <w:rPr>
          <w:i/>
          <w:lang w:eastAsia="ko-KR"/>
        </w:rPr>
        <w:t>g</w:t>
      </w:r>
      <w:r>
        <w:rPr>
          <w:lang w:eastAsia="ko-KR"/>
        </w:rPr>
        <w:t xml:space="preserve"> = +0.20(</w:t>
      </w:r>
      <w:r>
        <w:rPr>
          <w:i/>
          <w:lang w:eastAsia="ko-KR"/>
        </w:rPr>
        <w:t>p</w:t>
      </w:r>
      <w:r>
        <w:rPr>
          <w:lang w:eastAsia="ko-KR"/>
        </w:rPr>
        <w:t xml:space="preserve"> = 0.471)으로 작아졌다. 보행속도 클러스터는 기여 연구가 모두 MMAT low 등급이어서 low 등급을 제외한 분석을 수행할 수 없었다.</w:t>
      </w:r>
    </w:p>
    <w:p>
      <w:pPr>
        <w:ind w:firstLine="288"/>
        <w:jc w:val="both"/>
        <w:rPr>
          <w:lang w:eastAsia="ko-KR"/>
        </w:rPr>
      </w:pPr>
      <w:r>
        <w:rPr>
          <w:lang w:eastAsia="ko-KR"/>
        </w:rPr>
        <w:t xml:space="preserve">사회적 상호작용 클러스터에서는 한 편씩 제외한 네 분석(leave-one-out) 가운데 세 분석에서 </w:t>
      </w:r>
      <w:r>
        <w:rPr>
          <w:i/>
          <w:lang w:eastAsia="ko-KR"/>
        </w:rPr>
        <w:t>p</w:t>
      </w:r>
      <w:r>
        <w:rPr>
          <w:lang w:eastAsia="ko-KR"/>
        </w:rPr>
        <w:t>가 0.05를 넘었다. Chen과 Kang [37]을 제외했을 때 추정치가 가장 낮았고(</w:t>
      </w:r>
      <w:r>
        <w:rPr>
          <w:i/>
          <w:lang w:eastAsia="ko-KR"/>
        </w:rPr>
        <w:t>g</w:t>
      </w:r>
      <w:r>
        <w:rPr>
          <w:lang w:eastAsia="ko-KR"/>
        </w:rPr>
        <w:t xml:space="preserve"> = +0.56, </w:t>
      </w:r>
      <w:r>
        <w:rPr>
          <w:i/>
          <w:lang w:eastAsia="ko-KR"/>
        </w:rPr>
        <w:t>p</w:t>
      </w:r>
      <w:r>
        <w:rPr>
          <w:lang w:eastAsia="ko-KR"/>
        </w:rPr>
        <w:t xml:space="preserve"> = 0.059), 신뢰구간이 0을 배제한 것은 Moser [39]를 제외한 경우뿐이었다(</w:t>
      </w:r>
      <w:r>
        <w:rPr>
          <w:i/>
          <w:lang w:eastAsia="ko-KR"/>
        </w:rPr>
        <w:t>g</w:t>
      </w:r>
      <w:r>
        <w:rPr>
          <w:lang w:eastAsia="ko-KR"/>
        </w:rPr>
        <w:t xml:space="preserve"> = +0.80, </w:t>
      </w:r>
      <w:r>
        <w:rPr>
          <w:i/>
          <w:lang w:eastAsia="ko-KR"/>
        </w:rPr>
        <w:t>p</w:t>
      </w:r>
      <w:r>
        <w:rPr>
          <w:lang w:eastAsia="ko-KR"/>
        </w:rPr>
        <w:t xml:space="preserve"> = 0.041). 인용 추적으로 확보한 연구[40]를 제외하면 </w:t>
      </w:r>
      <w:r>
        <w:rPr>
          <w:i/>
          <w:lang w:eastAsia="ko-KR"/>
        </w:rPr>
        <w:t>g</w:t>
      </w:r>
      <w:r>
        <w:rPr>
          <w:lang w:eastAsia="ko-KR"/>
        </w:rPr>
        <w:t xml:space="preserve"> = +0.60(</w:t>
      </w:r>
      <w:r>
        <w:rPr>
          <w:i/>
          <w:lang w:eastAsia="ko-KR"/>
        </w:rPr>
        <w:t>p</w:t>
      </w:r>
      <w:r>
        <w:rPr>
          <w:lang w:eastAsia="ko-KR"/>
        </w:rPr>
        <w:t xml:space="preserve"> = 0.057)이었고, 관찰 기록 간 독립성 문제로 주분석에서 제외한 연구를 포함하면 </w:t>
      </w:r>
      <w:r>
        <w:rPr>
          <w:i/>
          <w:lang w:eastAsia="ko-KR"/>
        </w:rPr>
        <w:t>g</w:t>
      </w:r>
      <w:r>
        <w:rPr>
          <w:lang w:eastAsia="ko-KR"/>
        </w:rPr>
        <w:t xml:space="preserve"> = +0.81(</w:t>
      </w:r>
      <w:r>
        <w:rPr>
          <w:i/>
          <w:lang w:eastAsia="ko-KR"/>
        </w:rPr>
        <w:t>p</w:t>
      </w:r>
      <w:r>
        <w:rPr>
          <w:lang w:eastAsia="ko-KR"/>
        </w:rPr>
        <w:t xml:space="preserve"> = 0.005)이었다.</w:t>
      </w:r>
    </w:p>
    <w:p>
      <w:pPr>
        <w:ind w:firstLine="288"/>
        <w:jc w:val="both"/>
        <w:rPr>
          <w:lang w:eastAsia="ko-KR"/>
        </w:rPr>
      </w:pPr>
      <w:r>
        <w:rPr>
          <w:lang w:eastAsia="ko-KR"/>
        </w:rPr>
        <w:t xml:space="preserve">소리–행태 상관 클러스터에서는 한 편씩 제외한 분석의 추정치가 </w:t>
      </w:r>
      <w:r>
        <w:rPr>
          <w:i/>
          <w:lang w:eastAsia="ko-KR"/>
        </w:rPr>
        <w:t>r</w:t>
      </w:r>
      <w:r>
        <w:rPr>
          <w:lang w:eastAsia="ko-KR"/>
        </w:rPr>
        <w:t xml:space="preserve"> = +0.39에서 +0.48 사이였고, 모든 민감도 분석에서 신뢰구간이 0을 배제했다. MMAT low 등급 연구를 제외하면 </w:t>
      </w:r>
      <w:r>
        <w:rPr>
          <w:i/>
          <w:lang w:eastAsia="ko-KR"/>
        </w:rPr>
        <w:t>r</w:t>
      </w:r>
      <w:r>
        <w:rPr>
          <w:lang w:eastAsia="ko-KR"/>
        </w:rPr>
        <w:t xml:space="preserve"> = +0.47, 인용 추적으로 확보한 연구를 제외하면 </w:t>
      </w:r>
      <w:r>
        <w:rPr>
          <w:i/>
          <w:lang w:eastAsia="ko-KR"/>
        </w:rPr>
        <w:t>r</w:t>
      </w:r>
      <w:r>
        <w:rPr>
          <w:lang w:eastAsia="ko-KR"/>
        </w:rPr>
        <w:t xml:space="preserve"> = +0.44, 순위상관을 제외하면 </w:t>
      </w:r>
      <w:r>
        <w:rPr>
          <w:i/>
          <w:lang w:eastAsia="ko-KR"/>
        </w:rPr>
        <w:t>r</w:t>
      </w:r>
      <w:r>
        <w:rPr>
          <w:lang w:eastAsia="ko-KR"/>
        </w:rPr>
        <w:t xml:space="preserve"> = +0.48이었다. 옥외 장면을 실험실에서 재현한 연구는 어느 클러스터에도 기여하지 않았으므로 이를 제외한 분석은 주분석과 같았다. 기여 효과가 가장 많은 클러스터도 </w:t>
      </w:r>
      <w:r>
        <w:rPr>
          <w:i/>
          <w:lang w:eastAsia="ko-KR"/>
        </w:rPr>
        <w:t>k</w:t>
      </w:r>
      <w:r>
        <w:rPr>
          <w:lang w:eastAsia="ko-KR"/>
        </w:rPr>
        <w:t xml:space="preserve"> = 6으로 사전에 정한 기준(</w:t>
      </w:r>
      <w:r>
        <w:rPr>
          <w:i/>
          <w:lang w:eastAsia="ko-KR"/>
        </w:rPr>
        <w:t>k</w:t>
      </w:r>
      <w:r>
        <w:rPr>
          <w:lang w:eastAsia="ko-KR"/>
        </w:rPr>
        <w:t xml:space="preserve"> ≥ 10)에 미달해 출판편향은 평가하지 않았다.</w:t>
      </w:r>
    </w:p>
    <w:p>
      <w:pPr>
        <w:spacing w:before="160" w:after="80" w:line="240" w:lineRule="auto"/>
      </w:pPr>
      <w:r>
        <w:rPr>
          <w:b/>
          <w:sz w:val="22"/>
        </w:rPr>
        <w:t>Table 3.</w:t>
      </w:r>
      <w:r>
        <w:rPr>
          <w:sz w:val="22"/>
        </w:rPr>
        <w:t xml:space="preserve"> Pooled estimates and sensitivity analyses for the four behavioural clusters.</w:t>
      </w:r>
    </w:p>
    <w:tbl>
      <w:tblPr>
        <w:tblStyle w:val="af9"/>
        <w:tblW w:w="9136" w:type="dxa"/>
        <w:jc w:val="center"/>
        <w:tblBorders>
          <w:top w:val="single" w:sz="12" w:space="0" w:color="auto"/>
          <w:left w:val="none" w:sz="0" w:space="0" w:color="auto"/>
          <w:bottom w:val="single" w:sz="12" w:space="0" w:color="auto"/>
          <w:right w:val="none" w:sz="0" w:space="0" w:color="auto"/>
          <w:insideV w:val="none" w:sz="0" w:space="0" w:color="auto"/>
        </w:tblBorders>
        <w:tblLayout w:type="fixed"/>
        <w:tblLook w:val="04A0" w:firstRow="1" w:lastRow="0" w:firstColumn="1" w:lastColumn="0" w:noHBand="0" w:noVBand="1"/>
      </w:tblPr>
      <w:tblGrid>
        <w:gridCol w:w="3398"/>
        <w:gridCol w:w="352"/>
        <w:gridCol w:w="2076"/>
        <w:gridCol w:w="1362"/>
        <w:gridCol w:w="1332"/>
        <w:gridCol w:w="616"/>
      </w:tblGrid>
      <w:tr>
        <w:trPr>
          <w:trHeight w:val="291"/>
          <w:jc w:val="center"/>
        </w:trPr>
        <w:tc>
          <w:tcPr>
            <w:tcW w:w="3398" w:type="dxa"/>
            <w:vAlign w:val="center"/>
          </w:tcPr>
          <w:p>
            <w:pPr>
              <w:spacing w:line="240" w:lineRule="auto"/>
            </w:pPr>
            <w:r>
              <w:rPr>
                <w:b/>
                <w:sz w:val="22"/>
              </w:rPr>
              <w:t>Analysis</w:t>
            </w:r>
          </w:p>
        </w:tc>
        <w:tc>
          <w:tcPr>
            <w:tcW w:w="352" w:type="dxa"/>
            <w:vAlign w:val="center"/>
          </w:tcPr>
          <w:p>
            <w:pPr>
              <w:spacing w:line="240" w:lineRule="auto"/>
            </w:pPr>
            <w:r>
              <w:rPr>
                <w:b/>
                <w:i/>
                <w:sz w:val="22"/>
              </w:rPr>
              <w:t>k</w:t>
            </w:r>
          </w:p>
        </w:tc>
        <w:tc>
          <w:tcPr>
            <w:tcW w:w="2076" w:type="dxa"/>
            <w:vAlign w:val="center"/>
          </w:tcPr>
          <w:p>
            <w:pPr>
              <w:spacing w:line="240" w:lineRule="auto"/>
            </w:pPr>
            <w:r>
              <w:rPr>
                <w:b/>
                <w:sz w:val="22"/>
              </w:rPr>
              <w:t>Estimate [95% CI]</w:t>
            </w:r>
          </w:p>
        </w:tc>
        <w:tc>
          <w:tcPr>
            <w:tcW w:w="1362" w:type="dxa"/>
            <w:vAlign w:val="center"/>
          </w:tcPr>
          <w:p>
            <w:pPr>
              <w:spacing w:line="240" w:lineRule="auto"/>
            </w:pPr>
            <w:r>
              <w:rPr>
                <w:b/>
                <w:sz w:val="22"/>
              </w:rPr>
              <w:t>95% PI</w:t>
            </w:r>
          </w:p>
        </w:tc>
        <w:tc>
          <w:tcPr>
            <w:tcW w:w="1332" w:type="dxa"/>
            <w:vAlign w:val="center"/>
          </w:tcPr>
          <w:p>
            <w:pPr>
              <w:spacing w:line="240" w:lineRule="auto"/>
            </w:pPr>
            <w:r>
              <w:rPr>
                <w:b/>
                <w:i/>
                <w:sz w:val="22"/>
              </w:rPr>
              <w:t>p</w:t>
            </w:r>
          </w:p>
        </w:tc>
        <w:tc>
          <w:tcPr>
            <w:tcW w:w="616" w:type="dxa"/>
            <w:vAlign w:val="center"/>
          </w:tcPr>
          <w:p>
            <w:pPr>
              <w:spacing w:line="240" w:lineRule="auto"/>
              <w:rPr>
                <w:lang w:eastAsia="ko-KR"/>
              </w:rPr>
            </w:pPr>
            <w:r>
              <w:rPr>
                <w:b/>
                <w:i/>
                <w:sz w:val="22"/>
              </w:rPr>
              <w:t>I</w:t>
            </w:r>
            <w:r>
              <w:rPr>
                <w:b/>
                <w:i/>
                <w:sz w:val="22"/>
              </w:rPr>
              <w:t>² (%)</w:t>
            </w:r>
          </w:p>
        </w:tc>
      </w:tr>
      <w:tr>
        <w:trPr>
          <w:trHeight w:val="291"/>
          <w:jc w:val="center"/>
        </w:trPr>
        <w:tc>
          <w:tcPr>
            <w:tcW w:w="9136" w:type="dxa"/>
            <w:gridSpan w:val="6"/>
            <w:vAlign w:val="center"/>
          </w:tcPr>
          <w:p>
            <w:pPr>
              <w:spacing w:line="240" w:lineRule="auto"/>
            </w:pPr>
            <w:r>
              <w:rPr>
                <w:b/>
                <w:sz w:val="22"/>
              </w:rPr>
              <w:t>Walking speed (Hedges' g)</w:t>
            </w:r>
          </w:p>
        </w:tc>
      </w:tr>
      <w:tr>
        <w:trPr>
          <w:trHeight w:val="291"/>
          <w:jc w:val="center"/>
        </w:trPr>
        <w:tc>
          <w:tcPr>
            <w:tcW w:w="3398" w:type="dxa"/>
            <w:tcBorders>
              <w:top w:val="single" w:sz="4" w:space="0" w:color="auto"/>
              <w:bottom w:val="nil"/>
            </w:tcBorders>
            <w:vAlign w:val="center"/>
          </w:tcPr>
          <w:p>
            <w:pPr>
              <w:spacing w:line="240" w:lineRule="auto"/>
            </w:pPr>
            <w:r>
              <w:rPr>
                <w:sz w:val="22"/>
              </w:rPr>
              <w:t>Main analysis</w:t>
            </w:r>
          </w:p>
        </w:tc>
        <w:tc>
          <w:tcPr>
            <w:tcW w:w="352" w:type="dxa"/>
            <w:tcBorders>
              <w:top w:val="single" w:sz="4" w:space="0" w:color="auto"/>
              <w:bottom w:val="nil"/>
            </w:tcBorders>
            <w:vAlign w:val="center"/>
          </w:tcPr>
          <w:p>
            <w:pPr>
              <w:spacing w:line="240" w:lineRule="auto"/>
            </w:pPr>
            <w:r>
              <w:rPr>
                <w:sz w:val="22"/>
              </w:rPr>
              <w:t>3</w:t>
            </w:r>
          </w:p>
        </w:tc>
        <w:tc>
          <w:tcPr>
            <w:tcW w:w="2076" w:type="dxa"/>
            <w:tcBorders>
              <w:top w:val="single" w:sz="4" w:space="0" w:color="auto"/>
              <w:bottom w:val="nil"/>
            </w:tcBorders>
            <w:vAlign w:val="center"/>
          </w:tcPr>
          <w:p>
            <w:pPr>
              <w:spacing w:line="240" w:lineRule="auto"/>
            </w:pPr>
            <w:r>
              <w:rPr>
                <w:sz w:val="22"/>
              </w:rPr>
              <w:t>−0.47 [−2.06, +1.11]</w:t>
            </w:r>
          </w:p>
        </w:tc>
        <w:tc>
          <w:tcPr>
            <w:tcW w:w="1362" w:type="dxa"/>
            <w:tcBorders>
              <w:top w:val="single" w:sz="4" w:space="0" w:color="auto"/>
              <w:bottom w:val="nil"/>
            </w:tcBorders>
            <w:vAlign w:val="center"/>
          </w:tcPr>
          <w:p>
            <w:pPr>
              <w:spacing w:line="240" w:lineRule="auto"/>
            </w:pPr>
            <w:r>
              <w:rPr>
                <w:sz w:val="22"/>
              </w:rPr>
              <w:t>−9.13, +8.19</w:t>
            </w:r>
          </w:p>
        </w:tc>
        <w:tc>
          <w:tcPr>
            <w:tcW w:w="1332" w:type="dxa"/>
            <w:tcBorders>
              <w:top w:val="single" w:sz="4" w:space="0" w:color="auto"/>
              <w:bottom w:val="nil"/>
            </w:tcBorders>
            <w:vAlign w:val="center"/>
          </w:tcPr>
          <w:p>
            <w:pPr>
              <w:spacing w:line="240" w:lineRule="auto"/>
            </w:pPr>
            <w:r>
              <w:rPr>
                <w:sz w:val="22"/>
              </w:rPr>
              <w:t>0.326</w:t>
            </w:r>
          </w:p>
        </w:tc>
        <w:tc>
          <w:tcPr>
            <w:tcW w:w="616" w:type="dxa"/>
            <w:tcBorders>
              <w:top w:val="single" w:sz="4" w:space="0" w:color="auto"/>
              <w:bottom w:val="nil"/>
            </w:tcBorders>
            <w:vAlign w:val="center"/>
          </w:tcPr>
          <w:p>
            <w:pPr>
              <w:spacing w:line="240" w:lineRule="auto"/>
            </w:pPr>
            <w:r>
              <w:rPr>
                <w:sz w:val="22"/>
              </w:rPr>
              <w:t>81.4</w:t>
            </w:r>
          </w:p>
        </w:tc>
      </w:tr>
      <w:tr>
        <w:trPr>
          <w:trHeight w:val="291"/>
          <w:jc w:val="center"/>
        </w:trPr>
        <w:tc>
          <w:tcPr>
            <w:tcW w:w="3398" w:type="dxa"/>
            <w:tcBorders>
              <w:top w:val="nil"/>
              <w:bottom w:val="nil"/>
            </w:tcBorders>
            <w:vAlign w:val="center"/>
          </w:tcPr>
          <w:p>
            <w:pPr>
              <w:spacing w:line="240" w:lineRule="auto"/>
            </w:pPr>
            <w:r>
              <w:rPr>
                <w:sz w:val="22"/>
              </w:rPr>
              <w:t>Leave-one-out (range)</w:t>
            </w:r>
          </w:p>
        </w:tc>
        <w:tc>
          <w:tcPr>
            <w:tcW w:w="352" w:type="dxa"/>
            <w:tcBorders>
              <w:top w:val="nil"/>
              <w:bottom w:val="nil"/>
            </w:tcBorders>
            <w:vAlign w:val="center"/>
          </w:tcPr>
          <w:p>
            <w:pPr>
              <w:spacing w:line="240" w:lineRule="auto"/>
            </w:pPr>
            <w:r>
              <w:rPr>
                <w:sz w:val="22"/>
              </w:rPr>
              <w:t>2</w:t>
            </w:r>
          </w:p>
        </w:tc>
        <w:tc>
          <w:tcPr>
            <w:tcW w:w="2076" w:type="dxa"/>
            <w:tcBorders>
              <w:top w:val="nil"/>
              <w:bottom w:val="nil"/>
            </w:tcBorders>
            <w:vAlign w:val="center"/>
          </w:tcPr>
          <w:p>
            <w:pPr>
              <w:spacing w:line="240" w:lineRule="auto"/>
            </w:pPr>
            <w:r>
              <w:rPr>
                <w:sz w:val="22"/>
              </w:rPr>
              <w:t>−0.81 to −0.21</w:t>
            </w:r>
          </w:p>
        </w:tc>
        <w:tc>
          <w:tcPr>
            <w:tcW w:w="1362" w:type="dxa"/>
            <w:tcBorders>
              <w:top w:val="nil"/>
              <w:bottom w:val="nil"/>
            </w:tcBorders>
            <w:vAlign w:val="center"/>
          </w:tcPr>
          <w:p>
            <w:pPr>
              <w:spacing w:line="240" w:lineRule="auto"/>
            </w:pPr>
            <w:r>
              <w:rPr>
                <w:sz w:val="22"/>
              </w:rPr>
              <w:t>—</w:t>
            </w:r>
          </w:p>
        </w:tc>
        <w:tc>
          <w:tcPr>
            <w:tcW w:w="1332" w:type="dxa"/>
            <w:tcBorders>
              <w:top w:val="nil"/>
              <w:bottom w:val="nil"/>
            </w:tcBorders>
            <w:vAlign w:val="center"/>
          </w:tcPr>
          <w:p>
            <w:pPr>
              <w:spacing w:line="240" w:lineRule="auto"/>
            </w:pPr>
            <w:r>
              <w:rPr>
                <w:sz w:val="22"/>
              </w:rPr>
              <w:t>0.153–0.713</w:t>
            </w:r>
          </w:p>
        </w:tc>
        <w:tc>
          <w:tcPr>
            <w:tcW w:w="616" w:type="dxa"/>
            <w:tcBorders>
              <w:top w:val="nil"/>
              <w:bottom w:val="nil"/>
            </w:tcBorders>
            <w:vAlign w:val="center"/>
          </w:tcPr>
          <w:p>
            <w:pPr>
              <w:spacing w:line="240" w:lineRule="auto"/>
            </w:pPr>
            <w:r>
              <w:rPr>
                <w:sz w:val="22"/>
              </w:rPr>
              <w:t>—</w:t>
            </w:r>
          </w:p>
        </w:tc>
      </w:tr>
      <w:tr>
        <w:trPr>
          <w:trHeight w:val="291"/>
          <w:jc w:val="center"/>
        </w:trPr>
        <w:tc>
          <w:tcPr>
            <w:tcW w:w="3398" w:type="dxa"/>
            <w:tcBorders>
              <w:top w:val="nil"/>
              <w:bottom w:val="nil"/>
            </w:tcBorders>
            <w:vAlign w:val="center"/>
          </w:tcPr>
          <w:p>
            <w:pPr>
              <w:spacing w:line="240" w:lineRule="auto"/>
            </w:pPr>
            <w:r>
              <w:rPr>
                <w:sz w:val="22"/>
              </w:rPr>
              <w:t>Excluding low-quality studies</w:t>
            </w:r>
          </w:p>
        </w:tc>
        <w:tc>
          <w:tcPr>
            <w:tcW w:w="352" w:type="dxa"/>
            <w:tcBorders>
              <w:top w:val="nil"/>
              <w:bottom w:val="nil"/>
            </w:tcBorders>
            <w:vAlign w:val="center"/>
          </w:tcPr>
          <w:p>
            <w:pPr>
              <w:spacing w:line="240" w:lineRule="auto"/>
            </w:pPr>
            <w:r>
              <w:rPr>
                <w:sz w:val="22"/>
              </w:rPr>
              <w:t>0</w:t>
            </w:r>
          </w:p>
        </w:tc>
        <w:tc>
          <w:tcPr>
            <w:tcW w:w="2076" w:type="dxa"/>
            <w:tcBorders>
              <w:top w:val="nil"/>
              <w:bottom w:val="nil"/>
            </w:tcBorders>
            <w:vAlign w:val="center"/>
          </w:tcPr>
          <w:p>
            <w:pPr>
              <w:spacing w:line="240" w:lineRule="auto"/>
            </w:pPr>
            <w:r>
              <w:rPr>
                <w:sz w:val="22"/>
              </w:rPr>
              <w:t>Not estimable</w:t>
            </w:r>
          </w:p>
        </w:tc>
        <w:tc>
          <w:tcPr>
            <w:tcW w:w="1362" w:type="dxa"/>
            <w:tcBorders>
              <w:top w:val="nil"/>
              <w:bottom w:val="nil"/>
            </w:tcBorders>
            <w:vAlign w:val="center"/>
          </w:tcPr>
          <w:p>
            <w:pPr>
              <w:spacing w:line="240" w:lineRule="auto"/>
            </w:pPr>
            <w:r>
              <w:rPr>
                <w:sz w:val="22"/>
              </w:rPr>
              <w:t>—</w:t>
            </w:r>
          </w:p>
        </w:tc>
        <w:tc>
          <w:tcPr>
            <w:tcW w:w="1332" w:type="dxa"/>
            <w:tcBorders>
              <w:top w:val="nil"/>
              <w:bottom w:val="nil"/>
            </w:tcBorders>
            <w:vAlign w:val="center"/>
          </w:tcPr>
          <w:p>
            <w:pPr>
              <w:spacing w:line="240" w:lineRule="auto"/>
            </w:pPr>
            <w:r>
              <w:rPr>
                <w:sz w:val="22"/>
              </w:rPr>
              <w:t>—</w:t>
            </w:r>
          </w:p>
        </w:tc>
        <w:tc>
          <w:tcPr>
            <w:tcW w:w="616" w:type="dxa"/>
            <w:tcBorders>
              <w:top w:val="nil"/>
              <w:bottom w:val="nil"/>
            </w:tcBorders>
            <w:vAlign w:val="center"/>
          </w:tcPr>
          <w:p>
            <w:pPr>
              <w:spacing w:line="240" w:lineRule="auto"/>
            </w:pPr>
            <w:r>
              <w:rPr>
                <w:sz w:val="22"/>
              </w:rPr>
              <w:t>—</w:t>
            </w:r>
          </w:p>
        </w:tc>
      </w:tr>
      <w:tr>
        <w:trPr>
          <w:trHeight w:val="291"/>
          <w:jc w:val="center"/>
        </w:trPr>
        <w:tc>
          <w:tcPr>
            <w:tcW w:w="3398" w:type="dxa"/>
            <w:tcBorders>
              <w:top w:val="nil"/>
              <w:bottom w:val="nil"/>
            </w:tcBorders>
            <w:vAlign w:val="center"/>
          </w:tcPr>
          <w:p>
            <w:pPr>
              <w:spacing w:line="240" w:lineRule="auto"/>
            </w:pPr>
            <w:r>
              <w:rPr>
                <w:sz w:val="22"/>
              </w:rPr>
              <w:t>Sample size from observations</w:t>
            </w:r>
          </w:p>
        </w:tc>
        <w:tc>
          <w:tcPr>
            <w:tcW w:w="352" w:type="dxa"/>
            <w:tcBorders>
              <w:top w:val="nil"/>
              <w:bottom w:val="nil"/>
            </w:tcBorders>
            <w:vAlign w:val="center"/>
          </w:tcPr>
          <w:p>
            <w:pPr>
              <w:spacing w:line="240" w:lineRule="auto"/>
            </w:pPr>
            <w:r>
              <w:rPr>
                <w:sz w:val="22"/>
              </w:rPr>
              <w:t>3</w:t>
            </w:r>
          </w:p>
        </w:tc>
        <w:tc>
          <w:tcPr>
            <w:tcW w:w="2076" w:type="dxa"/>
            <w:tcBorders>
              <w:top w:val="nil"/>
              <w:bottom w:val="nil"/>
            </w:tcBorders>
            <w:vAlign w:val="center"/>
          </w:tcPr>
          <w:p>
            <w:pPr>
              <w:spacing w:line="240" w:lineRule="auto"/>
            </w:pPr>
            <w:r>
              <w:rPr>
                <w:sz w:val="22"/>
              </w:rPr>
              <w:t>−0.44 [−2.05, +1.17]</w:t>
            </w:r>
          </w:p>
        </w:tc>
        <w:tc>
          <w:tcPr>
            <w:tcW w:w="1362" w:type="dxa"/>
            <w:tcBorders>
              <w:top w:val="nil"/>
              <w:bottom w:val="nil"/>
            </w:tcBorders>
            <w:vAlign w:val="center"/>
          </w:tcPr>
          <w:p>
            <w:pPr>
              <w:spacing w:line="240" w:lineRule="auto"/>
            </w:pPr>
            <w:r>
              <w:rPr>
                <w:sz w:val="22"/>
              </w:rPr>
              <w:t>—</w:t>
            </w:r>
          </w:p>
        </w:tc>
        <w:tc>
          <w:tcPr>
            <w:tcW w:w="1332" w:type="dxa"/>
            <w:tcBorders>
              <w:top w:val="nil"/>
              <w:bottom w:val="nil"/>
            </w:tcBorders>
            <w:vAlign w:val="center"/>
          </w:tcPr>
          <w:p>
            <w:pPr>
              <w:spacing w:line="240" w:lineRule="auto"/>
            </w:pPr>
            <w:r>
              <w:rPr>
                <w:sz w:val="22"/>
              </w:rPr>
              <w:t>0.362</w:t>
            </w:r>
          </w:p>
        </w:tc>
        <w:tc>
          <w:tcPr>
            <w:tcW w:w="616" w:type="dxa"/>
            <w:tcBorders>
              <w:top w:val="nil"/>
              <w:bottom w:val="nil"/>
            </w:tcBorders>
            <w:vAlign w:val="center"/>
          </w:tcPr>
          <w:p>
            <w:pPr>
              <w:spacing w:line="240" w:lineRule="auto"/>
            </w:pPr>
            <w:r>
              <w:rPr>
                <w:sz w:val="22"/>
              </w:rPr>
              <w:t>91.1</w:t>
            </w:r>
          </w:p>
        </w:tc>
      </w:tr>
      <w:tr>
        <w:trPr>
          <w:trHeight w:val="291"/>
          <w:jc w:val="center"/>
        </w:trPr>
        <w:tc>
          <w:tcPr>
            <w:tcW w:w="3398" w:type="dxa"/>
            <w:tcBorders>
              <w:top w:val="nil"/>
              <w:bottom w:val="nil"/>
            </w:tcBorders>
            <w:vAlign w:val="center"/>
          </w:tcPr>
          <w:p>
            <w:pPr>
              <w:spacing w:line="240" w:lineRule="auto"/>
            </w:pPr>
            <w:r>
              <w:rPr>
                <w:sz w:val="22"/>
              </w:rPr>
              <w:t>Excluding imputed input</w:t>
            </w:r>
          </w:p>
        </w:tc>
        <w:tc>
          <w:tcPr>
            <w:tcW w:w="352" w:type="dxa"/>
            <w:tcBorders>
              <w:top w:val="nil"/>
              <w:bottom w:val="nil"/>
            </w:tcBorders>
            <w:vAlign w:val="center"/>
          </w:tcPr>
          <w:p>
            <w:pPr>
              <w:spacing w:line="240" w:lineRule="auto"/>
            </w:pPr>
            <w:r>
              <w:rPr>
                <w:sz w:val="22"/>
              </w:rPr>
              <w:t>2</w:t>
            </w:r>
          </w:p>
        </w:tc>
        <w:tc>
          <w:tcPr>
            <w:tcW w:w="2076" w:type="dxa"/>
            <w:tcBorders>
              <w:top w:val="nil"/>
              <w:bottom w:val="nil"/>
            </w:tcBorders>
            <w:vAlign w:val="center"/>
          </w:tcPr>
          <w:p>
            <w:pPr>
              <w:spacing w:line="240" w:lineRule="auto"/>
            </w:pPr>
            <w:r>
              <w:rPr>
                <w:sz w:val="22"/>
              </w:rPr>
              <w:t>−0.40</w:t>
            </w:r>
          </w:p>
        </w:tc>
        <w:tc>
          <w:tcPr>
            <w:tcW w:w="1362" w:type="dxa"/>
            <w:tcBorders>
              <w:top w:val="nil"/>
              <w:bottom w:val="nil"/>
            </w:tcBorders>
            <w:vAlign w:val="center"/>
          </w:tcPr>
          <w:p>
            <w:pPr>
              <w:spacing w:line="240" w:lineRule="auto"/>
            </w:pPr>
            <w:r>
              <w:rPr>
                <w:sz w:val="22"/>
              </w:rPr>
              <w:t>—</w:t>
            </w:r>
          </w:p>
        </w:tc>
        <w:tc>
          <w:tcPr>
            <w:tcW w:w="1332" w:type="dxa"/>
            <w:tcBorders>
              <w:top w:val="nil"/>
              <w:bottom w:val="nil"/>
            </w:tcBorders>
            <w:vAlign w:val="center"/>
          </w:tcPr>
          <w:p>
            <w:pPr>
              <w:spacing w:line="240" w:lineRule="auto"/>
            </w:pPr>
            <w:r>
              <w:rPr>
                <w:sz w:val="22"/>
              </w:rPr>
              <w:t>0.641</w:t>
            </w:r>
          </w:p>
        </w:tc>
        <w:tc>
          <w:tcPr>
            <w:tcW w:w="616" w:type="dxa"/>
            <w:tcBorders>
              <w:top w:val="nil"/>
              <w:bottom w:val="nil"/>
            </w:tcBorders>
            <w:vAlign w:val="center"/>
          </w:tcPr>
          <w:p>
            <w:pPr>
              <w:spacing w:line="240" w:lineRule="auto"/>
            </w:pPr>
            <w:r>
              <w:rPr>
                <w:sz w:val="22"/>
              </w:rPr>
              <w:t>90.1</w:t>
            </w:r>
          </w:p>
        </w:tc>
      </w:tr>
      <w:tr>
        <w:trPr>
          <w:trHeight w:val="291"/>
          <w:jc w:val="center"/>
        </w:trPr>
        <w:tc>
          <w:tcPr>
            <w:tcW w:w="3398" w:type="dxa"/>
            <w:tcBorders>
              <w:top w:val="nil"/>
              <w:bottom w:val="single" w:sz="4" w:space="0" w:color="auto"/>
            </w:tcBorders>
            <w:vAlign w:val="center"/>
          </w:tcPr>
          <w:p>
            <w:pPr>
              <w:spacing w:line="240" w:lineRule="auto"/>
            </w:pPr>
            <w:r>
              <w:rPr>
                <w:sz w:val="22"/>
              </w:rPr>
              <w:t>Adding background-music study</w:t>
            </w:r>
          </w:p>
        </w:tc>
        <w:tc>
          <w:tcPr>
            <w:tcW w:w="352" w:type="dxa"/>
            <w:tcBorders>
              <w:top w:val="nil"/>
              <w:bottom w:val="single" w:sz="4" w:space="0" w:color="auto"/>
            </w:tcBorders>
            <w:vAlign w:val="center"/>
          </w:tcPr>
          <w:p>
            <w:pPr>
              <w:spacing w:line="240" w:lineRule="auto"/>
            </w:pPr>
            <w:r>
              <w:rPr>
                <w:sz w:val="22"/>
              </w:rPr>
              <w:t>4</w:t>
            </w:r>
          </w:p>
        </w:tc>
        <w:tc>
          <w:tcPr>
            <w:tcW w:w="2076" w:type="dxa"/>
            <w:tcBorders>
              <w:top w:val="nil"/>
              <w:bottom w:val="single" w:sz="4" w:space="0" w:color="auto"/>
            </w:tcBorders>
            <w:vAlign w:val="center"/>
          </w:tcPr>
          <w:p>
            <w:pPr>
              <w:spacing w:line="240" w:lineRule="auto"/>
            </w:pPr>
            <w:r>
              <w:rPr>
                <w:sz w:val="22"/>
              </w:rPr>
              <w:t>−0.77 [−2.03, +0.48]</w:t>
            </w:r>
          </w:p>
        </w:tc>
        <w:tc>
          <w:tcPr>
            <w:tcW w:w="1362" w:type="dxa"/>
            <w:tcBorders>
              <w:top w:val="nil"/>
              <w:bottom w:val="single" w:sz="4" w:space="0" w:color="auto"/>
            </w:tcBorders>
            <w:vAlign w:val="center"/>
          </w:tcPr>
          <w:p>
            <w:pPr>
              <w:spacing w:line="240" w:lineRule="auto"/>
            </w:pPr>
            <w:r>
              <w:rPr>
                <w:sz w:val="22"/>
              </w:rPr>
              <w:t>—</w:t>
            </w:r>
          </w:p>
        </w:tc>
        <w:tc>
          <w:tcPr>
            <w:tcW w:w="1332" w:type="dxa"/>
            <w:tcBorders>
              <w:top w:val="nil"/>
              <w:bottom w:val="single" w:sz="4" w:space="0" w:color="auto"/>
            </w:tcBorders>
            <w:vAlign w:val="center"/>
          </w:tcPr>
          <w:p>
            <w:pPr>
              <w:spacing w:line="240" w:lineRule="auto"/>
            </w:pPr>
            <w:r>
              <w:rPr>
                <w:sz w:val="22"/>
              </w:rPr>
              <w:t>0.145</w:t>
            </w:r>
          </w:p>
        </w:tc>
        <w:tc>
          <w:tcPr>
            <w:tcW w:w="616" w:type="dxa"/>
            <w:tcBorders>
              <w:top w:val="nil"/>
              <w:bottom w:val="single" w:sz="4" w:space="0" w:color="auto"/>
            </w:tcBorders>
            <w:vAlign w:val="center"/>
          </w:tcPr>
          <w:p>
            <w:pPr>
              <w:spacing w:line="240" w:lineRule="auto"/>
            </w:pPr>
            <w:r>
              <w:rPr>
                <w:sz w:val="22"/>
              </w:rPr>
              <w:t>88.6</w:t>
            </w:r>
          </w:p>
        </w:tc>
      </w:tr>
      <w:tr>
        <w:trPr>
          <w:trHeight w:val="291"/>
          <w:jc w:val="center"/>
        </w:trPr>
        <w:tc>
          <w:tcPr>
            <w:tcW w:w="9136" w:type="dxa"/>
            <w:gridSpan w:val="6"/>
            <w:vAlign w:val="center"/>
          </w:tcPr>
          <w:p>
            <w:pPr>
              <w:spacing w:line="240" w:lineRule="auto"/>
            </w:pPr>
            <w:r>
              <w:rPr>
                <w:b/>
                <w:sz w:val="22"/>
              </w:rPr>
              <w:t>Staying / dwell time (Hedges' g)</w:t>
            </w:r>
          </w:p>
        </w:tc>
      </w:tr>
      <w:tr>
        <w:trPr>
          <w:trHeight w:val="291"/>
          <w:jc w:val="center"/>
        </w:trPr>
        <w:tc>
          <w:tcPr>
            <w:tcW w:w="3398" w:type="dxa"/>
            <w:tcBorders>
              <w:top w:val="single" w:sz="4" w:space="0" w:color="auto"/>
              <w:bottom w:val="nil"/>
            </w:tcBorders>
            <w:vAlign w:val="center"/>
          </w:tcPr>
          <w:p>
            <w:pPr>
              <w:spacing w:line="240" w:lineRule="auto"/>
            </w:pPr>
            <w:r>
              <w:rPr>
                <w:sz w:val="22"/>
              </w:rPr>
              <w:t>Main analysis</w:t>
            </w:r>
          </w:p>
        </w:tc>
        <w:tc>
          <w:tcPr>
            <w:tcW w:w="352" w:type="dxa"/>
            <w:tcBorders>
              <w:top w:val="single" w:sz="4" w:space="0" w:color="auto"/>
              <w:bottom w:val="nil"/>
            </w:tcBorders>
            <w:vAlign w:val="center"/>
          </w:tcPr>
          <w:p>
            <w:pPr>
              <w:spacing w:line="240" w:lineRule="auto"/>
            </w:pPr>
            <w:r>
              <w:rPr>
                <w:sz w:val="22"/>
              </w:rPr>
              <w:t>3</w:t>
            </w:r>
          </w:p>
        </w:tc>
        <w:tc>
          <w:tcPr>
            <w:tcW w:w="2076" w:type="dxa"/>
            <w:tcBorders>
              <w:top w:val="single" w:sz="4" w:space="0" w:color="auto"/>
              <w:bottom w:val="nil"/>
            </w:tcBorders>
            <w:vAlign w:val="center"/>
          </w:tcPr>
          <w:p>
            <w:pPr>
              <w:spacing w:line="240" w:lineRule="auto"/>
            </w:pPr>
            <w:r>
              <w:rPr>
                <w:sz w:val="22"/>
              </w:rPr>
              <w:t>+0.34 [−0.09, +0.78]</w:t>
            </w:r>
          </w:p>
        </w:tc>
        <w:tc>
          <w:tcPr>
            <w:tcW w:w="1362" w:type="dxa"/>
            <w:tcBorders>
              <w:top w:val="single" w:sz="4" w:space="0" w:color="auto"/>
              <w:bottom w:val="nil"/>
            </w:tcBorders>
            <w:vAlign w:val="center"/>
          </w:tcPr>
          <w:p>
            <w:pPr>
              <w:spacing w:line="240" w:lineRule="auto"/>
            </w:pPr>
            <w:r>
              <w:rPr>
                <w:sz w:val="22"/>
              </w:rPr>
              <w:t>−1.67, +2.36</w:t>
            </w:r>
          </w:p>
        </w:tc>
        <w:tc>
          <w:tcPr>
            <w:tcW w:w="1332" w:type="dxa"/>
            <w:tcBorders>
              <w:top w:val="single" w:sz="4" w:space="0" w:color="auto"/>
              <w:bottom w:val="nil"/>
            </w:tcBorders>
            <w:vAlign w:val="center"/>
          </w:tcPr>
          <w:p>
            <w:pPr>
              <w:spacing w:line="240" w:lineRule="auto"/>
            </w:pPr>
            <w:r>
              <w:rPr>
                <w:sz w:val="22"/>
              </w:rPr>
              <w:t>0.077</w:t>
            </w:r>
          </w:p>
        </w:tc>
        <w:tc>
          <w:tcPr>
            <w:tcW w:w="616" w:type="dxa"/>
            <w:tcBorders>
              <w:top w:val="single" w:sz="4" w:space="0" w:color="auto"/>
              <w:bottom w:val="nil"/>
            </w:tcBorders>
            <w:vAlign w:val="center"/>
          </w:tcPr>
          <w:p>
            <w:pPr>
              <w:spacing w:line="240" w:lineRule="auto"/>
            </w:pPr>
            <w:r>
              <w:rPr>
                <w:sz w:val="22"/>
              </w:rPr>
              <w:t>54.4</w:t>
            </w:r>
          </w:p>
        </w:tc>
      </w:tr>
      <w:tr>
        <w:trPr>
          <w:trHeight w:val="291"/>
          <w:jc w:val="center"/>
        </w:trPr>
        <w:tc>
          <w:tcPr>
            <w:tcW w:w="3398" w:type="dxa"/>
            <w:tcBorders>
              <w:top w:val="nil"/>
              <w:bottom w:val="nil"/>
            </w:tcBorders>
            <w:vAlign w:val="center"/>
          </w:tcPr>
          <w:p>
            <w:pPr>
              <w:spacing w:line="240" w:lineRule="auto"/>
            </w:pPr>
            <w:r>
              <w:rPr>
                <w:sz w:val="22"/>
              </w:rPr>
              <w:t>Leave-one-out (range)</w:t>
            </w:r>
          </w:p>
        </w:tc>
        <w:tc>
          <w:tcPr>
            <w:tcW w:w="352" w:type="dxa"/>
            <w:tcBorders>
              <w:top w:val="nil"/>
              <w:bottom w:val="nil"/>
            </w:tcBorders>
            <w:vAlign w:val="center"/>
          </w:tcPr>
          <w:p>
            <w:pPr>
              <w:spacing w:line="240" w:lineRule="auto"/>
            </w:pPr>
            <w:r>
              <w:rPr>
                <w:sz w:val="22"/>
              </w:rPr>
              <w:t>2</w:t>
            </w:r>
          </w:p>
        </w:tc>
        <w:tc>
          <w:tcPr>
            <w:tcW w:w="2076" w:type="dxa"/>
            <w:tcBorders>
              <w:top w:val="nil"/>
              <w:bottom w:val="nil"/>
            </w:tcBorders>
            <w:vAlign w:val="center"/>
          </w:tcPr>
          <w:p>
            <w:pPr>
              <w:spacing w:line="240" w:lineRule="auto"/>
            </w:pPr>
            <w:r>
              <w:rPr>
                <w:sz w:val="22"/>
              </w:rPr>
              <w:t>+0.29 to +0.43</w:t>
            </w:r>
          </w:p>
        </w:tc>
        <w:tc>
          <w:tcPr>
            <w:tcW w:w="1362" w:type="dxa"/>
            <w:tcBorders>
              <w:top w:val="nil"/>
              <w:bottom w:val="nil"/>
            </w:tcBorders>
            <w:vAlign w:val="center"/>
          </w:tcPr>
          <w:p>
            <w:pPr>
              <w:spacing w:line="240" w:lineRule="auto"/>
            </w:pPr>
            <w:r>
              <w:rPr>
                <w:sz w:val="22"/>
              </w:rPr>
              <w:t>—</w:t>
            </w:r>
          </w:p>
        </w:tc>
        <w:tc>
          <w:tcPr>
            <w:tcW w:w="1332" w:type="dxa"/>
            <w:tcBorders>
              <w:top w:val="nil"/>
              <w:bottom w:val="nil"/>
            </w:tcBorders>
            <w:vAlign w:val="center"/>
          </w:tcPr>
          <w:p>
            <w:pPr>
              <w:spacing w:line="240" w:lineRule="auto"/>
            </w:pPr>
            <w:r>
              <w:rPr>
                <w:sz w:val="22"/>
              </w:rPr>
              <w:t>0.131–0.310</w:t>
            </w:r>
          </w:p>
        </w:tc>
        <w:tc>
          <w:tcPr>
            <w:tcW w:w="616" w:type="dxa"/>
            <w:tcBorders>
              <w:top w:val="nil"/>
              <w:bottom w:val="nil"/>
            </w:tcBorders>
            <w:vAlign w:val="center"/>
          </w:tcPr>
          <w:p>
            <w:pPr>
              <w:spacing w:line="240" w:lineRule="auto"/>
            </w:pPr>
            <w:r>
              <w:rPr>
                <w:sz w:val="22"/>
              </w:rPr>
              <w:t>—</w:t>
            </w:r>
          </w:p>
        </w:tc>
      </w:tr>
      <w:tr>
        <w:trPr>
          <w:trHeight w:val="291"/>
          <w:jc w:val="center"/>
        </w:trPr>
        <w:tc>
          <w:tcPr>
            <w:tcW w:w="3398" w:type="dxa"/>
            <w:tcBorders>
              <w:top w:val="nil"/>
              <w:bottom w:val="nil"/>
            </w:tcBorders>
            <w:vAlign w:val="center"/>
          </w:tcPr>
          <w:p>
            <w:pPr>
              <w:spacing w:line="240" w:lineRule="auto"/>
            </w:pPr>
            <w:r>
              <w:rPr>
                <w:sz w:val="22"/>
              </w:rPr>
              <w:t>Excluding imputed input</w:t>
            </w:r>
          </w:p>
        </w:tc>
        <w:tc>
          <w:tcPr>
            <w:tcW w:w="352" w:type="dxa"/>
            <w:tcBorders>
              <w:top w:val="nil"/>
              <w:bottom w:val="nil"/>
            </w:tcBorders>
            <w:vAlign w:val="center"/>
          </w:tcPr>
          <w:p>
            <w:pPr>
              <w:spacing w:line="240" w:lineRule="auto"/>
            </w:pPr>
            <w:r>
              <w:rPr>
                <w:sz w:val="22"/>
              </w:rPr>
              <w:t>2</w:t>
            </w:r>
          </w:p>
        </w:tc>
        <w:tc>
          <w:tcPr>
            <w:tcW w:w="2076" w:type="dxa"/>
            <w:tcBorders>
              <w:top w:val="nil"/>
              <w:bottom w:val="nil"/>
            </w:tcBorders>
            <w:vAlign w:val="center"/>
          </w:tcPr>
          <w:p>
            <w:pPr>
              <w:spacing w:line="240" w:lineRule="auto"/>
            </w:pPr>
            <w:r>
              <w:rPr>
                <w:sz w:val="22"/>
              </w:rPr>
              <w:t>+0.29</w:t>
            </w:r>
          </w:p>
        </w:tc>
        <w:tc>
          <w:tcPr>
            <w:tcW w:w="1362" w:type="dxa"/>
            <w:tcBorders>
              <w:top w:val="nil"/>
              <w:bottom w:val="nil"/>
            </w:tcBorders>
            <w:vAlign w:val="center"/>
          </w:tcPr>
          <w:p>
            <w:pPr>
              <w:spacing w:line="240" w:lineRule="auto"/>
            </w:pPr>
            <w:r>
              <w:rPr>
                <w:sz w:val="22"/>
              </w:rPr>
              <w:t>—</w:t>
            </w:r>
          </w:p>
        </w:tc>
        <w:tc>
          <w:tcPr>
            <w:tcW w:w="1332" w:type="dxa"/>
            <w:tcBorders>
              <w:top w:val="nil"/>
              <w:bottom w:val="nil"/>
            </w:tcBorders>
            <w:vAlign w:val="center"/>
          </w:tcPr>
          <w:p>
            <w:pPr>
              <w:spacing w:line="240" w:lineRule="auto"/>
            </w:pPr>
            <w:r>
              <w:rPr>
                <w:sz w:val="22"/>
              </w:rPr>
              <w:t>0.185</w:t>
            </w:r>
          </w:p>
        </w:tc>
        <w:tc>
          <w:tcPr>
            <w:tcW w:w="616" w:type="dxa"/>
            <w:tcBorders>
              <w:top w:val="nil"/>
              <w:bottom w:val="nil"/>
            </w:tcBorders>
            <w:vAlign w:val="center"/>
          </w:tcPr>
          <w:p>
            <w:pPr>
              <w:spacing w:line="240" w:lineRule="auto"/>
            </w:pPr>
            <w:r>
              <w:rPr>
                <w:sz w:val="22"/>
              </w:rPr>
              <w:t>46.9</w:t>
            </w:r>
          </w:p>
        </w:tc>
      </w:tr>
      <w:tr>
        <w:trPr>
          <w:trHeight w:val="291"/>
          <w:jc w:val="center"/>
        </w:trPr>
        <w:tc>
          <w:tcPr>
            <w:tcW w:w="3398" w:type="dxa"/>
            <w:tcBorders>
              <w:top w:val="nil"/>
              <w:bottom w:val="single" w:sz="4" w:space="0" w:color="auto"/>
            </w:tcBorders>
            <w:vAlign w:val="center"/>
          </w:tcPr>
          <w:p>
            <w:pPr>
              <w:spacing w:line="240" w:lineRule="auto"/>
            </w:pPr>
            <w:r>
              <w:rPr>
                <w:sz w:val="22"/>
              </w:rPr>
              <w:t>Adding visit-frequency outcome</w:t>
            </w:r>
          </w:p>
        </w:tc>
        <w:tc>
          <w:tcPr>
            <w:tcW w:w="352" w:type="dxa"/>
            <w:tcBorders>
              <w:top w:val="nil"/>
              <w:bottom w:val="single" w:sz="4" w:space="0" w:color="auto"/>
            </w:tcBorders>
            <w:vAlign w:val="center"/>
          </w:tcPr>
          <w:p>
            <w:pPr>
              <w:spacing w:line="240" w:lineRule="auto"/>
            </w:pPr>
            <w:r>
              <w:rPr>
                <w:sz w:val="22"/>
              </w:rPr>
              <w:t>4</w:t>
            </w:r>
          </w:p>
        </w:tc>
        <w:tc>
          <w:tcPr>
            <w:tcW w:w="2076" w:type="dxa"/>
            <w:tcBorders>
              <w:top w:val="nil"/>
              <w:bottom w:val="single" w:sz="4" w:space="0" w:color="auto"/>
            </w:tcBorders>
            <w:vAlign w:val="center"/>
          </w:tcPr>
          <w:p>
            <w:pPr>
              <w:spacing w:line="240" w:lineRule="auto"/>
            </w:pPr>
            <w:r>
              <w:rPr>
                <w:sz w:val="22"/>
              </w:rPr>
              <w:t>+0.20 [−0.58, +0.99]</w:t>
            </w:r>
          </w:p>
        </w:tc>
        <w:tc>
          <w:tcPr>
            <w:tcW w:w="1362" w:type="dxa"/>
            <w:tcBorders>
              <w:top w:val="nil"/>
              <w:bottom w:val="single" w:sz="4" w:space="0" w:color="auto"/>
            </w:tcBorders>
            <w:vAlign w:val="center"/>
          </w:tcPr>
          <w:p>
            <w:pPr>
              <w:spacing w:line="240" w:lineRule="auto"/>
            </w:pPr>
            <w:r>
              <w:rPr>
                <w:sz w:val="22"/>
              </w:rPr>
              <w:t>—</w:t>
            </w:r>
          </w:p>
        </w:tc>
        <w:tc>
          <w:tcPr>
            <w:tcW w:w="1332" w:type="dxa"/>
            <w:tcBorders>
              <w:top w:val="nil"/>
              <w:bottom w:val="single" w:sz="4" w:space="0" w:color="auto"/>
            </w:tcBorders>
            <w:vAlign w:val="center"/>
          </w:tcPr>
          <w:p>
            <w:pPr>
              <w:spacing w:line="240" w:lineRule="auto"/>
            </w:pPr>
            <w:r>
              <w:rPr>
                <w:sz w:val="22"/>
              </w:rPr>
              <w:t>0.471</w:t>
            </w:r>
          </w:p>
        </w:tc>
        <w:tc>
          <w:tcPr>
            <w:tcW w:w="616" w:type="dxa"/>
            <w:tcBorders>
              <w:top w:val="nil"/>
              <w:bottom w:val="single" w:sz="4" w:space="0" w:color="auto"/>
            </w:tcBorders>
            <w:vAlign w:val="center"/>
          </w:tcPr>
          <w:p>
            <w:pPr>
              <w:spacing w:line="240" w:lineRule="auto"/>
            </w:pPr>
            <w:r>
              <w:rPr>
                <w:sz w:val="22"/>
              </w:rPr>
              <w:t>75.5</w:t>
            </w:r>
          </w:p>
        </w:tc>
      </w:tr>
      <w:tr>
        <w:trPr>
          <w:trHeight w:val="291"/>
          <w:jc w:val="center"/>
        </w:trPr>
        <w:tc>
          <w:tcPr>
            <w:tcW w:w="9136" w:type="dxa"/>
            <w:gridSpan w:val="6"/>
            <w:vAlign w:val="center"/>
          </w:tcPr>
          <w:p>
            <w:pPr>
              <w:spacing w:line="240" w:lineRule="auto"/>
            </w:pPr>
            <w:r>
              <w:rPr>
                <w:b/>
                <w:sz w:val="22"/>
              </w:rPr>
              <w:t>Social interaction (Hedges' g)</w:t>
            </w:r>
          </w:p>
        </w:tc>
      </w:tr>
      <w:tr>
        <w:trPr>
          <w:trHeight w:val="291"/>
          <w:jc w:val="center"/>
        </w:trPr>
        <w:tc>
          <w:tcPr>
            <w:tcW w:w="3398" w:type="dxa"/>
            <w:tcBorders>
              <w:top w:val="single" w:sz="4" w:space="0" w:color="auto"/>
              <w:bottom w:val="nil"/>
            </w:tcBorders>
            <w:vAlign w:val="center"/>
          </w:tcPr>
          <w:p>
            <w:pPr>
              <w:spacing w:line="240" w:lineRule="auto"/>
            </w:pPr>
            <w:r>
              <w:rPr>
                <w:sz w:val="22"/>
              </w:rPr>
              <w:t>Main analysis</w:t>
            </w:r>
          </w:p>
        </w:tc>
        <w:tc>
          <w:tcPr>
            <w:tcW w:w="352" w:type="dxa"/>
            <w:tcBorders>
              <w:top w:val="single" w:sz="4" w:space="0" w:color="auto"/>
              <w:bottom w:val="nil"/>
            </w:tcBorders>
            <w:vAlign w:val="center"/>
          </w:tcPr>
          <w:p>
            <w:pPr>
              <w:spacing w:line="240" w:lineRule="auto"/>
            </w:pPr>
            <w:r>
              <w:rPr>
                <w:sz w:val="22"/>
              </w:rPr>
              <w:t>4</w:t>
            </w:r>
          </w:p>
        </w:tc>
        <w:tc>
          <w:tcPr>
            <w:tcW w:w="2076" w:type="dxa"/>
            <w:tcBorders>
              <w:top w:val="single" w:sz="4" w:space="0" w:color="auto"/>
              <w:bottom w:val="nil"/>
            </w:tcBorders>
            <w:vAlign w:val="center"/>
          </w:tcPr>
          <w:p>
            <w:pPr>
              <w:spacing w:line="240" w:lineRule="auto"/>
            </w:pPr>
            <w:r>
              <w:rPr>
                <w:sz w:val="22"/>
              </w:rPr>
              <w:t>+0.68 [+0.20, +1.16]</w:t>
            </w:r>
          </w:p>
        </w:tc>
        <w:tc>
          <w:tcPr>
            <w:tcW w:w="1362" w:type="dxa"/>
            <w:tcBorders>
              <w:top w:val="single" w:sz="4" w:space="0" w:color="auto"/>
              <w:bottom w:val="nil"/>
            </w:tcBorders>
            <w:vAlign w:val="center"/>
          </w:tcPr>
          <w:p>
            <w:pPr>
              <w:spacing w:line="240" w:lineRule="auto"/>
            </w:pPr>
            <w:r>
              <w:rPr>
                <w:sz w:val="22"/>
              </w:rPr>
              <w:t>−0.42, +1.78</w:t>
            </w:r>
          </w:p>
        </w:tc>
        <w:tc>
          <w:tcPr>
            <w:tcW w:w="1332" w:type="dxa"/>
            <w:tcBorders>
              <w:top w:val="single" w:sz="4" w:space="0" w:color="auto"/>
              <w:bottom w:val="nil"/>
            </w:tcBorders>
            <w:vAlign w:val="center"/>
          </w:tcPr>
          <w:p>
            <w:pPr>
              <w:spacing w:line="240" w:lineRule="auto"/>
            </w:pPr>
            <w:r>
              <w:rPr>
                <w:sz w:val="22"/>
              </w:rPr>
              <w:t>0.020</w:t>
            </w:r>
          </w:p>
        </w:tc>
        <w:tc>
          <w:tcPr>
            <w:tcW w:w="616" w:type="dxa"/>
            <w:tcBorders>
              <w:top w:val="single" w:sz="4" w:space="0" w:color="auto"/>
              <w:bottom w:val="nil"/>
            </w:tcBorders>
            <w:vAlign w:val="center"/>
          </w:tcPr>
          <w:p>
            <w:pPr>
              <w:spacing w:line="240" w:lineRule="auto"/>
            </w:pPr>
            <w:r>
              <w:rPr>
                <w:sz w:val="22"/>
              </w:rPr>
              <w:t>48.6</w:t>
            </w:r>
          </w:p>
        </w:tc>
      </w:tr>
      <w:tr>
        <w:trPr>
          <w:trHeight w:val="291"/>
          <w:jc w:val="center"/>
        </w:trPr>
        <w:tc>
          <w:tcPr>
            <w:tcW w:w="3398" w:type="dxa"/>
            <w:tcBorders>
              <w:top w:val="nil"/>
              <w:bottom w:val="nil"/>
            </w:tcBorders>
            <w:vAlign w:val="center"/>
          </w:tcPr>
          <w:p>
            <w:pPr>
              <w:spacing w:line="240" w:lineRule="auto"/>
            </w:pPr>
            <w:r>
              <w:rPr>
                <w:sz w:val="22"/>
              </w:rPr>
              <w:t>Leave-one-out (range)</w:t>
            </w:r>
          </w:p>
        </w:tc>
        <w:tc>
          <w:tcPr>
            <w:tcW w:w="352" w:type="dxa"/>
            <w:tcBorders>
              <w:top w:val="nil"/>
              <w:bottom w:val="nil"/>
            </w:tcBorders>
            <w:vAlign w:val="center"/>
          </w:tcPr>
          <w:p>
            <w:pPr>
              <w:spacing w:line="240" w:lineRule="auto"/>
            </w:pPr>
            <w:r>
              <w:rPr>
                <w:sz w:val="22"/>
              </w:rPr>
              <w:t>3</w:t>
            </w:r>
          </w:p>
        </w:tc>
        <w:tc>
          <w:tcPr>
            <w:tcW w:w="2076" w:type="dxa"/>
            <w:tcBorders>
              <w:top w:val="nil"/>
              <w:bottom w:val="nil"/>
            </w:tcBorders>
            <w:vAlign w:val="center"/>
          </w:tcPr>
          <w:p>
            <w:pPr>
              <w:spacing w:line="240" w:lineRule="auto"/>
            </w:pPr>
            <w:r>
              <w:rPr>
                <w:sz w:val="22"/>
              </w:rPr>
              <w:t>+0.56 to +0.80</w:t>
            </w:r>
          </w:p>
        </w:tc>
        <w:tc>
          <w:tcPr>
            <w:tcW w:w="1362" w:type="dxa"/>
            <w:tcBorders>
              <w:top w:val="nil"/>
              <w:bottom w:val="nil"/>
            </w:tcBorders>
            <w:vAlign w:val="center"/>
          </w:tcPr>
          <w:p>
            <w:pPr>
              <w:spacing w:line="240" w:lineRule="auto"/>
            </w:pPr>
            <w:r>
              <w:rPr>
                <w:sz w:val="22"/>
              </w:rPr>
              <w:t>—</w:t>
            </w:r>
          </w:p>
        </w:tc>
        <w:tc>
          <w:tcPr>
            <w:tcW w:w="1332" w:type="dxa"/>
            <w:tcBorders>
              <w:top w:val="nil"/>
              <w:bottom w:val="nil"/>
            </w:tcBorders>
            <w:vAlign w:val="center"/>
          </w:tcPr>
          <w:p>
            <w:pPr>
              <w:spacing w:line="240" w:lineRule="auto"/>
            </w:pPr>
            <w:r>
              <w:rPr>
                <w:sz w:val="22"/>
              </w:rPr>
              <w:t>0.041–0.066</w:t>
            </w:r>
          </w:p>
        </w:tc>
        <w:tc>
          <w:tcPr>
            <w:tcW w:w="616" w:type="dxa"/>
            <w:tcBorders>
              <w:top w:val="nil"/>
              <w:bottom w:val="nil"/>
            </w:tcBorders>
            <w:vAlign w:val="center"/>
          </w:tcPr>
          <w:p>
            <w:pPr>
              <w:spacing w:line="240" w:lineRule="auto"/>
            </w:pPr>
            <w:r>
              <w:rPr>
                <w:sz w:val="22"/>
              </w:rPr>
              <w:t>—</w:t>
            </w:r>
          </w:p>
        </w:tc>
      </w:tr>
      <w:tr>
        <w:trPr>
          <w:trHeight w:val="291"/>
          <w:jc w:val="center"/>
        </w:trPr>
        <w:tc>
          <w:tcPr>
            <w:tcW w:w="3398" w:type="dxa"/>
            <w:tcBorders>
              <w:top w:val="nil"/>
              <w:bottom w:val="nil"/>
            </w:tcBorders>
            <w:vAlign w:val="center"/>
          </w:tcPr>
          <w:p>
            <w:pPr>
              <w:spacing w:line="240" w:lineRule="auto"/>
            </w:pPr>
            <w:r>
              <w:rPr>
                <w:sz w:val="22"/>
              </w:rPr>
              <w:t>Excluding citation-searching study</w:t>
            </w:r>
          </w:p>
        </w:tc>
        <w:tc>
          <w:tcPr>
            <w:tcW w:w="352" w:type="dxa"/>
            <w:tcBorders>
              <w:top w:val="nil"/>
              <w:bottom w:val="nil"/>
            </w:tcBorders>
            <w:vAlign w:val="center"/>
          </w:tcPr>
          <w:p>
            <w:pPr>
              <w:spacing w:line="240" w:lineRule="auto"/>
            </w:pPr>
            <w:r>
              <w:rPr>
                <w:sz w:val="22"/>
              </w:rPr>
              <w:t>3</w:t>
            </w:r>
          </w:p>
        </w:tc>
        <w:tc>
          <w:tcPr>
            <w:tcW w:w="2076" w:type="dxa"/>
            <w:tcBorders>
              <w:top w:val="nil"/>
              <w:bottom w:val="nil"/>
            </w:tcBorders>
            <w:vAlign w:val="center"/>
          </w:tcPr>
          <w:p>
            <w:pPr>
              <w:spacing w:line="240" w:lineRule="auto"/>
            </w:pPr>
            <w:r>
              <w:rPr>
                <w:sz w:val="22"/>
              </w:rPr>
              <w:t>+0.60 [−0.04, +1.24]</w:t>
            </w:r>
          </w:p>
        </w:tc>
        <w:tc>
          <w:tcPr>
            <w:tcW w:w="1362" w:type="dxa"/>
            <w:tcBorders>
              <w:top w:val="nil"/>
              <w:bottom w:val="nil"/>
            </w:tcBorders>
            <w:vAlign w:val="center"/>
          </w:tcPr>
          <w:p>
            <w:pPr>
              <w:spacing w:line="240" w:lineRule="auto"/>
            </w:pPr>
            <w:r>
              <w:rPr>
                <w:sz w:val="22"/>
              </w:rPr>
              <w:t>—</w:t>
            </w:r>
          </w:p>
        </w:tc>
        <w:tc>
          <w:tcPr>
            <w:tcW w:w="1332" w:type="dxa"/>
            <w:tcBorders>
              <w:top w:val="nil"/>
              <w:bottom w:val="nil"/>
            </w:tcBorders>
            <w:vAlign w:val="center"/>
          </w:tcPr>
          <w:p>
            <w:pPr>
              <w:spacing w:line="240" w:lineRule="auto"/>
            </w:pPr>
            <w:r>
              <w:rPr>
                <w:sz w:val="22"/>
              </w:rPr>
              <w:t>0.057</w:t>
            </w:r>
          </w:p>
        </w:tc>
        <w:tc>
          <w:tcPr>
            <w:tcW w:w="616" w:type="dxa"/>
            <w:tcBorders>
              <w:top w:val="nil"/>
              <w:bottom w:val="nil"/>
            </w:tcBorders>
            <w:vAlign w:val="center"/>
          </w:tcPr>
          <w:p>
            <w:pPr>
              <w:spacing w:line="240" w:lineRule="auto"/>
            </w:pPr>
            <w:r>
              <w:rPr>
                <w:sz w:val="22"/>
              </w:rPr>
              <w:t>43.5</w:t>
            </w:r>
          </w:p>
        </w:tc>
      </w:tr>
      <w:tr>
        <w:trPr>
          <w:trHeight w:val="291"/>
          <w:jc w:val="center"/>
        </w:trPr>
        <w:tc>
          <w:tcPr>
            <w:tcW w:w="3398" w:type="dxa"/>
            <w:tcBorders>
              <w:top w:val="nil"/>
              <w:bottom w:val="single" w:sz="4" w:space="0" w:color="auto"/>
            </w:tcBorders>
            <w:vAlign w:val="center"/>
          </w:tcPr>
          <w:p>
            <w:pPr>
              <w:spacing w:line="240" w:lineRule="auto"/>
            </w:pPr>
            <w:r>
              <w:rPr>
                <w:sz w:val="22"/>
              </w:rPr>
              <w:t>Adding non-independent study</w:t>
            </w:r>
          </w:p>
        </w:tc>
        <w:tc>
          <w:tcPr>
            <w:tcW w:w="352" w:type="dxa"/>
            <w:tcBorders>
              <w:top w:val="nil"/>
              <w:bottom w:val="single" w:sz="4" w:space="0" w:color="auto"/>
            </w:tcBorders>
            <w:vAlign w:val="center"/>
          </w:tcPr>
          <w:p>
            <w:pPr>
              <w:spacing w:line="240" w:lineRule="auto"/>
            </w:pPr>
            <w:r>
              <w:rPr>
                <w:sz w:val="22"/>
              </w:rPr>
              <w:t>5</w:t>
            </w:r>
          </w:p>
        </w:tc>
        <w:tc>
          <w:tcPr>
            <w:tcW w:w="2076" w:type="dxa"/>
            <w:tcBorders>
              <w:top w:val="nil"/>
              <w:bottom w:val="single" w:sz="4" w:space="0" w:color="auto"/>
            </w:tcBorders>
            <w:vAlign w:val="center"/>
          </w:tcPr>
          <w:p>
            <w:pPr>
              <w:spacing w:line="240" w:lineRule="auto"/>
            </w:pPr>
            <w:r>
              <w:rPr>
                <w:sz w:val="22"/>
              </w:rPr>
              <w:t>+0.81 [+0.40, +1.22]</w:t>
            </w:r>
          </w:p>
        </w:tc>
        <w:tc>
          <w:tcPr>
            <w:tcW w:w="1362" w:type="dxa"/>
            <w:tcBorders>
              <w:top w:val="nil"/>
              <w:bottom w:val="single" w:sz="4" w:space="0" w:color="auto"/>
            </w:tcBorders>
            <w:vAlign w:val="center"/>
          </w:tcPr>
          <w:p>
            <w:pPr>
              <w:spacing w:line="240" w:lineRule="auto"/>
            </w:pPr>
            <w:r>
              <w:rPr>
                <w:sz w:val="22"/>
              </w:rPr>
              <w:t>—</w:t>
            </w:r>
          </w:p>
        </w:tc>
        <w:tc>
          <w:tcPr>
            <w:tcW w:w="1332" w:type="dxa"/>
            <w:tcBorders>
              <w:top w:val="nil"/>
              <w:bottom w:val="single" w:sz="4" w:space="0" w:color="auto"/>
            </w:tcBorders>
            <w:vAlign w:val="center"/>
          </w:tcPr>
          <w:p>
            <w:pPr>
              <w:spacing w:line="240" w:lineRule="auto"/>
            </w:pPr>
            <w:r>
              <w:rPr>
                <w:sz w:val="22"/>
              </w:rPr>
              <w:t>0.005</w:t>
            </w:r>
          </w:p>
        </w:tc>
        <w:tc>
          <w:tcPr>
            <w:tcW w:w="616" w:type="dxa"/>
            <w:tcBorders>
              <w:top w:val="nil"/>
              <w:bottom w:val="single" w:sz="4" w:space="0" w:color="auto"/>
            </w:tcBorders>
            <w:vAlign w:val="center"/>
          </w:tcPr>
          <w:p>
            <w:pPr>
              <w:spacing w:line="240" w:lineRule="auto"/>
            </w:pPr>
            <w:r>
              <w:rPr>
                <w:sz w:val="22"/>
              </w:rPr>
              <w:t>77.4</w:t>
            </w:r>
          </w:p>
        </w:tc>
      </w:tr>
      <w:tr>
        <w:trPr>
          <w:trHeight w:val="291"/>
          <w:jc w:val="center"/>
        </w:trPr>
        <w:tc>
          <w:tcPr>
            <w:tcW w:w="9136" w:type="dxa"/>
            <w:gridSpan w:val="6"/>
            <w:vAlign w:val="center"/>
          </w:tcPr>
          <w:p>
            <w:pPr>
              <w:spacing w:line="240" w:lineRule="auto"/>
            </w:pPr>
            <w:r>
              <w:rPr>
                <w:b/>
                <w:sz w:val="22"/>
              </w:rPr>
              <w:t>Sound–behaviour correlation (r)</w:t>
            </w:r>
          </w:p>
        </w:tc>
      </w:tr>
      <w:tr>
        <w:trPr>
          <w:trHeight w:val="291"/>
          <w:jc w:val="center"/>
        </w:trPr>
        <w:tc>
          <w:tcPr>
            <w:tcW w:w="3398" w:type="dxa"/>
            <w:tcBorders>
              <w:top w:val="single" w:sz="4" w:space="0" w:color="auto"/>
              <w:bottom w:val="nil"/>
            </w:tcBorders>
            <w:vAlign w:val="center"/>
          </w:tcPr>
          <w:p>
            <w:pPr>
              <w:spacing w:line="240" w:lineRule="auto"/>
            </w:pPr>
            <w:r>
              <w:rPr>
                <w:sz w:val="22"/>
              </w:rPr>
              <w:t>Main analysis</w:t>
            </w:r>
          </w:p>
        </w:tc>
        <w:tc>
          <w:tcPr>
            <w:tcW w:w="352" w:type="dxa"/>
            <w:tcBorders>
              <w:top w:val="single" w:sz="4" w:space="0" w:color="auto"/>
              <w:bottom w:val="nil"/>
            </w:tcBorders>
            <w:vAlign w:val="center"/>
          </w:tcPr>
          <w:p>
            <w:pPr>
              <w:spacing w:line="240" w:lineRule="auto"/>
            </w:pPr>
            <w:r>
              <w:rPr>
                <w:sz w:val="22"/>
              </w:rPr>
              <w:t>6</w:t>
            </w:r>
          </w:p>
        </w:tc>
        <w:tc>
          <w:tcPr>
            <w:tcW w:w="2076" w:type="dxa"/>
            <w:tcBorders>
              <w:top w:val="single" w:sz="4" w:space="0" w:color="auto"/>
              <w:bottom w:val="nil"/>
            </w:tcBorders>
            <w:vAlign w:val="center"/>
          </w:tcPr>
          <w:p>
            <w:pPr>
              <w:spacing w:line="240" w:lineRule="auto"/>
            </w:pPr>
            <w:r>
              <w:rPr>
                <w:sz w:val="22"/>
              </w:rPr>
              <w:t>+0.42 [+0.19, +0.61]</w:t>
            </w:r>
          </w:p>
        </w:tc>
        <w:tc>
          <w:tcPr>
            <w:tcW w:w="1362" w:type="dxa"/>
            <w:tcBorders>
              <w:top w:val="single" w:sz="4" w:space="0" w:color="auto"/>
              <w:bottom w:val="nil"/>
            </w:tcBorders>
            <w:vAlign w:val="center"/>
          </w:tcPr>
          <w:p>
            <w:pPr>
              <w:spacing w:line="240" w:lineRule="auto"/>
            </w:pPr>
            <w:r>
              <w:rPr>
                <w:sz w:val="22"/>
              </w:rPr>
              <w:t>−0.24, +0.82</w:t>
            </w:r>
          </w:p>
        </w:tc>
        <w:tc>
          <w:tcPr>
            <w:tcW w:w="1332" w:type="dxa"/>
            <w:tcBorders>
              <w:top w:val="single" w:sz="4" w:space="0" w:color="auto"/>
              <w:bottom w:val="nil"/>
            </w:tcBorders>
            <w:vAlign w:val="center"/>
          </w:tcPr>
          <w:p>
            <w:pPr>
              <w:spacing w:line="240" w:lineRule="auto"/>
            </w:pPr>
            <w:r>
              <w:rPr>
                <w:sz w:val="22"/>
              </w:rPr>
              <w:t>0.006</w:t>
            </w:r>
          </w:p>
        </w:tc>
        <w:tc>
          <w:tcPr>
            <w:tcW w:w="616" w:type="dxa"/>
            <w:tcBorders>
              <w:top w:val="single" w:sz="4" w:space="0" w:color="auto"/>
              <w:bottom w:val="nil"/>
            </w:tcBorders>
            <w:vAlign w:val="center"/>
          </w:tcPr>
          <w:p>
            <w:pPr>
              <w:spacing w:line="240" w:lineRule="auto"/>
            </w:pPr>
            <w:r>
              <w:rPr>
                <w:sz w:val="22"/>
              </w:rPr>
              <w:t>92.0</w:t>
            </w:r>
          </w:p>
        </w:tc>
      </w:tr>
      <w:tr>
        <w:trPr>
          <w:trHeight w:val="291"/>
          <w:jc w:val="center"/>
        </w:trPr>
        <w:tc>
          <w:tcPr>
            <w:tcW w:w="3398" w:type="dxa"/>
            <w:tcBorders>
              <w:top w:val="nil"/>
              <w:bottom w:val="nil"/>
            </w:tcBorders>
            <w:vAlign w:val="center"/>
          </w:tcPr>
          <w:p>
            <w:pPr>
              <w:spacing w:line="240" w:lineRule="auto"/>
            </w:pPr>
            <w:r>
              <w:rPr>
                <w:sz w:val="22"/>
              </w:rPr>
              <w:t>Leave-one-out (range)</w:t>
            </w:r>
          </w:p>
        </w:tc>
        <w:tc>
          <w:tcPr>
            <w:tcW w:w="352" w:type="dxa"/>
            <w:tcBorders>
              <w:top w:val="nil"/>
              <w:bottom w:val="nil"/>
            </w:tcBorders>
            <w:vAlign w:val="center"/>
          </w:tcPr>
          <w:p>
            <w:pPr>
              <w:spacing w:line="240" w:lineRule="auto"/>
            </w:pPr>
            <w:r>
              <w:rPr>
                <w:sz w:val="22"/>
              </w:rPr>
              <w:t>5</w:t>
            </w:r>
          </w:p>
        </w:tc>
        <w:tc>
          <w:tcPr>
            <w:tcW w:w="2076" w:type="dxa"/>
            <w:tcBorders>
              <w:top w:val="nil"/>
              <w:bottom w:val="nil"/>
            </w:tcBorders>
            <w:vAlign w:val="center"/>
          </w:tcPr>
          <w:p>
            <w:pPr>
              <w:spacing w:line="240" w:lineRule="auto"/>
            </w:pPr>
            <w:r>
              <w:rPr>
                <w:sz w:val="22"/>
              </w:rPr>
              <w:t>+0.39 to +0.48</w:t>
            </w:r>
          </w:p>
        </w:tc>
        <w:tc>
          <w:tcPr>
            <w:tcW w:w="1362" w:type="dxa"/>
            <w:tcBorders>
              <w:top w:val="nil"/>
              <w:bottom w:val="nil"/>
            </w:tcBorders>
            <w:vAlign w:val="center"/>
          </w:tcPr>
          <w:p>
            <w:pPr>
              <w:spacing w:line="240" w:lineRule="auto"/>
            </w:pPr>
            <w:r>
              <w:rPr>
                <w:sz w:val="22"/>
              </w:rPr>
              <w:t>—</w:t>
            </w:r>
          </w:p>
        </w:tc>
        <w:tc>
          <w:tcPr>
            <w:tcW w:w="1332" w:type="dxa"/>
            <w:tcBorders>
              <w:top w:val="nil"/>
              <w:bottom w:val="nil"/>
            </w:tcBorders>
            <w:vAlign w:val="center"/>
          </w:tcPr>
          <w:p>
            <w:pPr>
              <w:spacing w:line="240" w:lineRule="auto"/>
            </w:pPr>
            <w:r>
              <w:rPr>
                <w:sz w:val="22"/>
              </w:rPr>
              <w:t>0.006–0.024</w:t>
            </w:r>
          </w:p>
        </w:tc>
        <w:tc>
          <w:tcPr>
            <w:tcW w:w="616" w:type="dxa"/>
            <w:tcBorders>
              <w:top w:val="nil"/>
              <w:bottom w:val="nil"/>
            </w:tcBorders>
            <w:vAlign w:val="center"/>
          </w:tcPr>
          <w:p>
            <w:pPr>
              <w:spacing w:line="240" w:lineRule="auto"/>
            </w:pPr>
            <w:r>
              <w:rPr>
                <w:sz w:val="22"/>
              </w:rPr>
              <w:t>—</w:t>
            </w:r>
          </w:p>
        </w:tc>
      </w:tr>
      <w:tr>
        <w:trPr>
          <w:trHeight w:val="291"/>
          <w:jc w:val="center"/>
        </w:trPr>
        <w:tc>
          <w:tcPr>
            <w:tcW w:w="3398" w:type="dxa"/>
            <w:tcBorders>
              <w:top w:val="nil"/>
              <w:bottom w:val="nil"/>
            </w:tcBorders>
            <w:vAlign w:val="center"/>
          </w:tcPr>
          <w:p>
            <w:pPr>
              <w:spacing w:line="240" w:lineRule="auto"/>
            </w:pPr>
            <w:r>
              <w:rPr>
                <w:sz w:val="22"/>
              </w:rPr>
              <w:t>Excluding low-quality studies</w:t>
            </w:r>
          </w:p>
        </w:tc>
        <w:tc>
          <w:tcPr>
            <w:tcW w:w="352" w:type="dxa"/>
            <w:tcBorders>
              <w:top w:val="nil"/>
              <w:bottom w:val="nil"/>
            </w:tcBorders>
            <w:vAlign w:val="center"/>
          </w:tcPr>
          <w:p>
            <w:pPr>
              <w:spacing w:line="240" w:lineRule="auto"/>
            </w:pPr>
            <w:r>
              <w:rPr>
                <w:sz w:val="22"/>
              </w:rPr>
              <w:t>5</w:t>
            </w:r>
          </w:p>
        </w:tc>
        <w:tc>
          <w:tcPr>
            <w:tcW w:w="2076" w:type="dxa"/>
            <w:tcBorders>
              <w:top w:val="nil"/>
              <w:bottom w:val="nil"/>
            </w:tcBorders>
            <w:vAlign w:val="center"/>
          </w:tcPr>
          <w:p>
            <w:pPr>
              <w:spacing w:line="240" w:lineRule="auto"/>
            </w:pPr>
            <w:r>
              <w:rPr>
                <w:sz w:val="22"/>
              </w:rPr>
              <w:t>+0.47 [+0.21, +0.67]</w:t>
            </w:r>
          </w:p>
        </w:tc>
        <w:tc>
          <w:tcPr>
            <w:tcW w:w="1362" w:type="dxa"/>
            <w:tcBorders>
              <w:top w:val="nil"/>
              <w:bottom w:val="nil"/>
            </w:tcBorders>
            <w:vAlign w:val="center"/>
          </w:tcPr>
          <w:p>
            <w:pPr>
              <w:spacing w:line="240" w:lineRule="auto"/>
            </w:pPr>
            <w:r>
              <w:rPr>
                <w:sz w:val="22"/>
              </w:rPr>
              <w:t>—</w:t>
            </w:r>
          </w:p>
        </w:tc>
        <w:tc>
          <w:tcPr>
            <w:tcW w:w="1332" w:type="dxa"/>
            <w:tcBorders>
              <w:top w:val="nil"/>
              <w:bottom w:val="nil"/>
            </w:tcBorders>
            <w:vAlign w:val="center"/>
          </w:tcPr>
          <w:p>
            <w:pPr>
              <w:spacing w:line="240" w:lineRule="auto"/>
            </w:pPr>
            <w:r>
              <w:rPr>
                <w:sz w:val="22"/>
              </w:rPr>
              <w:t>0.009</w:t>
            </w:r>
          </w:p>
        </w:tc>
        <w:tc>
          <w:tcPr>
            <w:tcW w:w="616" w:type="dxa"/>
            <w:tcBorders>
              <w:top w:val="nil"/>
              <w:bottom w:val="nil"/>
            </w:tcBorders>
            <w:vAlign w:val="center"/>
          </w:tcPr>
          <w:p>
            <w:pPr>
              <w:spacing w:line="240" w:lineRule="auto"/>
            </w:pPr>
            <w:r>
              <w:rPr>
                <w:sz w:val="22"/>
              </w:rPr>
              <w:t>91.2</w:t>
            </w:r>
          </w:p>
        </w:tc>
      </w:tr>
      <w:tr>
        <w:trPr>
          <w:trHeight w:val="291"/>
          <w:jc w:val="center"/>
        </w:trPr>
        <w:tc>
          <w:tcPr>
            <w:tcW w:w="3398" w:type="dxa"/>
            <w:tcBorders>
              <w:top w:val="nil"/>
              <w:bottom w:val="nil"/>
            </w:tcBorders>
            <w:vAlign w:val="center"/>
          </w:tcPr>
          <w:p>
            <w:pPr>
              <w:spacing w:line="240" w:lineRule="auto"/>
            </w:pPr>
            <w:r>
              <w:rPr>
                <w:sz w:val="22"/>
              </w:rPr>
              <w:t>Excluding citation-searching studies</w:t>
            </w:r>
          </w:p>
        </w:tc>
        <w:tc>
          <w:tcPr>
            <w:tcW w:w="352" w:type="dxa"/>
            <w:tcBorders>
              <w:top w:val="nil"/>
              <w:bottom w:val="nil"/>
            </w:tcBorders>
            <w:vAlign w:val="center"/>
          </w:tcPr>
          <w:p>
            <w:pPr>
              <w:spacing w:line="240" w:lineRule="auto"/>
            </w:pPr>
            <w:r>
              <w:rPr>
                <w:sz w:val="22"/>
              </w:rPr>
              <w:t>4</w:t>
            </w:r>
          </w:p>
        </w:tc>
        <w:tc>
          <w:tcPr>
            <w:tcW w:w="2076" w:type="dxa"/>
            <w:tcBorders>
              <w:top w:val="nil"/>
              <w:bottom w:val="nil"/>
            </w:tcBorders>
            <w:vAlign w:val="center"/>
          </w:tcPr>
          <w:p>
            <w:pPr>
              <w:spacing w:line="240" w:lineRule="auto"/>
            </w:pPr>
            <w:r>
              <w:rPr>
                <w:sz w:val="22"/>
              </w:rPr>
              <w:t>+0.44 [+0.14, +0.67]</w:t>
            </w:r>
          </w:p>
        </w:tc>
        <w:tc>
          <w:tcPr>
            <w:tcW w:w="1362" w:type="dxa"/>
            <w:tcBorders>
              <w:top w:val="nil"/>
              <w:bottom w:val="nil"/>
            </w:tcBorders>
            <w:vAlign w:val="center"/>
          </w:tcPr>
          <w:p>
            <w:pPr>
              <w:spacing w:line="240" w:lineRule="auto"/>
            </w:pPr>
            <w:r>
              <w:rPr>
                <w:sz w:val="22"/>
              </w:rPr>
              <w:t>—</w:t>
            </w:r>
          </w:p>
        </w:tc>
        <w:tc>
          <w:tcPr>
            <w:tcW w:w="1332" w:type="dxa"/>
            <w:tcBorders>
              <w:top w:val="nil"/>
              <w:bottom w:val="nil"/>
            </w:tcBorders>
            <w:vAlign w:val="center"/>
          </w:tcPr>
          <w:p>
            <w:pPr>
              <w:spacing w:line="240" w:lineRule="auto"/>
            </w:pPr>
            <w:r>
              <w:rPr>
                <w:sz w:val="22"/>
              </w:rPr>
              <w:t>0.020</w:t>
            </w:r>
          </w:p>
        </w:tc>
        <w:tc>
          <w:tcPr>
            <w:tcW w:w="616" w:type="dxa"/>
            <w:tcBorders>
              <w:top w:val="nil"/>
              <w:bottom w:val="nil"/>
            </w:tcBorders>
            <w:vAlign w:val="center"/>
          </w:tcPr>
          <w:p>
            <w:pPr>
              <w:spacing w:line="240" w:lineRule="auto"/>
            </w:pPr>
            <w:r>
              <w:rPr>
                <w:sz w:val="22"/>
              </w:rPr>
              <w:t>91.8</w:t>
            </w:r>
          </w:p>
        </w:tc>
      </w:tr>
      <w:tr>
        <w:trPr>
          <w:trHeight w:val="291"/>
          <w:jc w:val="center"/>
        </w:trPr>
        <w:tc>
          <w:tcPr>
            <w:tcW w:w="3398" w:type="dxa"/>
            <w:tcBorders>
              <w:top w:val="nil"/>
              <w:bottom w:val="single" w:sz="12" w:space="0" w:color="auto"/>
            </w:tcBorders>
            <w:vAlign w:val="center"/>
          </w:tcPr>
          <w:p>
            <w:pPr>
              <w:spacing w:line="240" w:lineRule="auto"/>
            </w:pPr>
            <w:r>
              <w:rPr>
                <w:sz w:val="22"/>
              </w:rPr>
              <w:t>Excluding rank correlations</w:t>
            </w:r>
          </w:p>
        </w:tc>
        <w:tc>
          <w:tcPr>
            <w:tcW w:w="352" w:type="dxa"/>
            <w:tcBorders>
              <w:top w:val="nil"/>
              <w:bottom w:val="single" w:sz="12" w:space="0" w:color="auto"/>
            </w:tcBorders>
            <w:vAlign w:val="center"/>
          </w:tcPr>
          <w:p>
            <w:pPr>
              <w:spacing w:line="240" w:lineRule="auto"/>
            </w:pPr>
            <w:r>
              <w:rPr>
                <w:sz w:val="22"/>
              </w:rPr>
              <w:t>4</w:t>
            </w:r>
          </w:p>
        </w:tc>
        <w:tc>
          <w:tcPr>
            <w:tcW w:w="2076" w:type="dxa"/>
            <w:tcBorders>
              <w:top w:val="nil"/>
              <w:bottom w:val="single" w:sz="12" w:space="0" w:color="auto"/>
            </w:tcBorders>
            <w:vAlign w:val="center"/>
          </w:tcPr>
          <w:p>
            <w:pPr>
              <w:spacing w:line="240" w:lineRule="auto"/>
            </w:pPr>
            <w:r>
              <w:rPr>
                <w:sz w:val="22"/>
              </w:rPr>
              <w:t>+0.48 [+0.11, +0.74]</w:t>
            </w:r>
          </w:p>
        </w:tc>
        <w:tc>
          <w:tcPr>
            <w:tcW w:w="1362" w:type="dxa"/>
            <w:tcBorders>
              <w:top w:val="nil"/>
              <w:bottom w:val="single" w:sz="12" w:space="0" w:color="auto"/>
            </w:tcBorders>
            <w:vAlign w:val="center"/>
          </w:tcPr>
          <w:p>
            <w:pPr>
              <w:spacing w:line="240" w:lineRule="auto"/>
            </w:pPr>
            <w:r>
              <w:rPr>
                <w:sz w:val="22"/>
              </w:rPr>
              <w:t>—</w:t>
            </w:r>
          </w:p>
        </w:tc>
        <w:tc>
          <w:tcPr>
            <w:tcW w:w="1332" w:type="dxa"/>
            <w:tcBorders>
              <w:top w:val="nil"/>
              <w:bottom w:val="single" w:sz="12" w:space="0" w:color="auto"/>
            </w:tcBorders>
            <w:vAlign w:val="center"/>
          </w:tcPr>
          <w:p>
            <w:pPr>
              <w:spacing w:line="240" w:lineRule="auto"/>
            </w:pPr>
            <w:r>
              <w:rPr>
                <w:sz w:val="22"/>
              </w:rPr>
              <w:t>0.028</w:t>
            </w:r>
          </w:p>
        </w:tc>
        <w:tc>
          <w:tcPr>
            <w:tcW w:w="616" w:type="dxa"/>
            <w:tcBorders>
              <w:top w:val="nil"/>
              <w:bottom w:val="single" w:sz="12" w:space="0" w:color="auto"/>
            </w:tcBorders>
            <w:vAlign w:val="center"/>
          </w:tcPr>
          <w:p>
            <w:pPr>
              <w:spacing w:line="240" w:lineRule="auto"/>
            </w:pPr>
            <w:r>
              <w:rPr>
                <w:sz w:val="22"/>
              </w:rPr>
              <w:t>93.4</w:t>
            </w:r>
          </w:p>
        </w:tc>
      </w:tr>
    </w:tbl>
    <w:p>
      <w:pPr>
        <w:spacing w:before="160" w:after="80" w:line="240" w:lineRule="auto"/>
      </w:pPr>
      <w:r>
        <w:rPr>
          <w:i/>
          <w:sz w:val="22"/>
        </w:rPr>
        <w:t>Note.</w:t>
      </w:r>
      <w:r>
        <w:rPr>
          <w:sz w:val="22"/>
        </w:rPr>
        <w:t xml:space="preserve"> Estimates are Hedges' </w:t>
      </w:r>
      <w:r>
        <w:rPr>
          <w:i/>
          <w:sz w:val="22"/>
        </w:rPr>
        <w:t>g</w:t>
      </w:r>
      <w:r>
        <w:rPr>
          <w:sz w:val="22"/>
        </w:rPr>
        <w:t xml:space="preserve"> (walking speed, staying and social interaction) or </w:t>
      </w:r>
      <w:r>
        <w:rPr>
          <w:i/>
          <w:sz w:val="22"/>
        </w:rPr>
        <w:t>r</w:t>
      </w:r>
      <w:r>
        <w:rPr>
          <w:sz w:val="22"/>
        </w:rPr>
        <w:t xml:space="preserve"> (sound–behaviour correlation) from REML random-effects models with the Hartung–Knapp adjustment. CI = confidence interval; PI = prediction interval. Leave-one-out rows give the range of estimates and </w:t>
      </w:r>
      <w:r>
        <w:rPr>
          <w:i/>
          <w:sz w:val="22"/>
        </w:rPr>
        <w:t>p</w:t>
      </w:r>
      <w:r>
        <w:rPr>
          <w:sz w:val="22"/>
        </w:rPr>
        <w:t xml:space="preserve"> values across omitted studies. Confidence intervals are not shown for </w:t>
      </w:r>
      <w:r>
        <w:rPr>
          <w:i/>
          <w:sz w:val="22"/>
        </w:rPr>
        <w:t>k</w:t>
      </w:r>
      <w:r>
        <w:rPr>
          <w:sz w:val="22"/>
        </w:rPr>
        <w:t xml:space="preserve"> = 2 because the Hartung–Knapp interval then uses a </w:t>
      </w:r>
      <w:r>
        <w:rPr>
          <w:i/>
          <w:sz w:val="22"/>
        </w:rPr>
        <w:t>t</w:t>
      </w:r>
      <w:r>
        <w:rPr>
          <w:sz w:val="22"/>
        </w:rPr>
        <w:t xml:space="preserve"> distribution with one degree of freedom. Analyses excluding low-quality studies (staying and social interaction), studies from citation searching (walking speed and staying) and laboratory reproductions of outdoor scenes (all clusters) were identical to the main analysis and are not shown. Rows beginning with </w:t>
      </w:r>
      <w:r>
        <w:rPr>
          <w:i/>
          <w:sz w:val="22"/>
        </w:rPr>
        <w:t>Adding</w:t>
      </w:r>
      <w:r>
        <w:rPr>
          <w:sz w:val="22"/>
        </w:rPr>
        <w:t xml:space="preserve"> include a study that was excluded from the main analysis (Section 2.9).</w:t>
      </w:r>
    </w:p>
    <w:p>
      <w:pPr>
        <w:spacing w:after="120" w:line="240" w:lineRule="auto"/>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3.6 Direction of the relationship (RQ2)</w:t>
      </w:r>
    </w:p>
    <w:p>
      <w:pPr>
        <w:ind w:firstLine="288"/>
        <w:jc w:val="both"/>
        <w:rPr>
          <w:lang w:eastAsia="ko-KR"/>
        </w:rPr>
      </w:pPr>
      <w:r>
        <w:rPr>
          <w:lang w:eastAsia="ko-KR"/>
        </w:rPr>
        <w:t>98편에서 추출한 행태 도메인 수준 레코드 212건 가운데 113건은 순방향(소리 → 행태), 74건은 역방향(행태 → 소리), 25건은 양방향이었다. 순방향 또는 역방향으로 분류된 187건 중 역방향은 74건(40%)이었고, 양방향 레코드까지 분모에 포함하면 35%였다.</w:t>
      </w:r>
    </w:p>
    <w:p>
      <w:pPr>
        <w:ind w:firstLine="288"/>
        <w:jc w:val="both"/>
        <w:rPr>
          <w:lang w:eastAsia="ko-KR"/>
        </w:rPr>
      </w:pPr>
      <w:r>
        <w:rPr>
          <w:lang w:eastAsia="ko-KR"/>
        </w:rPr>
        <w:t>역방향 레코드의 비중은 행태 도메인에 따라 달랐다(Fig. 5). 이동(순방향 33건, 역방향 8건)과 체류(16건, 8건)에서는 순방향 레코드가 대부분이었지만, 공간이용(26건, 23건), 활동(18건, 21건), 사회적 행태(20건, 14건)에서는 두 방향의 레코드 수가 비슷했다. 역방향 연구에는 군중 밀도와 음압의 관계, 활동 프로그램에 따른 음환경 변화, 동행 여부와 소리 인지의 관계를 다룬 연구 등이 포함됐다.</w:t>
      </w:r>
    </w:p>
    <w:p>
      <w:pPr>
        <w:spacing w:before="200" w:after="80" w:line="240" w:lineRule="auto"/>
        <w:jc w:val="center"/>
      </w:pPr>
      <w:r>
        <w:drawing>
          <wp:inline xmlns:a="http://schemas.openxmlformats.org/drawingml/2006/main" xmlns:pic="http://schemas.openxmlformats.org/drawingml/2006/picture">
            <wp:extent cx="5532120" cy="2405536"/>
            <wp:docPr id="5" name="Picture 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532120" cy="2405536"/>
                    </a:xfrm>
                    <a:prstGeom prst="rect"/>
                  </pic:spPr>
                </pic:pic>
              </a:graphicData>
            </a:graphic>
          </wp:inline>
        </w:drawing>
      </w:r>
    </w:p>
    <w:p>
      <w:pPr>
        <w:spacing w:after="240" w:line="240" w:lineRule="auto"/>
      </w:pPr>
      <w:r>
        <w:rPr>
          <w:b/>
          <w:sz w:val="22"/>
        </w:rPr>
        <w:t xml:space="preserve">Fig. 5. </w:t>
      </w:r>
      <w:r>
        <w:rPr>
          <w:sz w:val="22"/>
        </w:rPr>
        <w:t>Direction of the relationship examined, by behavioural domain. Bars show the number of study × behavioural-domain records classified as forward (acoustic environment to behaviour), both, or reverse (behaviour or activity to acoustic environment or soundscape). The percentage to the right of each bar is the share of reverse records among forward and reverse records.</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3.7 Behavioural measurement methods (RQ3)</w:t>
      </w:r>
    </w:p>
    <w:p>
      <w:pPr>
        <w:ind w:firstLine="288"/>
        <w:jc w:val="both"/>
        <w:rPr>
          <w:lang w:eastAsia="ko-KR"/>
        </w:rPr>
      </w:pPr>
      <w:r>
        <w:rPr>
          <w:lang w:eastAsia="ko-KR"/>
        </w:rPr>
        <w:t>센서, GPS, 영상, 빅데이터를 이용한 행태 측정(G3)은 2010–2019년 4편에서 2020년 이후 20편으로 늘었고, 같은 기간 자기보고(G1)는 14편에서 39편으로, 체계적 관찰(G2)은 11편에서 28편으로 늘었다(Fig. 6). 22편은 두 세대 이상의 방법을 함께 사용했으며, 이러한 연구는 2010년대 5편에서 2020년 이후 17편으로 늘었다.</w:t>
      </w:r>
    </w:p>
    <w:p>
      <w:pPr>
        <w:spacing w:before="200" w:after="80" w:line="240" w:lineRule="auto"/>
        <w:jc w:val="center"/>
      </w:pPr>
      <w:r>
        <w:drawing>
          <wp:inline xmlns:a="http://schemas.openxmlformats.org/drawingml/2006/main" xmlns:pic="http://schemas.openxmlformats.org/drawingml/2006/picture">
            <wp:extent cx="5532120" cy="2411673"/>
            <wp:docPr id="6" name="Picture 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32120" cy="2411673"/>
                    </a:xfrm>
                    <a:prstGeom prst="rect"/>
                  </pic:spPr>
                </pic:pic>
              </a:graphicData>
            </a:graphic>
          </wp:inline>
        </w:drawing>
      </w:r>
    </w:p>
    <w:p>
      <w:pPr>
        <w:spacing w:after="240" w:line="240" w:lineRule="auto"/>
      </w:pPr>
      <w:r>
        <w:rPr>
          <w:b/>
          <w:sz w:val="22"/>
        </w:rPr>
        <w:t xml:space="preserve">Fig. 6. </w:t>
      </w:r>
      <w:r>
        <w:rPr>
          <w:sz w:val="22"/>
        </w:rPr>
        <w:t>Behavioural measurement methods used in the included studies, by publication period. G1 = self-report; G2 = systematic observation; G3 = sensing, GPS, video or big-data measurement of behaviour. Studies that used more than one method are counted in each corresponding series.</w:t>
      </w:r>
    </w:p>
    <w:p>
      <w:pPr>
        <w:spacing w:before="160" w:after="80" w:line="240" w:lineRule="auto"/>
        <w:rPr>
          <w:b/>
          <w:sz w:val="22"/>
          <w:lang w:eastAsia="ko-KR"/>
        </w:rPr>
      </w:pPr>
      <w:r>
        <w:rPr>
          <w:b/>
          <w:sz w:val="22"/>
          <w:lang w:eastAsia="ko-KR"/>
        </w:rPr>
        <w:br w:type="page"/>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3.8 Evidence map</w:t>
      </w:r>
    </w:p>
    <w:p>
      <w:pPr>
        <w:ind w:firstLine="288"/>
        <w:jc w:val="both"/>
        <w:rPr>
          <w:lang w:eastAsia="ko-KR"/>
        </w:rPr>
      </w:pPr>
      <w:r>
        <w:rPr>
          <w:lang w:eastAsia="ko-KR"/>
        </w:rPr>
        <w:t>행태 도메인과 음원의 조합은 항공기 소음을 제외한 모든 조합에서 연구가 확인됐다(Fig. 7). 항공기 소음에서는 다섯 도메인 중 세 도메인(이동, 체류, 사회적 행태)에 해당하는 연구가 없었고, 나머지 두 도메인의 레코드 4건은 모두 2편에서 나왔다.</w:t>
      </w:r>
    </w:p>
    <w:p>
      <w:pPr>
        <w:spacing w:before="200" w:after="80" w:line="240" w:lineRule="auto"/>
        <w:jc w:val="center"/>
      </w:pPr>
      <w:r>
        <w:drawing>
          <wp:inline xmlns:a="http://schemas.openxmlformats.org/drawingml/2006/main" xmlns:pic="http://schemas.openxmlformats.org/drawingml/2006/picture">
            <wp:extent cx="5532120" cy="2497585"/>
            <wp:docPr id="7" name="Picture 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532120" cy="2497585"/>
                    </a:xfrm>
                    <a:prstGeom prst="rect"/>
                  </pic:spPr>
                </pic:pic>
              </a:graphicData>
            </a:graphic>
          </wp:inline>
        </w:drawing>
      </w:r>
    </w:p>
    <w:p>
      <w:pPr>
        <w:spacing w:after="240" w:line="240" w:lineRule="auto"/>
      </w:pPr>
      <w:r>
        <w:rPr>
          <w:b/>
          <w:sz w:val="22"/>
        </w:rPr>
        <w:t xml:space="preserve">Fig. 7. </w:t>
      </w:r>
      <w:r>
        <w:rPr>
          <w:sz w:val="22"/>
        </w:rPr>
        <w:t>Evidence map of behavioural domain by sound source. Each cell gives the number of included studies that examined the combination, and darker shading indicates more studies. A study contributes to every combination it examined, so cell counts do not sum to the number of included studies.</w:t>
      </w:r>
    </w:p>
    <w:p>
      <w:pPr>
        <w:spacing w:before="160" w:after="80" w:line="240" w:lineRule="auto"/>
        <w:rPr>
          <w:b/>
          <w:sz w:val="22"/>
          <w:lang w:eastAsia="ko-KR"/>
        </w:rPr>
      </w:pPr>
      <w:r>
        <w:rPr>
          <w:b/>
          <w:sz w:val="22"/>
          <w:lang w:eastAsia="ko-KR"/>
        </w:rPr>
        <w:br w:type="page"/>
      </w:r>
    </w:p>
    <w:p>
      <w:pPr>
        <w:widowControl w:val="0"/>
        <w:autoSpaceDE w:val="0"/>
        <w:autoSpaceDN w:val="0"/>
        <w:jc w:val="both"/>
        <w:outlineLvl w:val="0"/>
        <w:rPr>
          <w:b/>
          <w:color w:val="000000"/>
          <w:kern w:val="2"/>
          <w:szCs w:val="24"/>
          <w:lang w:eastAsia="ko-KR"/>
        </w:rPr>
      </w:pPr>
      <w:r>
        <w:rPr>
          <w:b/>
          <w:color w:val="000000"/>
          <w:kern w:val="2"/>
          <w:szCs w:val="24"/>
          <w:lang w:eastAsia="ko-KR"/>
        </w:rPr>
        <w:t>4. Discussion</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4.1 A reciprocal evidence framework for soundscape and behaviour</w:t>
      </w:r>
    </w:p>
    <w:p>
      <w:pPr>
        <w:ind w:firstLine="288"/>
        <w:jc w:val="both"/>
        <w:rPr>
          <w:lang w:eastAsia="ko-KR"/>
        </w:rPr>
      </w:pPr>
      <w:r>
        <w:rPr>
          <w:lang w:eastAsia="ko-KR"/>
        </w:rPr>
        <w:t>본 리뷰는 Fig. 8의 개념 틀을 닫힌 인과 피드백 고리(closed causal feedback loop)를 입증한 모형이 아니라 상호적 증거 프레임워크(reciprocal evidence framework)로 제시한다.</w:t>
      </w:r>
    </w:p>
    <w:p>
      <w:pPr>
        <w:ind w:firstLine="288"/>
        <w:jc w:val="both"/>
        <w:rPr>
          <w:lang w:eastAsia="ko-KR"/>
        </w:rPr>
      </w:pPr>
      <w:r>
        <w:rPr>
          <w:lang w:eastAsia="ko-KR"/>
        </w:rPr>
        <w:t>이 틀에는 두 가지 주요 경로가 있다. 순방향 경로는 음환경에서 사운드스케이프 평가를 거쳐 행태로 이어지고, 역방향 경로는 활동과 점유에서 소리 발생을 거쳐 다시 음환경으로 이어진다. 음환경은 평가를 거치지 않고 행태와 직접 연관될 수도 있다. 세팅 유형, 시각–청각 정합성(visual–acoustic congruence), 체류 목적, 시간적 조건, 사회·문화적 맥락을 포함한 맥락(context)은 두 경로를 모두 조절(moderate)할 수 있으며, 이러한 조절 요인은 기존 사운드스케이프 연구의 논의와 일치한다[9,10,12,13]. 본 리뷰가 양방향 증거 구조(bidirectional evidence structure)라는 용어를 사용하는 것도 이 때문이다. 역방향 연구가 존재한다고 해서 특정 세팅 안에서 닫힌 인과 고리가 입증된 것은 아니다. 또한 이 틀은 행태를 하나의 결과(endpoint)가 아니라 다양한 결과의 집합으로 다룬다. 종합을 위해 이 결과들을 회피(avoidance), 통과(passing), 체류(staying), 상호작용(interacting), 전유(appropriating)로 이어지는 관여의 경사(engagement gradient) 위에 배열했다. 이 경사는 결과를 정리하기 위한 종합 장치(synthesis device)이며 검증된 서열 행태 척도(validated ordinal behavioural scale)는 아니다.</w:t>
      </w:r>
    </w:p>
    <w:p>
      <w:pPr>
        <w:ind w:firstLine="288"/>
        <w:jc w:val="both"/>
        <w:rPr>
          <w:lang w:eastAsia="ko-KR"/>
        </w:rPr>
      </w:pPr>
      <w:r>
        <w:rPr>
          <w:lang w:eastAsia="ko-KR"/>
        </w:rPr>
        <w:t>정량 증거는 이 경사를 따라 고르게 분포하지 않았다. 가장 강한 합성 결과는 사회적 상호작용에서 나타났고, 회피와 전유 양 끝의 증거는 훨씬 적었다. 따라서 이 틀은 관계를 단순하게 도식화하는 것보다 증거의 공백을 진단하는 데 더 유용하다. 증거의 상당 부분이 역방향 연구에서 나오는데도 이 분야는 주로 순방향 경로를 중심으로 연구돼 왔고, 전유처럼 공공공간 설계에서 중요하지만 정량 코퍼스에서는 드물게 나타나는 행태 결과도 이 틀을 통해 드러난다.</w:t>
      </w:r>
    </w:p>
    <w:p>
      <w:pPr>
        <w:spacing w:before="200" w:after="80" w:line="240" w:lineRule="auto"/>
        <w:jc w:val="center"/>
      </w:pPr>
      <w:r>
        <w:drawing>
          <wp:inline xmlns:a="http://schemas.openxmlformats.org/drawingml/2006/main" xmlns:pic="http://schemas.openxmlformats.org/drawingml/2006/picture">
            <wp:extent cx="5568950" cy="4100016"/>
            <wp:docPr id="8" name="Picture 8"/>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568950" cy="4100016"/>
                    </a:xfrm>
                    <a:prstGeom prst="rect"/>
                  </pic:spPr>
                </pic:pic>
              </a:graphicData>
            </a:graphic>
          </wp:inline>
        </w:drawing>
      </w:r>
    </w:p>
    <w:p>
      <w:pPr>
        <w:spacing w:after="240" w:line="240" w:lineRule="auto"/>
      </w:pPr>
      <w:r>
        <w:rPr>
          <w:b/>
          <w:sz w:val="22"/>
        </w:rPr>
        <w:t xml:space="preserve">Fig. 8. </w:t>
      </w:r>
      <w:r>
        <w:rPr>
          <w:sz w:val="22"/>
        </w:rPr>
        <w:t>Reciprocal evidence framework linking context, acoustic environment, soundscape appraisal, and observable behaviour. Spatial, physical, and socio-cultural context shapes the acoustic environment and moderates how acoustic conditions are interpreted and acted upon. Acoustic conditions may influence observable behaviour directly or through soundscape appraisal. Behaviour and activity can, in turn, modify the acoustic environment through occupancy and human sound production. Behavioural outcomes are organised below the framework along an engagement gradient from avoidance and passing to staying, interacting, and appropriating; this gradient is used as a synthesis device and is not a validated behavioural scale.</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4.2 Strength of evidence for planning actions (RQ4)</w:t>
      </w:r>
    </w:p>
    <w:p>
      <w:pPr>
        <w:ind w:firstLine="288"/>
        <w:jc w:val="both"/>
        <w:rPr>
          <w:lang w:eastAsia="ko-KR"/>
        </w:rPr>
      </w:pPr>
      <w:r>
        <w:rPr>
          <w:lang w:eastAsia="ko-KR"/>
        </w:rPr>
        <w:t>Table 4는 코퍼스에서 도출한 열 개의 계획 레버와 각 레버의 계획 근거 강도(2.8절)를 정리한 것이다. 계획 근거 강도가 high에 도달한 레버는 없었다. 네 개 레버(음악 프로그래밍, 자연음 제공, 정온 경로 제공, 기계·유지관리 소음 통제)가 moderate, 다섯 개가 low, 한 개가 very low였다. 이 분포는 현재의 증거가 보편적 설계 기준보다는 모니터링을 동반한 설계 가설을 뒷받침한다는 점을 보여 준다. 등급과 별개로, 그럴듯하지만 본 리뷰의 자료로는 지지되지 않는 해석을 피하기 위해 세 가지를 짚어 둔다.</w:t>
      </w:r>
    </w:p>
    <w:p>
      <w:pPr>
        <w:ind w:firstLine="288"/>
        <w:jc w:val="both"/>
        <w:rPr>
          <w:lang w:eastAsia="ko-KR"/>
        </w:rPr>
      </w:pPr>
      <w:r>
        <w:rPr>
          <w:lang w:eastAsia="ko-KR"/>
        </w:rPr>
        <w:t>첫째, 유의한 사회적 상호작용 클러스터를 자연음을 더한 효과나 소음을 없앤 효과 중 어느 하나로만 해석해서는 안 된다. 자연음 연구는 대개 새소리나 물소리를 교통 소음이나 공사 소음과 비교하므로, 자연음의 추가와 경쟁 소음의 제거가 교락(confounded)돼 있다. 네 효과를 노출 유형으로 나누면 평균이 거의 같았고(자연음 +0.76, 기계음 +0.75), 도로공사 연구를 제외하면 합성 추정치가 낮아지지 않고 오히려 높아졌다(+0.68 → +0.80). 코퍼스에는 자연음 조건을 다른 조건이 비슷한 정온 조건과 비교한 연구가 없었다. 따라서 더 조용하거나 자연음이 있는 조건이 더 많은 사회적 상호작용과 연관된다는 것까지는 말할 수 있지만, 자연음의 독립적인 기여는 확인되지 않았다. 또한 이 클러스터를 유의 수준 너머로 끌어올린 증분은 인용 검색으로 확보한 기계음 실험 한 편에서 나왔다.</w:t>
      </w:r>
    </w:p>
    <w:p>
      <w:pPr>
        <w:ind w:firstLine="288"/>
        <w:jc w:val="both"/>
        <w:rPr>
          <w:lang w:eastAsia="ko-KR"/>
        </w:rPr>
      </w:pPr>
      <w:r>
        <w:rPr>
          <w:lang w:eastAsia="ko-KR"/>
        </w:rPr>
        <w:t xml:space="preserve">둘째, 보행속도에 관한 증거는 합성 결과의 이름이 주는 인상보다 범위가 좁다. 기여 효과의 대부분은 공공공간의 음환경이 아니라 보행 중 헤드폰으로 전달한 오디오를 조작한 결과였다. 헤드폰 청취는 배경음 차폐, 개인의 통제 가능성, 주의 배분 측면에서 환경음과 다르다. 또한 기여 연구는 하나의 연구 프로그램에 집중돼 있었다. 풀에 포함된 세 효과 중 두 효과가 같은 체코 연구진의 연구였고[28,29], 인용 추적으로 추가된 MMAT high 등급 보행 논문 두 편[31,32]도 같은 연구진이 같은 1.75–1.8 km 순환 경로에서 수행한 것이었다. 나머지 한 효과는 부호가 반대인 알제리의 현장 관찰 연구였다[30]. 따라서 메타분석의 </w:t>
      </w:r>
      <w:r>
        <w:rPr>
          <w:i/>
          <w:lang w:eastAsia="ko-KR"/>
        </w:rPr>
        <w:t>k</w:t>
      </w:r>
      <w:r>
        <w:rPr>
          <w:lang w:eastAsia="ko-KR"/>
        </w:rPr>
        <w:t>를 환경소음이 보행을 빠르게 한다는 독립적인 반복 확인으로 해석해서는 안 된다. 보행속도 풀 밖에서는 실제 가로의 소음을 조작하면서 군중 행태를 관찰한 연구가 한 편 있었다. Ba 등 [47]은 교통소음 55.6 dB(A) 조건과 70.5 dB(A) 조건에서 평균 군중 속도가 각각 약 1.14 m/s와 1.21 m/s로, 고소음 조건에서 약 0.07 m/s 빨랐다고 보고했다. 그러나 저자들이 보고한 측정 격자 간 최대 차이도 0.06 m/s였고, 이 연구는 MMAT low 등급으로 평가됐다. 이 결과는 합성 추정치와 방향은 같지만 일반적인 인과 효과를 입증하지는 않는다. 따라서 보행속도는 설계 목표로 삼기보다, 아직 결론이 나지 않았고 연구 간 이질성이 큰 결과로 다루는 것이 적절하다.</w:t>
      </w:r>
    </w:p>
    <w:p>
      <w:pPr>
        <w:ind w:firstLine="288"/>
        <w:jc w:val="both"/>
        <w:rPr>
          <w:lang w:eastAsia="ko-KR"/>
        </w:rPr>
      </w:pPr>
      <w:r>
        <w:rPr>
          <w:lang w:eastAsia="ko-KR"/>
        </w:rPr>
        <w:t>셋째, 소리–행태 상관 클러스터는 개입 효과가 아니라 연관적 증거 기반(associative evidence base)으로 해석해야 한다. 이 클러스터의 결과는 검색 경로나 개별 연구의 제외에 따라 크게 달라지지 않았지만(3.5절), 순방향과 역방향 연구, 지각 지표와 객관적 음향 지표(LAeq), 여러 행태 결과가 함께 포함돼 이질성이 높았다(</w:t>
      </w:r>
      <w:r>
        <w:rPr>
          <w:i/>
          <w:lang w:eastAsia="ko-KR"/>
        </w:rPr>
        <w:t>I</w:t>
      </w:r>
      <w:r>
        <w:rPr>
          <w:lang w:eastAsia="ko-KR"/>
        </w:rPr>
        <w:t>² = 92.0%). 따라서 이 결과는 소리 지표와 행태가 대체로 함께 변한다는 점을 보여 주지만, 어떤 소리 지표가 어떤 행태와 어느 방향으로 얼마나 연관되는지는 알려 주지 않는다. 측정 방법의 차이도 이러한 이질성의 원인일 수 있다(4.4절).</w:t>
      </w:r>
    </w:p>
    <w:p>
      <w:pPr>
        <w:spacing w:before="160" w:after="80" w:line="240" w:lineRule="auto"/>
        <w:rPr>
          <w:b/>
          <w:sz w:val="22"/>
          <w:lang w:eastAsia="ko-KR"/>
        </w:rPr>
        <w:sectPr>
          <w:pgSz w:w="11909" w:h="16834"/>
          <w:pgMar w:top="1440" w:right="1440" w:bottom="1440" w:left="1699" w:header="720" w:footer="720" w:gutter="0"/>
          <w:cols w:space="720"/>
          <w:docGrid w:linePitch="360"/>
        </w:sectPr>
      </w:pPr>
    </w:p>
    <w:p>
      <w:pPr>
        <w:spacing w:before="160" w:after="80" w:line="240" w:lineRule="auto"/>
      </w:pPr>
      <w:r>
        <w:rPr>
          <w:b/>
          <w:sz w:val="22"/>
        </w:rPr>
        <w:t>Table 4.</w:t>
      </w:r>
      <w:r>
        <w:rPr>
          <w:sz w:val="22"/>
        </w:rPr>
        <w:t xml:space="preserve"> Planning levers derived from the included studies and their planning evidence strength.</w:t>
      </w:r>
    </w:p>
    <w:tbl>
      <w:tblPr>
        <w:tblStyle w:val="af9"/>
        <w:tblW w:w="14541" w:type="dxa"/>
        <w:jc w:val="center"/>
        <w:tblBorders>
          <w:top w:val="single" w:sz="12" w:space="0" w:color="auto"/>
          <w:left w:val="none" w:sz="0" w:space="0" w:color="auto"/>
          <w:bottom w:val="single" w:sz="12" w:space="0" w:color="auto"/>
          <w:right w:val="none" w:sz="0" w:space="0" w:color="auto"/>
          <w:insideV w:val="none" w:sz="0" w:space="0" w:color="auto"/>
        </w:tblBorders>
        <w:tblLayout w:type="fixed"/>
        <w:tblLook w:val="04A0" w:firstRow="1" w:lastRow="0" w:firstColumn="1" w:lastColumn="0" w:noHBand="0" w:noVBand="1"/>
      </w:tblPr>
      <w:tblGrid>
        <w:gridCol w:w="780"/>
        <w:gridCol w:w="3081"/>
        <w:gridCol w:w="6580"/>
        <w:gridCol w:w="1086"/>
        <w:gridCol w:w="916"/>
        <w:gridCol w:w="950"/>
        <w:gridCol w:w="1148"/>
      </w:tblGrid>
      <w:tr>
        <w:trPr>
          <w:trHeight w:val="60"/>
          <w:jc w:val="center"/>
        </w:trPr>
        <w:tc>
          <w:tcPr>
            <w:tcW w:w="780" w:type="dxa"/>
            <w:tcBorders>
              <w:bottom w:val="single" w:sz="4" w:space="0" w:color="auto"/>
            </w:tcBorders>
            <w:vAlign w:val="center"/>
          </w:tcPr>
          <w:p>
            <w:pPr>
              <w:spacing w:line="240" w:lineRule="auto"/>
            </w:pPr>
            <w:r>
              <w:rPr>
                <w:b/>
                <w:sz w:val="22"/>
              </w:rPr>
              <w:t>Lever</w:t>
            </w:r>
          </w:p>
        </w:tc>
        <w:tc>
          <w:tcPr>
            <w:tcW w:w="3081" w:type="dxa"/>
            <w:tcBorders>
              <w:bottom w:val="single" w:sz="4" w:space="0" w:color="auto"/>
            </w:tcBorders>
            <w:vAlign w:val="center"/>
          </w:tcPr>
          <w:p>
            <w:pPr>
              <w:spacing w:line="240" w:lineRule="auto"/>
            </w:pPr>
            <w:r>
              <w:rPr>
                <w:b/>
                <w:sz w:val="22"/>
              </w:rPr>
              <w:t>Planning action</w:t>
            </w:r>
          </w:p>
        </w:tc>
        <w:tc>
          <w:tcPr>
            <w:tcW w:w="6580" w:type="dxa"/>
            <w:tcBorders>
              <w:bottom w:val="single" w:sz="4" w:space="0" w:color="auto"/>
            </w:tcBorders>
            <w:vAlign w:val="center"/>
          </w:tcPr>
          <w:p>
            <w:pPr>
              <w:spacing w:line="240" w:lineRule="auto"/>
            </w:pPr>
            <w:r>
              <w:rPr>
                <w:b/>
                <w:sz w:val="22"/>
              </w:rPr>
              <w:t>Behavioural outcome</w:t>
            </w:r>
          </w:p>
        </w:tc>
        <w:tc>
          <w:tcPr>
            <w:tcW w:w="1086" w:type="dxa"/>
            <w:tcBorders>
              <w:bottom w:val="single" w:sz="4" w:space="0" w:color="auto"/>
            </w:tcBorders>
            <w:vAlign w:val="center"/>
          </w:tcPr>
          <w:p>
            <w:pPr>
              <w:spacing w:line="240" w:lineRule="auto"/>
            </w:pPr>
            <w:r>
              <w:rPr>
                <w:b/>
                <w:sz w:val="22"/>
              </w:rPr>
              <w:t>Evidence direction</w:t>
            </w:r>
          </w:p>
        </w:tc>
        <w:tc>
          <w:tcPr>
            <w:tcW w:w="916" w:type="dxa"/>
            <w:tcBorders>
              <w:bottom w:val="single" w:sz="4" w:space="0" w:color="auto"/>
            </w:tcBorders>
            <w:vAlign w:val="center"/>
          </w:tcPr>
          <w:p>
            <w:pPr>
              <w:spacing w:line="240" w:lineRule="auto"/>
            </w:pPr>
            <w:r>
              <w:rPr>
                <w:b/>
                <w:sz w:val="22"/>
              </w:rPr>
              <w:t>Studies</w:t>
            </w:r>
          </w:p>
        </w:tc>
        <w:tc>
          <w:tcPr>
            <w:tcW w:w="950" w:type="dxa"/>
            <w:tcBorders>
              <w:bottom w:val="single" w:sz="4" w:space="0" w:color="auto"/>
            </w:tcBorders>
            <w:vAlign w:val="center"/>
          </w:tcPr>
          <w:p>
            <w:pPr>
              <w:spacing w:line="240" w:lineRule="auto"/>
            </w:pPr>
            <w:r>
              <w:rPr>
                <w:b/>
                <w:sz w:val="22"/>
              </w:rPr>
              <w:t>MMAT (H / M / L)</w:t>
            </w:r>
          </w:p>
        </w:tc>
        <w:tc>
          <w:tcPr>
            <w:tcW w:w="1148" w:type="dxa"/>
            <w:tcBorders>
              <w:bottom w:val="single" w:sz="4" w:space="0" w:color="auto"/>
            </w:tcBorders>
            <w:vAlign w:val="center"/>
          </w:tcPr>
          <w:p>
            <w:pPr>
              <w:spacing w:line="240" w:lineRule="auto"/>
            </w:pPr>
            <w:r>
              <w:rPr>
                <w:b/>
                <w:sz w:val="22"/>
              </w:rPr>
              <w:t>Planning evidence strength</w:t>
            </w:r>
          </w:p>
        </w:tc>
      </w:tr>
      <w:tr>
        <w:trPr>
          <w:jc w:val="center"/>
        </w:trPr>
        <w:tc>
          <w:tcPr>
            <w:tcW w:w="780" w:type="dxa"/>
            <w:tcBorders>
              <w:top w:val="single" w:sz="4" w:space="0" w:color="auto"/>
              <w:bottom w:val="nil"/>
            </w:tcBorders>
            <w:vAlign w:val="center"/>
          </w:tcPr>
          <w:p>
            <w:pPr>
              <w:spacing w:line="240" w:lineRule="auto"/>
            </w:pPr>
            <w:r>
              <w:rPr>
                <w:b/>
                <w:sz w:val="22"/>
              </w:rPr>
              <w:t>L1</w:t>
            </w:r>
          </w:p>
        </w:tc>
        <w:tc>
          <w:tcPr>
            <w:tcW w:w="3081" w:type="dxa"/>
            <w:tcBorders>
              <w:top w:val="single" w:sz="4" w:space="0" w:color="auto"/>
              <w:bottom w:val="nil"/>
            </w:tcBorders>
            <w:vAlign w:val="center"/>
          </w:tcPr>
          <w:p>
            <w:pPr>
              <w:spacing w:line="240" w:lineRule="auto"/>
            </w:pPr>
            <w:r>
              <w:rPr>
                <w:sz w:val="22"/>
              </w:rPr>
              <w:t>Programme music in public space</w:t>
            </w:r>
          </w:p>
        </w:tc>
        <w:tc>
          <w:tcPr>
            <w:tcW w:w="6580" w:type="dxa"/>
            <w:tcBorders>
              <w:top w:val="single" w:sz="4" w:space="0" w:color="auto"/>
              <w:bottom w:val="nil"/>
            </w:tcBorders>
            <w:vAlign w:val="center"/>
          </w:tcPr>
          <w:p>
            <w:pPr>
              <w:spacing w:line="240" w:lineRule="auto"/>
            </w:pPr>
            <w:r>
              <w:rPr>
                <w:sz w:val="22"/>
              </w:rPr>
              <w:t>May increase dwell time and approach to or engagement with the sound source; evidence for increasing visitor numbers is weaker</w:t>
            </w:r>
          </w:p>
        </w:tc>
        <w:tc>
          <w:tcPr>
            <w:tcW w:w="1086" w:type="dxa"/>
            <w:tcBorders>
              <w:top w:val="single" w:sz="4" w:space="0" w:color="auto"/>
              <w:bottom w:val="nil"/>
            </w:tcBorders>
            <w:vAlign w:val="center"/>
          </w:tcPr>
          <w:p>
            <w:pPr>
              <w:spacing w:line="240" w:lineRule="auto"/>
            </w:pPr>
            <w:r>
              <w:rPr>
                <w:sz w:val="22"/>
              </w:rPr>
              <w:t>promotes</w:t>
            </w:r>
          </w:p>
        </w:tc>
        <w:tc>
          <w:tcPr>
            <w:tcW w:w="916" w:type="dxa"/>
            <w:tcBorders>
              <w:top w:val="single" w:sz="4" w:space="0" w:color="auto"/>
              <w:bottom w:val="nil"/>
            </w:tcBorders>
            <w:vAlign w:val="center"/>
          </w:tcPr>
          <w:p>
            <w:pPr>
              <w:spacing w:line="240" w:lineRule="auto"/>
            </w:pPr>
            <w:r>
              <w:rPr>
                <w:sz w:val="22"/>
              </w:rPr>
              <w:t>7</w:t>
            </w:r>
          </w:p>
        </w:tc>
        <w:tc>
          <w:tcPr>
            <w:tcW w:w="950" w:type="dxa"/>
            <w:tcBorders>
              <w:top w:val="single" w:sz="4" w:space="0" w:color="auto"/>
              <w:bottom w:val="nil"/>
            </w:tcBorders>
            <w:vAlign w:val="center"/>
          </w:tcPr>
          <w:p>
            <w:pPr>
              <w:spacing w:line="240" w:lineRule="auto"/>
            </w:pPr>
            <w:r>
              <w:rPr>
                <w:sz w:val="22"/>
              </w:rPr>
              <w:t>3 / 2 / 2</w:t>
            </w:r>
          </w:p>
        </w:tc>
        <w:tc>
          <w:tcPr>
            <w:tcW w:w="1148" w:type="dxa"/>
            <w:tcBorders>
              <w:top w:val="single" w:sz="4" w:space="0" w:color="auto"/>
              <w:bottom w:val="nil"/>
            </w:tcBorders>
            <w:vAlign w:val="center"/>
          </w:tcPr>
          <w:p>
            <w:pPr>
              <w:spacing w:line="240" w:lineRule="auto"/>
            </w:pPr>
            <w:r>
              <w:rPr>
                <w:b/>
                <w:sz w:val="22"/>
              </w:rPr>
              <w:t>Moderate</w:t>
            </w:r>
          </w:p>
        </w:tc>
      </w:tr>
      <w:tr>
        <w:trPr>
          <w:jc w:val="center"/>
        </w:trPr>
        <w:tc>
          <w:tcPr>
            <w:tcW w:w="780" w:type="dxa"/>
            <w:tcBorders>
              <w:top w:val="nil"/>
              <w:bottom w:val="nil"/>
            </w:tcBorders>
            <w:vAlign w:val="center"/>
          </w:tcPr>
          <w:p>
            <w:pPr>
              <w:spacing w:line="240" w:lineRule="auto"/>
            </w:pPr>
            <w:r>
              <w:rPr>
                <w:b/>
                <w:sz w:val="22"/>
              </w:rPr>
              <w:t>L2</w:t>
            </w:r>
          </w:p>
        </w:tc>
        <w:tc>
          <w:tcPr>
            <w:tcW w:w="3081" w:type="dxa"/>
            <w:tcBorders>
              <w:top w:val="nil"/>
              <w:bottom w:val="nil"/>
            </w:tcBorders>
            <w:vAlign w:val="center"/>
          </w:tcPr>
          <w:p>
            <w:pPr>
              <w:spacing w:line="240" w:lineRule="auto"/>
            </w:pPr>
            <w:r>
              <w:rPr>
                <w:sz w:val="22"/>
              </w:rPr>
              <w:t>Provide or enhance natural sounds (e.g., water, birdsong)</w:t>
            </w:r>
          </w:p>
        </w:tc>
        <w:tc>
          <w:tcPr>
            <w:tcW w:w="6580" w:type="dxa"/>
            <w:tcBorders>
              <w:top w:val="nil"/>
              <w:bottom w:val="nil"/>
            </w:tcBorders>
            <w:vAlign w:val="center"/>
          </w:tcPr>
          <w:p>
            <w:pPr>
              <w:spacing w:line="240" w:lineRule="auto"/>
            </w:pPr>
            <w:r>
              <w:rPr>
                <w:sz w:val="22"/>
              </w:rPr>
              <w:t>Associated with greater social interaction and staying; independent contributions of natural sound and competing-noise removal remain unresolved</w:t>
            </w:r>
          </w:p>
        </w:tc>
        <w:tc>
          <w:tcPr>
            <w:tcW w:w="1086" w:type="dxa"/>
            <w:tcBorders>
              <w:top w:val="nil"/>
              <w:bottom w:val="nil"/>
            </w:tcBorders>
            <w:vAlign w:val="center"/>
          </w:tcPr>
          <w:p>
            <w:pPr>
              <w:spacing w:line="240" w:lineRule="auto"/>
            </w:pPr>
            <w:r>
              <w:rPr>
                <w:sz w:val="22"/>
              </w:rPr>
              <w:t>promotes</w:t>
            </w:r>
          </w:p>
        </w:tc>
        <w:tc>
          <w:tcPr>
            <w:tcW w:w="916" w:type="dxa"/>
            <w:tcBorders>
              <w:top w:val="nil"/>
              <w:bottom w:val="nil"/>
            </w:tcBorders>
            <w:vAlign w:val="center"/>
          </w:tcPr>
          <w:p>
            <w:pPr>
              <w:spacing w:line="240" w:lineRule="auto"/>
            </w:pPr>
            <w:r>
              <w:rPr>
                <w:sz w:val="22"/>
              </w:rPr>
              <w:t>6</w:t>
            </w:r>
          </w:p>
        </w:tc>
        <w:tc>
          <w:tcPr>
            <w:tcW w:w="950" w:type="dxa"/>
            <w:tcBorders>
              <w:top w:val="nil"/>
              <w:bottom w:val="nil"/>
            </w:tcBorders>
            <w:vAlign w:val="center"/>
          </w:tcPr>
          <w:p>
            <w:pPr>
              <w:spacing w:line="240" w:lineRule="auto"/>
            </w:pPr>
            <w:r>
              <w:rPr>
                <w:sz w:val="22"/>
              </w:rPr>
              <w:t>2 / 3 / 1</w:t>
            </w:r>
          </w:p>
        </w:tc>
        <w:tc>
          <w:tcPr>
            <w:tcW w:w="1148" w:type="dxa"/>
            <w:tcBorders>
              <w:top w:val="nil"/>
              <w:bottom w:val="nil"/>
            </w:tcBorders>
            <w:vAlign w:val="center"/>
          </w:tcPr>
          <w:p>
            <w:pPr>
              <w:spacing w:line="240" w:lineRule="auto"/>
            </w:pPr>
            <w:r>
              <w:rPr>
                <w:b/>
                <w:sz w:val="22"/>
              </w:rPr>
              <w:t>Moderate</w:t>
            </w:r>
          </w:p>
        </w:tc>
      </w:tr>
      <w:tr>
        <w:trPr>
          <w:jc w:val="center"/>
        </w:trPr>
        <w:tc>
          <w:tcPr>
            <w:tcW w:w="780" w:type="dxa"/>
            <w:tcBorders>
              <w:top w:val="nil"/>
              <w:bottom w:val="nil"/>
            </w:tcBorders>
            <w:vAlign w:val="center"/>
          </w:tcPr>
          <w:p>
            <w:pPr>
              <w:spacing w:line="240" w:lineRule="auto"/>
            </w:pPr>
            <w:r>
              <w:rPr>
                <w:b/>
                <w:sz w:val="22"/>
              </w:rPr>
              <w:t>L3</w:t>
            </w:r>
          </w:p>
        </w:tc>
        <w:tc>
          <w:tcPr>
            <w:tcW w:w="3081" w:type="dxa"/>
            <w:tcBorders>
              <w:top w:val="nil"/>
              <w:bottom w:val="nil"/>
            </w:tcBorders>
            <w:vAlign w:val="center"/>
          </w:tcPr>
          <w:p>
            <w:pPr>
              <w:spacing w:line="240" w:lineRule="auto"/>
            </w:pPr>
            <w:r>
              <w:rPr>
                <w:sz w:val="22"/>
              </w:rPr>
              <w:t>Provide quieter routes for walking and cycling</w:t>
            </w:r>
          </w:p>
        </w:tc>
        <w:tc>
          <w:tcPr>
            <w:tcW w:w="6580" w:type="dxa"/>
            <w:tcBorders>
              <w:top w:val="nil"/>
              <w:bottom w:val="nil"/>
            </w:tcBorders>
            <w:vAlign w:val="center"/>
          </w:tcPr>
          <w:p>
            <w:pPr>
              <w:spacing w:line="240" w:lineRule="auto"/>
            </w:pPr>
            <w:r>
              <w:rPr>
                <w:sz w:val="22"/>
              </w:rPr>
              <w:t>May influence route choice and the spatial distribution of movement by allowing users to avoid noisier alignments</w:t>
            </w:r>
          </w:p>
        </w:tc>
        <w:tc>
          <w:tcPr>
            <w:tcW w:w="1086" w:type="dxa"/>
            <w:tcBorders>
              <w:top w:val="nil"/>
              <w:bottom w:val="nil"/>
            </w:tcBorders>
            <w:vAlign w:val="center"/>
          </w:tcPr>
          <w:p>
            <w:pPr>
              <w:spacing w:line="240" w:lineRule="auto"/>
            </w:pPr>
            <w:r>
              <w:rPr>
                <w:sz w:val="22"/>
              </w:rPr>
              <w:t>promotes</w:t>
            </w:r>
          </w:p>
        </w:tc>
        <w:tc>
          <w:tcPr>
            <w:tcW w:w="916" w:type="dxa"/>
            <w:tcBorders>
              <w:top w:val="nil"/>
              <w:bottom w:val="nil"/>
            </w:tcBorders>
            <w:vAlign w:val="center"/>
          </w:tcPr>
          <w:p>
            <w:pPr>
              <w:spacing w:line="240" w:lineRule="auto"/>
            </w:pPr>
            <w:r>
              <w:rPr>
                <w:sz w:val="22"/>
              </w:rPr>
              <w:t>8</w:t>
            </w:r>
          </w:p>
        </w:tc>
        <w:tc>
          <w:tcPr>
            <w:tcW w:w="950" w:type="dxa"/>
            <w:tcBorders>
              <w:top w:val="nil"/>
              <w:bottom w:val="nil"/>
            </w:tcBorders>
            <w:vAlign w:val="center"/>
          </w:tcPr>
          <w:p>
            <w:pPr>
              <w:spacing w:line="240" w:lineRule="auto"/>
            </w:pPr>
            <w:r>
              <w:rPr>
                <w:sz w:val="22"/>
              </w:rPr>
              <w:t>4 / 1 / 3</w:t>
            </w:r>
          </w:p>
        </w:tc>
        <w:tc>
          <w:tcPr>
            <w:tcW w:w="1148" w:type="dxa"/>
            <w:tcBorders>
              <w:top w:val="nil"/>
              <w:bottom w:val="nil"/>
            </w:tcBorders>
            <w:vAlign w:val="center"/>
          </w:tcPr>
          <w:p>
            <w:pPr>
              <w:spacing w:line="240" w:lineRule="auto"/>
            </w:pPr>
            <w:r>
              <w:rPr>
                <w:b/>
                <w:sz w:val="22"/>
              </w:rPr>
              <w:t>Moderate</w:t>
            </w:r>
          </w:p>
        </w:tc>
      </w:tr>
      <w:tr>
        <w:trPr>
          <w:jc w:val="center"/>
        </w:trPr>
        <w:tc>
          <w:tcPr>
            <w:tcW w:w="780" w:type="dxa"/>
            <w:tcBorders>
              <w:top w:val="nil"/>
              <w:bottom w:val="nil"/>
            </w:tcBorders>
            <w:vAlign w:val="center"/>
          </w:tcPr>
          <w:p>
            <w:pPr>
              <w:spacing w:line="240" w:lineRule="auto"/>
            </w:pPr>
            <w:r>
              <w:rPr>
                <w:b/>
                <w:sz w:val="22"/>
              </w:rPr>
              <w:t>L4</w:t>
            </w:r>
          </w:p>
        </w:tc>
        <w:tc>
          <w:tcPr>
            <w:tcW w:w="3081" w:type="dxa"/>
            <w:tcBorders>
              <w:top w:val="nil"/>
              <w:bottom w:val="nil"/>
            </w:tcBorders>
            <w:vAlign w:val="center"/>
          </w:tcPr>
          <w:p>
            <w:pPr>
              <w:spacing w:line="240" w:lineRule="auto"/>
            </w:pPr>
            <w:r>
              <w:rPr>
                <w:sz w:val="22"/>
              </w:rPr>
              <w:t>Remove, relocate, or reschedule mechanical and maintenance noise</w:t>
            </w:r>
          </w:p>
        </w:tc>
        <w:tc>
          <w:tcPr>
            <w:tcW w:w="6580" w:type="dxa"/>
            <w:tcBorders>
              <w:top w:val="nil"/>
              <w:bottom w:val="nil"/>
            </w:tcBorders>
            <w:vAlign w:val="center"/>
          </w:tcPr>
          <w:p>
            <w:pPr>
              <w:spacing w:line="240" w:lineRule="auto"/>
            </w:pPr>
            <w:r>
              <w:rPr>
                <w:sz w:val="22"/>
              </w:rPr>
              <w:t>May reduce avoidance and support staying and social interaction in intended social spaces</w:t>
            </w:r>
          </w:p>
        </w:tc>
        <w:tc>
          <w:tcPr>
            <w:tcW w:w="1086" w:type="dxa"/>
            <w:tcBorders>
              <w:top w:val="nil"/>
              <w:bottom w:val="nil"/>
            </w:tcBorders>
            <w:vAlign w:val="center"/>
          </w:tcPr>
          <w:p>
            <w:pPr>
              <w:spacing w:line="240" w:lineRule="auto"/>
            </w:pPr>
            <w:r>
              <w:rPr>
                <w:sz w:val="22"/>
              </w:rPr>
              <w:t>promotes</w:t>
            </w:r>
          </w:p>
        </w:tc>
        <w:tc>
          <w:tcPr>
            <w:tcW w:w="916" w:type="dxa"/>
            <w:tcBorders>
              <w:top w:val="nil"/>
              <w:bottom w:val="nil"/>
            </w:tcBorders>
            <w:vAlign w:val="center"/>
          </w:tcPr>
          <w:p>
            <w:pPr>
              <w:spacing w:line="240" w:lineRule="auto"/>
            </w:pPr>
            <w:r>
              <w:rPr>
                <w:sz w:val="22"/>
              </w:rPr>
              <w:t>7</w:t>
            </w:r>
          </w:p>
        </w:tc>
        <w:tc>
          <w:tcPr>
            <w:tcW w:w="950" w:type="dxa"/>
            <w:tcBorders>
              <w:top w:val="nil"/>
              <w:bottom w:val="nil"/>
            </w:tcBorders>
            <w:vAlign w:val="center"/>
          </w:tcPr>
          <w:p>
            <w:pPr>
              <w:spacing w:line="240" w:lineRule="auto"/>
            </w:pPr>
            <w:r>
              <w:rPr>
                <w:sz w:val="22"/>
              </w:rPr>
              <w:t>2 / 3 / 2</w:t>
            </w:r>
          </w:p>
        </w:tc>
        <w:tc>
          <w:tcPr>
            <w:tcW w:w="1148" w:type="dxa"/>
            <w:tcBorders>
              <w:top w:val="nil"/>
              <w:bottom w:val="nil"/>
            </w:tcBorders>
            <w:vAlign w:val="center"/>
          </w:tcPr>
          <w:p>
            <w:pPr>
              <w:spacing w:line="240" w:lineRule="auto"/>
            </w:pPr>
            <w:r>
              <w:rPr>
                <w:b/>
                <w:sz w:val="22"/>
              </w:rPr>
              <w:t>Moderate</w:t>
            </w:r>
          </w:p>
        </w:tc>
      </w:tr>
      <w:tr>
        <w:trPr>
          <w:jc w:val="center"/>
        </w:trPr>
        <w:tc>
          <w:tcPr>
            <w:tcW w:w="780" w:type="dxa"/>
            <w:tcBorders>
              <w:top w:val="nil"/>
              <w:bottom w:val="nil"/>
            </w:tcBorders>
            <w:vAlign w:val="center"/>
          </w:tcPr>
          <w:p>
            <w:pPr>
              <w:spacing w:line="240" w:lineRule="auto"/>
            </w:pPr>
            <w:r>
              <w:rPr>
                <w:b/>
                <w:sz w:val="22"/>
              </w:rPr>
              <w:t>L5</w:t>
            </w:r>
          </w:p>
        </w:tc>
        <w:tc>
          <w:tcPr>
            <w:tcW w:w="3081" w:type="dxa"/>
            <w:tcBorders>
              <w:top w:val="nil"/>
              <w:bottom w:val="nil"/>
            </w:tcBorders>
            <w:vAlign w:val="center"/>
          </w:tcPr>
          <w:p>
            <w:pPr>
              <w:spacing w:line="240" w:lineRule="auto"/>
            </w:pPr>
            <w:r>
              <w:rPr>
                <w:sz w:val="22"/>
              </w:rPr>
              <w:t>Provide quieter sides or designated quiet zones</w:t>
            </w:r>
          </w:p>
        </w:tc>
        <w:tc>
          <w:tcPr>
            <w:tcW w:w="6580" w:type="dxa"/>
            <w:tcBorders>
              <w:top w:val="nil"/>
              <w:bottom w:val="nil"/>
            </w:tcBorders>
            <w:vAlign w:val="center"/>
          </w:tcPr>
          <w:p>
            <w:pPr>
              <w:spacing w:line="240" w:lineRule="auto"/>
            </w:pPr>
            <w:r>
              <w:rPr>
                <w:sz w:val="22"/>
              </w:rPr>
              <w:t>May support walking, exercise, rest, and staying where acoustic conditions are otherwise constraining</w:t>
            </w:r>
          </w:p>
        </w:tc>
        <w:tc>
          <w:tcPr>
            <w:tcW w:w="1086" w:type="dxa"/>
            <w:tcBorders>
              <w:top w:val="nil"/>
              <w:bottom w:val="nil"/>
            </w:tcBorders>
            <w:vAlign w:val="center"/>
          </w:tcPr>
          <w:p>
            <w:pPr>
              <w:spacing w:line="240" w:lineRule="auto"/>
            </w:pPr>
            <w:r>
              <w:rPr>
                <w:sz w:val="22"/>
              </w:rPr>
              <w:t>mixed</w:t>
            </w:r>
          </w:p>
        </w:tc>
        <w:tc>
          <w:tcPr>
            <w:tcW w:w="916" w:type="dxa"/>
            <w:tcBorders>
              <w:top w:val="nil"/>
              <w:bottom w:val="nil"/>
            </w:tcBorders>
            <w:vAlign w:val="center"/>
          </w:tcPr>
          <w:p>
            <w:pPr>
              <w:spacing w:line="240" w:lineRule="auto"/>
            </w:pPr>
            <w:r>
              <w:rPr>
                <w:sz w:val="22"/>
              </w:rPr>
              <w:t>10</w:t>
            </w:r>
          </w:p>
        </w:tc>
        <w:tc>
          <w:tcPr>
            <w:tcW w:w="950" w:type="dxa"/>
            <w:tcBorders>
              <w:top w:val="nil"/>
              <w:bottom w:val="nil"/>
            </w:tcBorders>
            <w:vAlign w:val="center"/>
          </w:tcPr>
          <w:p>
            <w:pPr>
              <w:spacing w:line="240" w:lineRule="auto"/>
            </w:pPr>
            <w:r>
              <w:rPr>
                <w:sz w:val="22"/>
              </w:rPr>
              <w:t>2 / 4 / 4</w:t>
            </w:r>
          </w:p>
        </w:tc>
        <w:tc>
          <w:tcPr>
            <w:tcW w:w="1148" w:type="dxa"/>
            <w:tcBorders>
              <w:top w:val="nil"/>
              <w:bottom w:val="nil"/>
            </w:tcBorders>
            <w:vAlign w:val="center"/>
          </w:tcPr>
          <w:p>
            <w:pPr>
              <w:spacing w:line="240" w:lineRule="auto"/>
            </w:pPr>
            <w:r>
              <w:rPr>
                <w:b/>
                <w:sz w:val="22"/>
              </w:rPr>
              <w:t>Low</w:t>
            </w:r>
          </w:p>
        </w:tc>
      </w:tr>
      <w:tr>
        <w:trPr>
          <w:jc w:val="center"/>
        </w:trPr>
        <w:tc>
          <w:tcPr>
            <w:tcW w:w="780" w:type="dxa"/>
            <w:tcBorders>
              <w:top w:val="nil"/>
              <w:bottom w:val="nil"/>
            </w:tcBorders>
            <w:vAlign w:val="center"/>
          </w:tcPr>
          <w:p>
            <w:pPr>
              <w:spacing w:line="240" w:lineRule="auto"/>
            </w:pPr>
            <w:r>
              <w:rPr>
                <w:b/>
                <w:sz w:val="22"/>
              </w:rPr>
              <w:t>L6</w:t>
            </w:r>
          </w:p>
        </w:tc>
        <w:tc>
          <w:tcPr>
            <w:tcW w:w="3081" w:type="dxa"/>
            <w:tcBorders>
              <w:top w:val="nil"/>
              <w:bottom w:val="nil"/>
            </w:tcBorders>
            <w:vAlign w:val="center"/>
          </w:tcPr>
          <w:p>
            <w:pPr>
              <w:spacing w:line="240" w:lineRule="auto"/>
            </w:pPr>
            <w:r>
              <w:rPr>
                <w:sz w:val="22"/>
              </w:rPr>
              <w:t>Use acoustic zoning and spatial separation of functions</w:t>
            </w:r>
          </w:p>
        </w:tc>
        <w:tc>
          <w:tcPr>
            <w:tcW w:w="6580" w:type="dxa"/>
            <w:tcBorders>
              <w:top w:val="nil"/>
              <w:bottom w:val="nil"/>
            </w:tcBorders>
            <w:vAlign w:val="center"/>
          </w:tcPr>
          <w:p>
            <w:pPr>
              <w:spacing w:line="240" w:lineRule="auto"/>
            </w:pPr>
            <w:r>
              <w:rPr>
                <w:sz w:val="22"/>
              </w:rPr>
              <w:t>May redistribute crowd density, interaction, and staying across adjacent activity areas</w:t>
            </w:r>
          </w:p>
        </w:tc>
        <w:tc>
          <w:tcPr>
            <w:tcW w:w="1086" w:type="dxa"/>
            <w:tcBorders>
              <w:top w:val="nil"/>
              <w:bottom w:val="nil"/>
            </w:tcBorders>
            <w:vAlign w:val="center"/>
          </w:tcPr>
          <w:p>
            <w:pPr>
              <w:spacing w:line="240" w:lineRule="auto"/>
            </w:pPr>
            <w:r>
              <w:rPr>
                <w:sz w:val="22"/>
              </w:rPr>
              <w:t>mixed</w:t>
            </w:r>
          </w:p>
        </w:tc>
        <w:tc>
          <w:tcPr>
            <w:tcW w:w="916" w:type="dxa"/>
            <w:tcBorders>
              <w:top w:val="nil"/>
              <w:bottom w:val="nil"/>
            </w:tcBorders>
            <w:vAlign w:val="center"/>
          </w:tcPr>
          <w:p>
            <w:pPr>
              <w:spacing w:line="240" w:lineRule="auto"/>
            </w:pPr>
            <w:r>
              <w:rPr>
                <w:sz w:val="22"/>
              </w:rPr>
              <w:t>6</w:t>
            </w:r>
          </w:p>
        </w:tc>
        <w:tc>
          <w:tcPr>
            <w:tcW w:w="950" w:type="dxa"/>
            <w:tcBorders>
              <w:top w:val="nil"/>
              <w:bottom w:val="nil"/>
            </w:tcBorders>
            <w:vAlign w:val="center"/>
          </w:tcPr>
          <w:p>
            <w:pPr>
              <w:spacing w:line="240" w:lineRule="auto"/>
            </w:pPr>
            <w:r>
              <w:rPr>
                <w:sz w:val="22"/>
              </w:rPr>
              <w:t>1 / 5 / 0</w:t>
            </w:r>
          </w:p>
        </w:tc>
        <w:tc>
          <w:tcPr>
            <w:tcW w:w="1148" w:type="dxa"/>
            <w:tcBorders>
              <w:top w:val="nil"/>
              <w:bottom w:val="nil"/>
            </w:tcBorders>
            <w:vAlign w:val="center"/>
          </w:tcPr>
          <w:p>
            <w:pPr>
              <w:spacing w:line="240" w:lineRule="auto"/>
            </w:pPr>
            <w:r>
              <w:rPr>
                <w:b/>
                <w:sz w:val="22"/>
              </w:rPr>
              <w:t>Low</w:t>
            </w:r>
          </w:p>
        </w:tc>
      </w:tr>
      <w:tr>
        <w:trPr>
          <w:jc w:val="center"/>
        </w:trPr>
        <w:tc>
          <w:tcPr>
            <w:tcW w:w="780" w:type="dxa"/>
            <w:tcBorders>
              <w:top w:val="nil"/>
              <w:bottom w:val="nil"/>
            </w:tcBorders>
            <w:vAlign w:val="center"/>
          </w:tcPr>
          <w:p>
            <w:pPr>
              <w:spacing w:line="240" w:lineRule="auto"/>
            </w:pPr>
            <w:r>
              <w:rPr>
                <w:b/>
                <w:sz w:val="22"/>
              </w:rPr>
              <w:t>L7</w:t>
            </w:r>
          </w:p>
        </w:tc>
        <w:tc>
          <w:tcPr>
            <w:tcW w:w="3081" w:type="dxa"/>
            <w:tcBorders>
              <w:top w:val="nil"/>
              <w:bottom w:val="nil"/>
            </w:tcBorders>
            <w:vAlign w:val="center"/>
          </w:tcPr>
          <w:p>
            <w:pPr>
              <w:spacing w:line="240" w:lineRule="auto"/>
            </w:pPr>
            <w:r>
              <w:rPr>
                <w:sz w:val="22"/>
              </w:rPr>
              <w:t>Programme sound-generating public activities</w:t>
            </w:r>
          </w:p>
        </w:tc>
        <w:tc>
          <w:tcPr>
            <w:tcW w:w="6580" w:type="dxa"/>
            <w:tcBorders>
              <w:top w:val="nil"/>
              <w:bottom w:val="nil"/>
            </w:tcBorders>
            <w:vAlign w:val="center"/>
          </w:tcPr>
          <w:p>
            <w:pPr>
              <w:spacing w:line="240" w:lineRule="auto"/>
            </w:pPr>
            <w:r>
              <w:rPr>
                <w:sz w:val="22"/>
              </w:rPr>
              <w:t>May convert passage into watching, lingering, and social interaction; evidence for increasing overall visitor numbers is insufficient</w:t>
            </w:r>
          </w:p>
        </w:tc>
        <w:tc>
          <w:tcPr>
            <w:tcW w:w="1086" w:type="dxa"/>
            <w:tcBorders>
              <w:top w:val="nil"/>
              <w:bottom w:val="nil"/>
            </w:tcBorders>
            <w:vAlign w:val="center"/>
          </w:tcPr>
          <w:p>
            <w:pPr>
              <w:spacing w:line="240" w:lineRule="auto"/>
            </w:pPr>
            <w:r>
              <w:rPr>
                <w:sz w:val="22"/>
              </w:rPr>
              <w:t>promotes</w:t>
            </w:r>
          </w:p>
        </w:tc>
        <w:tc>
          <w:tcPr>
            <w:tcW w:w="916" w:type="dxa"/>
            <w:tcBorders>
              <w:top w:val="nil"/>
              <w:bottom w:val="nil"/>
            </w:tcBorders>
            <w:vAlign w:val="center"/>
          </w:tcPr>
          <w:p>
            <w:pPr>
              <w:spacing w:line="240" w:lineRule="auto"/>
            </w:pPr>
            <w:r>
              <w:rPr>
                <w:sz w:val="22"/>
              </w:rPr>
              <w:t>6</w:t>
            </w:r>
          </w:p>
        </w:tc>
        <w:tc>
          <w:tcPr>
            <w:tcW w:w="950" w:type="dxa"/>
            <w:tcBorders>
              <w:top w:val="nil"/>
              <w:bottom w:val="nil"/>
            </w:tcBorders>
            <w:vAlign w:val="center"/>
          </w:tcPr>
          <w:p>
            <w:pPr>
              <w:spacing w:line="240" w:lineRule="auto"/>
            </w:pPr>
            <w:r>
              <w:rPr>
                <w:sz w:val="22"/>
              </w:rPr>
              <w:t>1 / 2 / 3</w:t>
            </w:r>
          </w:p>
        </w:tc>
        <w:tc>
          <w:tcPr>
            <w:tcW w:w="1148" w:type="dxa"/>
            <w:tcBorders>
              <w:top w:val="nil"/>
              <w:bottom w:val="nil"/>
            </w:tcBorders>
            <w:vAlign w:val="center"/>
          </w:tcPr>
          <w:p>
            <w:pPr>
              <w:spacing w:line="240" w:lineRule="auto"/>
            </w:pPr>
            <w:r>
              <w:rPr>
                <w:b/>
                <w:sz w:val="22"/>
              </w:rPr>
              <w:t>Low</w:t>
            </w:r>
          </w:p>
        </w:tc>
      </w:tr>
      <w:tr>
        <w:trPr>
          <w:jc w:val="center"/>
        </w:trPr>
        <w:tc>
          <w:tcPr>
            <w:tcW w:w="780" w:type="dxa"/>
            <w:tcBorders>
              <w:top w:val="nil"/>
              <w:bottom w:val="nil"/>
            </w:tcBorders>
            <w:vAlign w:val="center"/>
          </w:tcPr>
          <w:p>
            <w:pPr>
              <w:spacing w:line="240" w:lineRule="auto"/>
            </w:pPr>
            <w:r>
              <w:rPr>
                <w:b/>
                <w:sz w:val="22"/>
              </w:rPr>
              <w:t>L8</w:t>
            </w:r>
          </w:p>
        </w:tc>
        <w:tc>
          <w:tcPr>
            <w:tcW w:w="3081" w:type="dxa"/>
            <w:tcBorders>
              <w:top w:val="nil"/>
              <w:bottom w:val="nil"/>
            </w:tcBorders>
            <w:vAlign w:val="center"/>
          </w:tcPr>
          <w:p>
            <w:pPr>
              <w:spacing w:line="240" w:lineRule="auto"/>
            </w:pPr>
            <w:r>
              <w:rPr>
                <w:sz w:val="22"/>
              </w:rPr>
              <w:t>Use auditory guidance and warning signals where appropriate</w:t>
            </w:r>
          </w:p>
        </w:tc>
        <w:tc>
          <w:tcPr>
            <w:tcW w:w="6580" w:type="dxa"/>
            <w:tcBorders>
              <w:top w:val="nil"/>
              <w:bottom w:val="nil"/>
            </w:tcBorders>
            <w:vAlign w:val="center"/>
          </w:tcPr>
          <w:p>
            <w:pPr>
              <w:spacing w:line="240" w:lineRule="auto"/>
            </w:pPr>
            <w:r>
              <w:rPr>
                <w:sz w:val="22"/>
              </w:rPr>
              <w:t>May modify crossing trajectories, detection timing, and movement responses</w:t>
            </w:r>
          </w:p>
        </w:tc>
        <w:tc>
          <w:tcPr>
            <w:tcW w:w="1086" w:type="dxa"/>
            <w:tcBorders>
              <w:top w:val="nil"/>
              <w:bottom w:val="nil"/>
            </w:tcBorders>
            <w:vAlign w:val="center"/>
          </w:tcPr>
          <w:p>
            <w:pPr>
              <w:spacing w:line="240" w:lineRule="auto"/>
            </w:pPr>
            <w:r>
              <w:rPr>
                <w:sz w:val="22"/>
              </w:rPr>
              <w:t>mixed</w:t>
            </w:r>
          </w:p>
        </w:tc>
        <w:tc>
          <w:tcPr>
            <w:tcW w:w="916" w:type="dxa"/>
            <w:tcBorders>
              <w:top w:val="nil"/>
              <w:bottom w:val="nil"/>
            </w:tcBorders>
            <w:vAlign w:val="center"/>
          </w:tcPr>
          <w:p>
            <w:pPr>
              <w:spacing w:line="240" w:lineRule="auto"/>
            </w:pPr>
            <w:r>
              <w:rPr>
                <w:sz w:val="22"/>
              </w:rPr>
              <w:t>4</w:t>
            </w:r>
          </w:p>
        </w:tc>
        <w:tc>
          <w:tcPr>
            <w:tcW w:w="950" w:type="dxa"/>
            <w:tcBorders>
              <w:top w:val="nil"/>
              <w:bottom w:val="nil"/>
            </w:tcBorders>
            <w:vAlign w:val="center"/>
          </w:tcPr>
          <w:p>
            <w:pPr>
              <w:spacing w:line="240" w:lineRule="auto"/>
            </w:pPr>
            <w:r>
              <w:rPr>
                <w:sz w:val="22"/>
              </w:rPr>
              <w:t>1 / 2 / 1</w:t>
            </w:r>
          </w:p>
        </w:tc>
        <w:tc>
          <w:tcPr>
            <w:tcW w:w="1148" w:type="dxa"/>
            <w:tcBorders>
              <w:top w:val="nil"/>
              <w:bottom w:val="nil"/>
            </w:tcBorders>
            <w:vAlign w:val="center"/>
          </w:tcPr>
          <w:p>
            <w:pPr>
              <w:spacing w:line="240" w:lineRule="auto"/>
            </w:pPr>
            <w:r>
              <w:rPr>
                <w:b/>
                <w:sz w:val="22"/>
              </w:rPr>
              <w:t>Low</w:t>
            </w:r>
          </w:p>
        </w:tc>
      </w:tr>
      <w:tr>
        <w:trPr>
          <w:jc w:val="center"/>
        </w:trPr>
        <w:tc>
          <w:tcPr>
            <w:tcW w:w="780" w:type="dxa"/>
            <w:tcBorders>
              <w:top w:val="nil"/>
              <w:bottom w:val="nil"/>
            </w:tcBorders>
            <w:vAlign w:val="center"/>
          </w:tcPr>
          <w:p>
            <w:pPr>
              <w:spacing w:line="240" w:lineRule="auto"/>
            </w:pPr>
            <w:r>
              <w:rPr>
                <w:b/>
                <w:sz w:val="22"/>
              </w:rPr>
              <w:t>L9</w:t>
            </w:r>
          </w:p>
        </w:tc>
        <w:tc>
          <w:tcPr>
            <w:tcW w:w="3081" w:type="dxa"/>
            <w:tcBorders>
              <w:top w:val="nil"/>
              <w:bottom w:val="nil"/>
            </w:tcBorders>
            <w:vAlign w:val="center"/>
          </w:tcPr>
          <w:p>
            <w:pPr>
              <w:spacing w:line="240" w:lineRule="auto"/>
            </w:pPr>
            <w:r>
              <w:rPr>
                <w:sz w:val="22"/>
              </w:rPr>
              <w:t>Treat natural sound as a potential modifier of pedestrian pace</w:t>
            </w:r>
          </w:p>
        </w:tc>
        <w:tc>
          <w:tcPr>
            <w:tcW w:w="6580" w:type="dxa"/>
            <w:tcBorders>
              <w:top w:val="nil"/>
              <w:bottom w:val="nil"/>
            </w:tcBorders>
            <w:vAlign w:val="center"/>
          </w:tcPr>
          <w:p>
            <w:pPr>
              <w:spacing w:line="240" w:lineRule="auto"/>
            </w:pPr>
            <w:r>
              <w:rPr>
                <w:sz w:val="22"/>
              </w:rPr>
              <w:t>Existing evidence is insufficient to justify designing specifically to slow pedestrian movement through natural sound</w:t>
            </w:r>
          </w:p>
        </w:tc>
        <w:tc>
          <w:tcPr>
            <w:tcW w:w="1086" w:type="dxa"/>
            <w:tcBorders>
              <w:top w:val="nil"/>
              <w:bottom w:val="nil"/>
            </w:tcBorders>
            <w:vAlign w:val="center"/>
          </w:tcPr>
          <w:p>
            <w:pPr>
              <w:spacing w:line="240" w:lineRule="auto"/>
            </w:pPr>
            <w:r>
              <w:rPr>
                <w:sz w:val="22"/>
              </w:rPr>
              <w:t>mixed</w:t>
            </w:r>
          </w:p>
        </w:tc>
        <w:tc>
          <w:tcPr>
            <w:tcW w:w="916" w:type="dxa"/>
            <w:tcBorders>
              <w:top w:val="nil"/>
              <w:bottom w:val="nil"/>
            </w:tcBorders>
            <w:vAlign w:val="center"/>
          </w:tcPr>
          <w:p>
            <w:pPr>
              <w:spacing w:line="240" w:lineRule="auto"/>
            </w:pPr>
            <w:r>
              <w:rPr>
                <w:sz w:val="22"/>
              </w:rPr>
              <w:t>5</w:t>
            </w:r>
          </w:p>
        </w:tc>
        <w:tc>
          <w:tcPr>
            <w:tcW w:w="950" w:type="dxa"/>
            <w:tcBorders>
              <w:top w:val="nil"/>
              <w:bottom w:val="nil"/>
            </w:tcBorders>
            <w:vAlign w:val="center"/>
          </w:tcPr>
          <w:p>
            <w:pPr>
              <w:spacing w:line="240" w:lineRule="auto"/>
            </w:pPr>
            <w:r>
              <w:rPr>
                <w:sz w:val="22"/>
              </w:rPr>
              <w:t>1 / 0 / 4</w:t>
            </w:r>
          </w:p>
        </w:tc>
        <w:tc>
          <w:tcPr>
            <w:tcW w:w="1148" w:type="dxa"/>
            <w:tcBorders>
              <w:top w:val="nil"/>
              <w:bottom w:val="nil"/>
            </w:tcBorders>
            <w:vAlign w:val="center"/>
          </w:tcPr>
          <w:p>
            <w:pPr>
              <w:spacing w:line="240" w:lineRule="auto"/>
            </w:pPr>
            <w:r>
              <w:rPr>
                <w:b/>
                <w:sz w:val="22"/>
              </w:rPr>
              <w:t>Very low</w:t>
            </w:r>
          </w:p>
        </w:tc>
      </w:tr>
      <w:tr>
        <w:trPr>
          <w:jc w:val="center"/>
        </w:trPr>
        <w:tc>
          <w:tcPr>
            <w:tcW w:w="780" w:type="dxa"/>
            <w:tcBorders>
              <w:top w:val="nil"/>
              <w:bottom w:val="single" w:sz="12" w:space="0" w:color="auto"/>
            </w:tcBorders>
            <w:vAlign w:val="center"/>
          </w:tcPr>
          <w:p>
            <w:pPr>
              <w:spacing w:line="240" w:lineRule="auto"/>
            </w:pPr>
            <w:r>
              <w:rPr>
                <w:b/>
                <w:sz w:val="22"/>
              </w:rPr>
              <w:t>L10</w:t>
            </w:r>
          </w:p>
        </w:tc>
        <w:tc>
          <w:tcPr>
            <w:tcW w:w="3081" w:type="dxa"/>
            <w:tcBorders>
              <w:top w:val="nil"/>
              <w:bottom w:val="single" w:sz="12" w:space="0" w:color="auto"/>
            </w:tcBorders>
            <w:vAlign w:val="center"/>
          </w:tcPr>
          <w:p>
            <w:pPr>
              <w:spacing w:line="240" w:lineRule="auto"/>
            </w:pPr>
            <w:r>
              <w:rPr>
                <w:sz w:val="22"/>
              </w:rPr>
              <w:t>Use speech-interference considerations when locating social spaces</w:t>
            </w:r>
          </w:p>
        </w:tc>
        <w:tc>
          <w:tcPr>
            <w:tcW w:w="6580" w:type="dxa"/>
            <w:tcBorders>
              <w:top w:val="nil"/>
              <w:bottom w:val="single" w:sz="12" w:space="0" w:color="auto"/>
            </w:tcBorders>
            <w:vAlign w:val="center"/>
          </w:tcPr>
          <w:p>
            <w:pPr>
              <w:spacing w:line="240" w:lineRule="auto"/>
            </w:pPr>
            <w:r>
              <w:rPr>
                <w:sz w:val="22"/>
              </w:rPr>
              <w:t>Lower acoustic interference may support conversational interaction and reduce vocal effort</w:t>
            </w:r>
          </w:p>
        </w:tc>
        <w:tc>
          <w:tcPr>
            <w:tcW w:w="1086" w:type="dxa"/>
            <w:tcBorders>
              <w:top w:val="nil"/>
              <w:bottom w:val="single" w:sz="12" w:space="0" w:color="auto"/>
            </w:tcBorders>
            <w:vAlign w:val="center"/>
          </w:tcPr>
          <w:p>
            <w:pPr>
              <w:spacing w:line="240" w:lineRule="auto"/>
            </w:pPr>
            <w:r>
              <w:rPr>
                <w:sz w:val="22"/>
              </w:rPr>
              <w:t>promotes</w:t>
            </w:r>
          </w:p>
        </w:tc>
        <w:tc>
          <w:tcPr>
            <w:tcW w:w="916" w:type="dxa"/>
            <w:tcBorders>
              <w:top w:val="nil"/>
              <w:bottom w:val="single" w:sz="12" w:space="0" w:color="auto"/>
            </w:tcBorders>
            <w:vAlign w:val="center"/>
          </w:tcPr>
          <w:p>
            <w:pPr>
              <w:spacing w:line="240" w:lineRule="auto"/>
            </w:pPr>
            <w:r>
              <w:rPr>
                <w:sz w:val="22"/>
              </w:rPr>
              <w:t>3</w:t>
            </w:r>
          </w:p>
        </w:tc>
        <w:tc>
          <w:tcPr>
            <w:tcW w:w="950" w:type="dxa"/>
            <w:tcBorders>
              <w:top w:val="nil"/>
              <w:bottom w:val="single" w:sz="12" w:space="0" w:color="auto"/>
            </w:tcBorders>
            <w:vAlign w:val="center"/>
          </w:tcPr>
          <w:p>
            <w:pPr>
              <w:spacing w:line="240" w:lineRule="auto"/>
            </w:pPr>
            <w:r>
              <w:rPr>
                <w:sz w:val="22"/>
              </w:rPr>
              <w:t>2 / 1 / 0</w:t>
            </w:r>
          </w:p>
        </w:tc>
        <w:tc>
          <w:tcPr>
            <w:tcW w:w="1148" w:type="dxa"/>
            <w:tcBorders>
              <w:top w:val="nil"/>
              <w:bottom w:val="single" w:sz="12" w:space="0" w:color="auto"/>
            </w:tcBorders>
            <w:vAlign w:val="center"/>
          </w:tcPr>
          <w:p>
            <w:pPr>
              <w:spacing w:line="240" w:lineRule="auto"/>
            </w:pPr>
            <w:r>
              <w:rPr>
                <w:b/>
                <w:sz w:val="22"/>
              </w:rPr>
              <w:t>Low</w:t>
            </w:r>
          </w:p>
        </w:tc>
      </w:tr>
    </w:tbl>
    <w:p>
      <w:pPr>
        <w:spacing w:before="160" w:after="80" w:line="240" w:lineRule="auto"/>
      </w:pPr>
      <w:r>
        <w:rPr>
          <w:i/>
          <w:sz w:val="22"/>
        </w:rPr>
        <w:t>Note.</w:t>
      </w:r>
      <w:r>
        <w:rPr>
          <w:sz w:val="22"/>
        </w:rPr>
        <w:t xml:space="preserve"> Planning evidence strength is a pragmatic synthesis judgement based on the number of contributing studies, their MMAT grades, statistical uncertainty, diversity of settings and sensitivity to analytical decisions (Section 2.8); it is not a validated certainty-of-evidence framework such as GRADE. Mixed = contributing studies differ in direction or the behavioural implication depends on context. MMAT (H / M / L) = number of contributing studies rated high, moderate and low. Moderate = may be included in a design proposal with post-occupancy monitoring; Low = to be tested as a hypothesis and not written into a standard or guideline; Very low = no prescriptive basis at present.</w:t>
      </w:r>
    </w:p>
    <w:p>
      <w:pPr>
        <w:keepNext/>
        <w:widowControl w:val="0"/>
        <w:tabs>
          <w:tab w:val="num" w:pos="576"/>
        </w:tabs>
        <w:suppressAutoHyphens/>
        <w:ind w:left="576" w:hanging="576"/>
        <w:jc w:val="both"/>
        <w:outlineLvl w:val="1"/>
        <w:rPr>
          <w:b/>
          <w:kern w:val="2"/>
          <w:szCs w:val="24"/>
          <w:lang w:eastAsia="ko-KR"/>
        </w:rPr>
        <w:sectPr>
          <w:pgSz w:w="16834" w:h="11909" w:orient="landscape"/>
          <w:pgMar w:top="851" w:right="1440" w:bottom="1440" w:left="851" w:header="720" w:footer="720" w:gutter="0"/>
          <w:cols w:space="720"/>
          <w:docGrid w:linePitch="360"/>
        </w:sect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4.3 Implications for landscape planning</w:t>
      </w:r>
    </w:p>
    <w:p>
      <w:pPr>
        <w:ind w:firstLine="288"/>
        <w:jc w:val="both"/>
        <w:rPr>
          <w:lang w:eastAsia="ko-KR"/>
        </w:rPr>
      </w:pPr>
      <w:r>
        <w:rPr>
          <w:lang w:eastAsia="ko-KR"/>
        </w:rPr>
        <w:t>Table 4를 실무에 적용할 때는 효과크기보다 근거의 방어 가능성을 기준으로 판단하는 것이 적절하다. 가장 먼저 고려할 조치는 사회적 상호작용이 의도된 공간에서 운영 소음을 통제하는 것이다. 현재 코퍼스에서 가장 분명한 행태적 함의는 기계·유지관리 소음에 노출된 세팅의 사회적 상호작용에 관한 것이며, 낯선 사람에게 도움을 주는 행동도 여기에 포함된다. 이 레버는 운영 측면에서도 적용하기 쉽다. 환기 설비 가동 일정, 유지관리 시간, 공사 기간은 공간 전체를 다시 설계하지 않고도 조정할 수 있는 경우가 많다. 13년 간격으로 수행된 두 현장실험도 같은 방향의 결과를 보였다. Mathews와 Canon [40]의 보도 현장실험(실험 2)에서는 머플러를 제거한 잔디깎기로 주변음을 약 50 dB(C)에서 87 dB(C)로 높이자 떨어뜨린 물건을 주워 준 사람이 40명 중 20명에서 5명으로 줄었고(OR = 7.00), Moser [39]는 파리의 가로에서 도로공사 소음을 이용해 같은 2 × 2 설계를 적용한 결과 도움 행동이 줄었음을 보고했다. 두 연구는 서로 무관한 소음원과 서로 다른 도움 행동 과제를 사용했으므로, 결과가 일치한다는 점은 연구 수(</w:t>
      </w:r>
      <w:r>
        <w:rPr>
          <w:i/>
          <w:lang w:eastAsia="ko-KR"/>
        </w:rPr>
        <w:t>k</w:t>
      </w:r>
      <w:r>
        <w:rPr>
          <w:lang w:eastAsia="ko-KR"/>
        </w:rPr>
        <w:t xml:space="preserve"> = 4)만으로 판단할 때보다 더 많은 정보를 준다. 다만 Mathews와 Canon은 자료 수집 지역을 밝히지 않았으므로 국가 간 반복으로 보기는 어렵다. 증거는 여전히 제한적이지만 개입의 논리가 구체적이고 검증 가능하다.</w:t>
      </w:r>
    </w:p>
    <w:p>
      <w:pPr>
        <w:ind w:firstLine="288"/>
        <w:jc w:val="both"/>
        <w:rPr>
          <w:lang w:eastAsia="ko-KR"/>
        </w:rPr>
      </w:pPr>
      <w:r>
        <w:rPr>
          <w:lang w:eastAsia="ko-KR"/>
        </w:rPr>
        <w:t>음악 같은 부가음은 방문객 수를 늘리는 수단이라기보다 체류와 관여(engagement)를 늘리는 잠재적 도구로 보는 것이 적절하다. 음악은 체류 시간이나 음원과의 상호작용을 늘릴 수 있지만, 전체 방문객 수를 늘린다는 근거는 더 약하다. 방문객 수를 정량적으로 검정한 유일한 MMAT high 등급 연구[34]에서는 멈춰 서는 사람의 수에서 효과를 발견하지 못했다. 따라서 방문객 수 목표를 근거로 음향 프로그램 도입을 정당화하는 것은 현재 증거의 범위를 넘어선다. 벤치 군집, 테라스, 만남의 장소처럼 대화를 위한 공간의 입지를 정할 때는 회화 간섭(speech interference)을 고려할 필요가 있다(L10). 이러한 공간에서 중요한 것은 성가심도가 규제 기준보다 낮은지가 아니라 대화가 가능한지다. 기존 증거는 하나의 기준값보다 연속적인 관계를 지지한다. 등가소음도가 1 dB 높을수록 자기보고 발성 노력(vocal effort)이 약 0.25점 높아지는 연관이 보고됐으며[43], 이는 4 dB 차이가 같은 척도에서 약 1점에 해당함을 뜻한다. 이 정도의 근거는 후보지 간 비교 선별(comparative site screening)에는 활용할 수 있지만 단일한 처방 기준치를 정당화하지는 못한다.</w:t>
      </w:r>
    </w:p>
    <w:p>
      <w:pPr>
        <w:ind w:firstLine="288"/>
        <w:jc w:val="both"/>
        <w:rPr>
          <w:lang w:eastAsia="ko-KR"/>
        </w:rPr>
      </w:pPr>
      <w:r>
        <w:rPr>
          <w:lang w:eastAsia="ko-KR"/>
        </w:rPr>
        <w:t>반대로 보행속도는 일반적인 설계 성과지표로 사용하지 않는 것이 좋으며, 헤드폰을 이용한 청각–운동(auditory-motor) 연구 결과를 공공공간의 음향 개입에 그대로 적용해서도 안 된다. 흔히 제시되는 두 가지 처방도 본 리뷰의 행태 코퍼스로는 지지되지 않았다. 첫째, 수경시설로 교통소음을 마스킹(masking)해 공공공간 이용을 늘린다는 처방은 포함된 연구에서 행태적 개입으로 직접 검정된 적이 없다. 자연음이 지각이나 심리적 결과를 개선한다는 근거[16]가 공간 이용의 증가를 입증하는 것은 아니다. 둘째, 소음 저감을 신체활동을 늘리는 보편적인 방법으로 보는 관점은 가장 규모가 큰 관찰 자료에서 지지되지 않았다. 활동이 많은 장소는 음향적으로도 붐비는 경우가 많아, 이러한 자료에서는 소음과 활동이 오히려 정적으로 연관될 수 있다[48,49]. 따라서 역인과(reverse causation)와 맥락적 교란(contextual confounding)을 함께 고려해야 한다.</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4.4 Methodological implications</w:t>
      </w:r>
    </w:p>
    <w:p>
      <w:pPr>
        <w:ind w:firstLine="288"/>
        <w:jc w:val="both"/>
        <w:rPr>
          <w:lang w:eastAsia="ko-KR"/>
        </w:rPr>
      </w:pPr>
      <w:r>
        <w:rPr>
          <w:lang w:eastAsia="ko-KR"/>
        </w:rPr>
        <w:t>이 분야는 행태보다 소리를 더 일관되게 측정해 왔다. 방법론적 질 평가에서는 표본 대표성, 무응답 편의, 교란 통제 항목의 충족률이 낮았고, 기준을 충족하지 못한 경우와 함께 필요한 정보가 보고되지 않아 판단불가로 판정된 경우도 많았다(3.3절). 코퍼스에서 가장 강한 설계를 사용한 무작위배정 연구 2편도 무작위화 절차, 기저 동등성, 눈가림을 보고하지 않아 low 등급을 받았다. 음향 지표는 자세히 보고하면서도 응답률은 보고하지 않는 경우가 흔했다. 소음과 성가심도의 용량-반응 관계를 대규모로 정량화할 수 있었던 것은 해당 문헌이 노출과 반응을 표준화된 방식으로 보고했기 때문인데[5], 행태 연구는 아직 그 수준에 이르지 못했다. 보고의 누락은 새로운 장비 없이도 개선할 수 있으므로, 표본 선정, 응답률, 분석 단위를 명확히 보고하는 것만으로도 품질평가와 정량 종합의 기반을 넓힐 수 있다. 측정 방법의 세대는 서로를 대체하기보다 누적되는 것으로 보인다. 센싱 방법이 가장 빠르게 늘었지만 자기보고와 체계적 관찰도 계속 사용되고 있으며, 22편이 두 세대 이상의 방법을 함께 사용했다. 여러 방법을 병용하면 결과를 교차 확인하는 삼각검증(triangulation)이 가능해지지만, 같은 개념이 서로 다른 방식으로 측정된 결과를 종합할 때 측정 방법을 구분하지 않으면 이질성의 상당 부분이 설명되지 않은 채 남는다. 향후 연구는 주관적 평가를 관찰 가능한 행태 및 객관적 음향 측정과 함께 수집해 이러한 상호보완성을 활용할 수 있다.</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4.5 Research agenda</w:t>
      </w:r>
    </w:p>
    <w:p>
      <w:pPr>
        <w:ind w:firstLine="288"/>
        <w:jc w:val="both"/>
        <w:rPr>
          <w:lang w:eastAsia="ko-KR"/>
        </w:rPr>
      </w:pPr>
      <w:r>
        <w:rPr>
          <w:lang w:eastAsia="ko-KR"/>
        </w:rPr>
        <w:t>이 코퍼스는 투입 대비 효과가 큰 여섯 가지 연구 우선순위를 시사한다. 첫째, 잘 보고된 보행 현장실험 한 편만으로도 증거 지도에서 보행속도 칸의 근거 수준을 실질적으로 바꿀 수 있다. 중요한 설계 요소는 특수 장비가 아니라 실제 환경음의 조작, 무작위 배정, 기저 동등성과 절차의 투명한 보고, 여러 경로나 세팅에서의 반복이다. 현재의 보행속도 추정치는 MMAT 평가가 낮은 연구와 헤드폰 기반 연구에 크게 의존하고 있어 견고한 결론을 뒷받침하지 못한다. 둘째, 항공기 소음과 행태의 관계는 대부분 연구되지 않았다. 항공기 소음은 세계보건기구 유럽지역 환경소음 지침의 근거가 된 체계적 문헌고찰에서 성가심도[50]와 수면[51]에 관해 별도로 종합될 만큼 연구가 많고 건강 영향 전반에서도 마찬가지이지만[6], 본 리뷰의 적격 기준을 충족하면서 공항 주변 옥외공간의 행태를 측정한 연구는 2편뿐이었다(3.8절). 주거 소음 노출과 비특정 신체활동을 결합한 연구를 배제한 경계 규칙(2.4절)이 이 공백에 일부 영향을 주었을 수 있지만, 소음 노출이 큰 곳에서 행태 증거가 가장 부족하다는 점은 이 분야가 건강과 성가심도 중심의 틀에 머물러 왔음을 시사한다. 공항 주변 연구는 성가심도나 건강 결과뿐 아니라 옥외공간의 이용, 경로 선택, 체류, 사회적 활동을 측정할 필요가 있다. 셋째, 설계 개입이 음향 결과를 거쳐 행태로 이어지는 과정을 함께 검증해야 한다. 자연음 증거의 상당 부분은 음원 재생(playback)에 의존하므로, 식재나 수경시설처럼 실제 조경 설계에서 도입되는 개입이 만들어 내는 음환경과 그에 따른 행태 변화를 함께 평가할 필요가 있다.</w:t>
      </w:r>
    </w:p>
    <w:p>
      <w:pPr>
        <w:ind w:firstLine="288"/>
        <w:jc w:val="both"/>
        <w:rPr>
          <w:lang w:eastAsia="ko-KR"/>
        </w:rPr>
      </w:pPr>
      <w:r>
        <w:rPr>
          <w:lang w:eastAsia="ko-KR"/>
        </w:rPr>
        <w:t>넷째, 개입 효과의 지속성을 측정해야 한다. 대부분의 개입은 수 시간에서 수 일 동안 진행됐고 한 계절 이상 이어진 경우는 드물었다. 개입을 중단한 뒤 행태 반응이 유지되는지, 익숙해지면서 약해지는지, 사라지는지는 아직 알 수 없다. 한 번 설치로 효과가 유지되는지, 지속적인 운영이 필요한지에 따라 사업비 구조가 달라지므로 이 문제는 예산 결정과 직접 관련된다. 다섯째, 역방향 관계를 예측하는 모형이 필요하다. 공간이용, 활동, 사회적 행태에는 역방향 증거가 상당히 축적돼 있지만, 활동과 점유가 음환경에 미치는 영향을 세팅 간에 예측할 수 있는 전이 가능한(transferable) 모형은 드물다. 인원 밀도로 음압을 예측하는 식이 몇 가지 있지만 계수를 서로 바꿔 쓸 수는 없다. 여섯째, 기본 통계의 보고를 표준화해야 한다. 적격 연구 가운데 상당수가 집단 크기, 산포 통계, 분석 단위를 보고하지 않아 정량 종합에 포함되지 못했다. 보고가 개선되면 연구 수를 늘리지 않고도 활용할 수 있는 증거 기반이 커질 수 있다.</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4.6 Limitations</w:t>
      </w:r>
    </w:p>
    <w:p>
      <w:pPr>
        <w:ind w:firstLine="288"/>
        <w:jc w:val="both"/>
        <w:rPr>
          <w:lang w:eastAsia="ko-KR"/>
        </w:rPr>
      </w:pPr>
      <w:r>
        <w:rPr>
          <w:lang w:eastAsia="ko-KR"/>
        </w:rPr>
        <w:t>이 연구에는 몇 가지 한계가 있다. 먼저 증거 기반이 지리적으로 편중돼 있고 비교적 최근에 형성됐다. 포함 연구의 39%가 중국에서 수행됐고 71%가 2020년 이후에 게재됐다. 등록 시점에 정한 영어 학술지 논문 제한도 이러한 분포와 맞물려 있다. 중국어 문헌을 제외했기 때문에 코퍼스에 포함된 중국 연구는 영어로 게재하기를 선택한 연구의 하위집합이다. 교차문화 연구들은 같은 유형의 도시 옥외공간이라도 국가에 따라 사운드스케이프 평가가 다르게 나타나며[52,53], 그러한 비교 결과가 지각 속성(perceptual attributes)의 번역과 문화 간 적응(cross-cultural adaptation) 절차에 따라서도 달라질 수 있다고 보고했다[54]. 따라서 추정치를 문화권과 무관하게 보편적인 값으로 해석해서는 안 된다. 또한 세 경로를 통틀어 122건의 전문을 확보하지 못했다(데이터베이스 89건, 인용추적 25건, 보조 색인 8건). 다만 초록에서 행태 결과가 확인된 인용추적 레코드의 전문 확보율은 92%였고, 확보하지 못한 레코드는 주로 제목만으로 식별된 것이었다. 전문을 평가한 인용추적 레코드 가운데 초록에서 행태 결과가 확인된 37건은 16건(43%)이 포함되거나 민감도 분석용으로 분류됐지만, 제목만으로 선별된 17건은 한 건도 포함되지 않았다. 최종 포함 여부가 제목의 주제적 관련성보다 초록 확보 여부와 강하게 연관된 것으로, 제목만으로 선별하면 제목과 초록을 함께 볼 때보다 민감도가 낮다는 보고와도 일치한다[55]. 이 결과는 전문을 확보하지 못한 레코드가 결론을 바꿨을 가능성이 낮음을 시사하지만, 두 집단은 무작위로 나뉘지 않았고 제목만 본 레코드가 17건에 불과하므로 미확보로 남은 제목 판단 레코드 22건의 영향은 배제할 수 없다.</w:t>
      </w:r>
    </w:p>
    <w:p>
      <w:pPr>
        <w:ind w:firstLine="288"/>
        <w:jc w:val="both"/>
        <w:rPr>
          <w:lang w:eastAsia="ko-KR"/>
        </w:rPr>
      </w:pPr>
      <w:r>
        <w:rPr>
          <w:lang w:eastAsia="ko-KR"/>
        </w:rPr>
        <w:t xml:space="preserve">스크리닝과 추출은 두 명의 독립적인 리뷰어가 아니라 한 명의 리뷰어가 수행했다(2.4절). 두 쌍의 논문이 표본을 공유했으며, 각 쌍에서 한 편만 정량 합성에 포함했다. 점검과 검증 단계를 거쳤지만 이러한 절차는 선택 오류나 추출 오류를 완전히 배제하지 못한다. 정량 종합에도 한계가 있다. 어느 클러스터도 사전에 정한 </w:t>
      </w:r>
      <w:r>
        <w:rPr>
          <w:i/>
          <w:lang w:eastAsia="ko-KR"/>
        </w:rPr>
        <w:t>k</w:t>
      </w:r>
      <w:r>
        <w:rPr>
          <w:lang w:eastAsia="ko-KR"/>
        </w:rPr>
        <w:t xml:space="preserve"> = 10 기준에 도달하지 않아 출판편향을 평가하지 못했으므로 소규모 연구 효과의 가능성이 남아 있다. 클러스터당 추정치가 3~6개에 불과해 등록한 하위그룹 분석도 수행하지 않았다. 무엇보다 네 예측구간이 모두 0을 포함하므로, 통계적으로 유의한 평균 추정치라도 새로운 연구의 결과를 예측하는 값으로 해석해서는 안 된다. 또한 사회적 상호작용 클러스터의 유의성은 인용 검색으로 확보한 연구 한 편에 의존하며, 이 연구는 데이터베이스 검색만으로는 찾을 수 없었을 것이다.</w:t>
      </w:r>
    </w:p>
    <w:p>
      <w:pPr>
        <w:jc w:val="both"/>
        <w:rPr>
          <w:lang w:eastAsia="ko-KR"/>
        </w:rPr>
      </w:pPr>
    </w:p>
    <w:p>
      <w:pPr>
        <w:widowControl w:val="0"/>
        <w:autoSpaceDE w:val="0"/>
        <w:autoSpaceDN w:val="0"/>
        <w:jc w:val="both"/>
        <w:outlineLvl w:val="0"/>
        <w:rPr>
          <w:b/>
          <w:color w:val="000000"/>
          <w:kern w:val="2"/>
          <w:szCs w:val="24"/>
          <w:lang w:eastAsia="ko-KR"/>
        </w:rPr>
      </w:pPr>
      <w:r>
        <w:rPr>
          <w:b/>
          <w:color w:val="000000"/>
          <w:kern w:val="2"/>
          <w:szCs w:val="24"/>
          <w:lang w:eastAsia="ko-KR"/>
        </w:rPr>
        <w:t>5. Conclusions</w:t>
      </w:r>
    </w:p>
    <w:p>
      <w:pPr>
        <w:ind w:firstLine="288"/>
        <w:jc w:val="both"/>
        <w:rPr>
          <w:lang w:eastAsia="ko-KR"/>
        </w:rPr>
      </w:pPr>
      <w:r>
        <w:rPr>
          <w:lang w:eastAsia="ko-KR"/>
        </w:rPr>
        <w:t>도시 옥외공간에서 사운드스케이프 관련 조건과 인간 행태의 관계에 관한 증거는 양방향 증거 구조를 보였지만, 증거의 강도는 행태 도메인에 따라 크게 달랐다. 98편 가운데 16편이 기여한 네 메타분석 클러스터는 모두 이론적으로 기대되는 방향을 보였으나, 평균 추정치의 신뢰구간이 0을 배제한 것은 사회적 상호작용과 소리–행태 상관뿐이었고 네 예측구간은 모두 0을 포함했다. 사회적 상호작용에서는 현장실험 증거가 행태적 효과를 뒷받침했지만, 소리–행태 상관 클러스터는 연관을 보여 주는 수준에 머물렀다. 가장 강한 정량 결과는 사회적 상호작용(</w:t>
      </w:r>
      <w:r>
        <w:rPr>
          <w:i/>
          <w:lang w:eastAsia="ko-KR"/>
        </w:rPr>
        <w:t>g</w:t>
      </w:r>
      <w:r>
        <w:rPr>
          <w:lang w:eastAsia="ko-KR"/>
        </w:rPr>
        <w:t xml:space="preserve"> = +0.68)에서 나타났으며, 특히 자연음이 있거나 더 조용한 조건을 포함한 비교에서 확인됐다. 다만 자연음의 기여와 경쟁 소음 제거의 기여는 구분되지 않았다. 반면 소음이 보행을 빠르게 한다는 널리 인용되는 주장은 규모가 작고 이질적이며 주로 헤드폰에 기반한, MMAT 평가가 낮은 증거에 의존하고 있으므로, 이를 확립된 환경소음 효과로 다뤄서는 안 된다.</w:t>
      </w:r>
    </w:p>
    <w:p>
      <w:pPr>
        <w:ind w:firstLine="288"/>
        <w:jc w:val="both"/>
        <w:rPr>
          <w:lang w:eastAsia="ko-KR"/>
        </w:rPr>
      </w:pPr>
      <w:r>
        <w:rPr>
          <w:lang w:eastAsia="ko-KR"/>
        </w:rPr>
        <w:t>증거가 양방향으로 구성돼 있다는 점도 확인됐다. 방향성 레코드 187건 중 74건(40%)이 행태나 활동에서 음환경 또는 사운드스케이프로 향했다. 이것만으로 닫힌 인과 피드백 고리가 입증되지는 않지만, 활동과 점유가 사운드스케이프 증거의 중요한 부분이며 계획의 틀에 포함돼야 함을 보여 준다. 이러한 결과에서 도출할 수 있는 계획적 함의는 제한적이다. 사회적 상호작용이 의도된 공간에서는 운영 소음을 통제하고, 음악 같은 부가음은 방문객 증가보다 체류와 관여를 위한 잠재적 도구로 활용하며, 사회적 공간의 입지를 정할 때는 회화 간섭을 고려해야 한다. 또한 행태로 검증되지 않은 지각 연구 결과로부터 행태적 처방을 도출해서는 안 된다. 전체적으로 이 코퍼스는 보편적인 음향–행태 기준보다 모니터링을 동반한 근거 기반 설계 가설을 지지한다.</w:t>
      </w:r>
    </w:p>
    <w:p>
      <w:pPr>
        <w:ind w:firstLine="288"/>
        <w:jc w:val="both"/>
        <w:rPr>
          <w:lang w:eastAsia="ko-KR"/>
        </w:rPr>
      </w:pPr>
      <w:r>
        <w:rPr>
          <w:lang w:eastAsia="ko-KR"/>
        </w:rPr>
        <w:t>후속 연구에 필요한 것은 또 하나의 광범위한 횡단 상관 연구가 아니라, 실제 환경음을 조작하고, 관찰 가능한 행태를 측정하며, 공간적·사회문화적 맥락을 기술하고, 그 결과로 달라진 활동의 음향적 귀결까지 정량화하는 잘 보고된 현장실험이다. 이러한 연구는 본 리뷰가 제시한 상호적 프레임워크를 직접 검증하고, 이 분야의 근거를 서술적 연관에서 설계 결정에 활용할 수 있는 증거로 발전시키는 데 기여할 것이다.</w:t>
      </w:r>
    </w:p>
    <w:p>
      <w:pPr>
        <w:spacing w:after="80"/>
        <w:rPr>
          <w:b/>
          <w:lang w:eastAsia="ko-KR"/>
        </w:rPr>
      </w:pPr>
      <w:r>
        <w:rPr>
          <w:b/>
          <w:lang w:eastAsia="ko-KR"/>
        </w:rPr>
        <w:br w:type="page"/>
      </w:r>
    </w:p>
    <w:p>
      <w:pPr>
        <w:widowControl w:val="0"/>
        <w:autoSpaceDE w:val="0"/>
        <w:autoSpaceDN w:val="0"/>
        <w:jc w:val="both"/>
        <w:outlineLvl w:val="0"/>
        <w:rPr>
          <w:b/>
          <w:color w:val="000000"/>
          <w:kern w:val="2"/>
          <w:szCs w:val="24"/>
          <w:lang w:eastAsia="ko-KR"/>
        </w:rPr>
      </w:pPr>
      <w:r>
        <w:rPr>
          <w:b/>
          <w:color w:val="000000"/>
          <w:kern w:val="2"/>
          <w:szCs w:val="24"/>
          <w:lang w:eastAsia="ko-KR"/>
        </w:rPr>
        <w:t>CRediT authorship contribution statement</w:t>
      </w:r>
    </w:p>
    <w:p>
      <w:pPr>
        <w:spacing w:after="80"/>
      </w:pPr>
      <w:r>
        <w:t>Hyun In Jo: Conceptualization, Methodology, Software, Formal analysis, Data curation, Writing, original draft, Writing, review &amp; editing, Visualization.</w:t>
      </w:r>
    </w:p>
    <w:p>
      <w:pPr>
        <w:spacing w:after="80"/>
      </w:pPr>
    </w:p>
    <w:p>
      <w:pPr>
        <w:widowControl w:val="0"/>
        <w:autoSpaceDE w:val="0"/>
        <w:autoSpaceDN w:val="0"/>
        <w:jc w:val="both"/>
        <w:outlineLvl w:val="0"/>
        <w:rPr>
          <w:b/>
          <w:color w:val="000000"/>
          <w:kern w:val="2"/>
          <w:szCs w:val="24"/>
          <w:lang w:eastAsia="ko-KR"/>
        </w:rPr>
      </w:pPr>
      <w:r>
        <w:rPr>
          <w:b/>
          <w:color w:val="000000"/>
          <w:kern w:val="2"/>
          <w:szCs w:val="24"/>
          <w:lang w:eastAsia="ko-KR"/>
        </w:rPr>
        <w:t>Declaration of competing interest</w:t>
      </w:r>
    </w:p>
    <w:p>
      <w:pPr>
        <w:spacing w:after="80"/>
      </w:pPr>
      <w:r>
        <w:t>The author declares no competing financial interests or personal relationships that could have appeared to influence the work reported in this paper.</w:t>
      </w:r>
    </w:p>
    <w:p>
      <w:pPr>
        <w:spacing w:after="80"/>
      </w:pPr>
    </w:p>
    <w:p>
      <w:pPr>
        <w:widowControl w:val="0"/>
        <w:autoSpaceDE w:val="0"/>
        <w:autoSpaceDN w:val="0"/>
        <w:jc w:val="both"/>
        <w:outlineLvl w:val="0"/>
        <w:rPr>
          <w:b/>
          <w:color w:val="000000"/>
          <w:kern w:val="2"/>
          <w:szCs w:val="24"/>
          <w:lang w:eastAsia="ko-KR"/>
        </w:rPr>
      </w:pPr>
      <w:r>
        <w:rPr>
          <w:b/>
          <w:color w:val="000000"/>
          <w:kern w:val="2"/>
          <w:szCs w:val="24"/>
          <w:lang w:eastAsia="ko-KR"/>
        </w:rPr>
        <w:t>Funding</w:t>
      </w:r>
    </w:p>
    <w:p>
      <w:pPr>
        <w:spacing w:after="80"/>
      </w:pPr>
      <w:r>
        <w:t>This research received no specific grant from any funding agency in the public, commercial, or not-for-profit sectors.</w:t>
      </w:r>
    </w:p>
    <w:p>
      <w:pPr>
        <w:spacing w:after="80"/>
      </w:pPr>
    </w:p>
    <w:p>
      <w:pPr>
        <w:widowControl w:val="0"/>
        <w:autoSpaceDE w:val="0"/>
        <w:autoSpaceDN w:val="0"/>
        <w:jc w:val="both"/>
        <w:outlineLvl w:val="0"/>
        <w:rPr>
          <w:b/>
          <w:color w:val="000000"/>
          <w:kern w:val="2"/>
          <w:szCs w:val="24"/>
          <w:lang w:eastAsia="ko-KR"/>
        </w:rPr>
      </w:pPr>
      <w:r>
        <w:rPr>
          <w:b/>
          <w:color w:val="000000"/>
          <w:kern w:val="2"/>
          <w:szCs w:val="24"/>
          <w:lang w:eastAsia="ko-KR"/>
        </w:rPr>
        <w:t>Ethics</w:t>
      </w:r>
    </w:p>
    <w:p>
      <w:pPr>
        <w:spacing w:after="80"/>
      </w:pPr>
      <w:r>
        <w:t>This study analysed only publicly available, aggregated and de-identified data and did not involve human participants directly; institutional review board approval was therefore not required.</w:t>
      </w:r>
    </w:p>
    <w:p>
      <w:pPr>
        <w:spacing w:after="80"/>
      </w:pPr>
    </w:p>
    <w:p>
      <w:pPr>
        <w:widowControl w:val="0"/>
        <w:autoSpaceDE w:val="0"/>
        <w:autoSpaceDN w:val="0"/>
        <w:jc w:val="both"/>
        <w:outlineLvl w:val="0"/>
        <w:rPr>
          <w:b/>
          <w:color w:val="000000"/>
          <w:kern w:val="2"/>
          <w:szCs w:val="24"/>
          <w:lang w:eastAsia="ko-KR"/>
        </w:rPr>
      </w:pPr>
      <w:r>
        <w:rPr>
          <w:b/>
          <w:color w:val="000000"/>
          <w:kern w:val="2"/>
          <w:szCs w:val="24"/>
          <w:lang w:eastAsia="ko-KR"/>
        </w:rPr>
        <w:t>Data availability</w:t>
      </w:r>
    </w:p>
    <w:p>
      <w:pPr>
        <w:spacing w:after="80"/>
      </w:pPr>
      <w:r>
        <w:t>추출 자료, 품질평가 결과, 메타분석 입력 자료와 분석 코드, 프로토콜 편차 기록은 OSF 프로젝트(osf.io/7ew8q)에 공개한다. 포함 연구의 원문은 출판사 저작권 대상이므로 재배포하지 않는다.</w:t>
      </w:r>
    </w:p>
    <w:p>
      <w:pPr>
        <w:spacing w:before="160" w:after="80" w:line="240" w:lineRule="auto"/>
        <w:rPr>
          <w:b/>
          <w:sz w:val="22"/>
          <w:lang w:eastAsia="ko-KR"/>
        </w:rPr>
      </w:pPr>
      <w:r>
        <w:rPr>
          <w:b/>
          <w:sz w:val="22"/>
          <w:lang w:eastAsia="ko-KR"/>
        </w:rPr>
        <w:br w:type="page"/>
      </w:r>
    </w:p>
    <w:p>
      <w:pPr>
        <w:widowControl w:val="0"/>
        <w:autoSpaceDE w:val="0"/>
        <w:autoSpaceDN w:val="0"/>
        <w:jc w:val="both"/>
        <w:outlineLvl w:val="0"/>
        <w:rPr>
          <w:b/>
          <w:color w:val="000000"/>
          <w:kern w:val="2"/>
          <w:szCs w:val="24"/>
          <w:lang w:eastAsia="ko-KR"/>
        </w:rPr>
      </w:pPr>
      <w:r>
        <w:rPr>
          <w:b/>
          <w:color w:val="000000"/>
          <w:kern w:val="2"/>
          <w:szCs w:val="24"/>
          <w:lang w:eastAsia="ko-KR"/>
        </w:rPr>
        <w:t>References</w:t>
      </w:r>
    </w:p>
    <w:p>
      <w:pPr>
        <w:spacing w:before="240" w:after="160" w:line="240" w:lineRule="auto"/>
        <w:ind w:left="440" w:hanging="440"/>
        <w:rPr>
          <w:kern w:val="2"/>
          <w:szCs w:val="24"/>
          <w:lang w:eastAsia="ko-KR"/>
        </w:rPr>
      </w:pPr>
      <w:r>
        <w:rPr>
          <w:kern w:val="2"/>
          <w:szCs w:val="24"/>
          <w:lang w:eastAsia="ko-KR"/>
        </w:rPr>
        <w:t>[1] Southworth M. The Sonic Environment of Cities. Environment and Behavior. 1969;1:49-70. doi:10.1177/001391656900100104</w:t>
      </w:r>
    </w:p>
    <w:p>
      <w:pPr>
        <w:spacing w:before="240" w:after="160" w:line="240" w:lineRule="auto"/>
        <w:ind w:left="440" w:hanging="440"/>
        <w:rPr>
          <w:kern w:val="2"/>
          <w:szCs w:val="24"/>
          <w:lang w:eastAsia="ko-KR"/>
        </w:rPr>
      </w:pPr>
      <w:r>
        <w:rPr>
          <w:kern w:val="2"/>
          <w:szCs w:val="24"/>
          <w:lang w:eastAsia="ko-KR"/>
        </w:rPr>
        <w:t>[2] Whyte WH. The Social Life of Small Urban Spaces. Washington (DC): Conservation Foundation; 1980.</w:t>
      </w:r>
    </w:p>
    <w:p>
      <w:pPr>
        <w:spacing w:before="240" w:after="160" w:line="240" w:lineRule="auto"/>
        <w:ind w:left="440" w:hanging="440"/>
        <w:rPr>
          <w:kern w:val="2"/>
          <w:szCs w:val="24"/>
          <w:lang w:eastAsia="ko-KR"/>
        </w:rPr>
      </w:pPr>
      <w:r>
        <w:rPr>
          <w:kern w:val="2"/>
          <w:szCs w:val="24"/>
          <w:lang w:eastAsia="ko-KR"/>
        </w:rPr>
        <w:t>[3] Gehl J. Life Between Buildings: Using Public Space. Washington (DC): Island Press; 2011.</w:t>
      </w:r>
    </w:p>
    <w:p>
      <w:pPr>
        <w:spacing w:before="240" w:after="160" w:line="240" w:lineRule="auto"/>
        <w:ind w:left="440" w:hanging="440"/>
        <w:rPr>
          <w:kern w:val="2"/>
          <w:szCs w:val="24"/>
          <w:lang w:eastAsia="ko-KR"/>
        </w:rPr>
      </w:pPr>
      <w:r>
        <w:rPr>
          <w:kern w:val="2"/>
          <w:szCs w:val="24"/>
          <w:lang w:eastAsia="ko-KR"/>
        </w:rPr>
        <w:t>[4] Bild E, Coler M, Pfeffer K, Bertolini L. Considering Sound in Planning and Designing Public Spaces. Journal of Planning Literature. 2016;31:419-434. doi:10.1177/0885412216662001</w:t>
      </w:r>
    </w:p>
    <w:p>
      <w:pPr>
        <w:spacing w:before="240" w:after="160" w:line="240" w:lineRule="auto"/>
        <w:ind w:left="440" w:hanging="440"/>
        <w:rPr>
          <w:kern w:val="2"/>
          <w:szCs w:val="24"/>
          <w:lang w:eastAsia="ko-KR"/>
        </w:rPr>
      </w:pPr>
      <w:r>
        <w:rPr>
          <w:kern w:val="2"/>
          <w:szCs w:val="24"/>
          <w:lang w:eastAsia="ko-KR"/>
        </w:rPr>
        <w:t>[5] Miedema HM, Oudshoorn CG. Annoyance from transportation noise: relationships with exposure metrics DNL and DENL and their confidence intervals. Environmental Health Perspectives. 2001;109:409-416. doi:10.1289/ehp.01109409</w:t>
      </w:r>
    </w:p>
    <w:p>
      <w:pPr>
        <w:spacing w:before="240" w:after="160" w:line="240" w:lineRule="auto"/>
        <w:ind w:left="440" w:hanging="440"/>
        <w:rPr>
          <w:kern w:val="2"/>
          <w:szCs w:val="24"/>
          <w:lang w:eastAsia="ko-KR"/>
        </w:rPr>
      </w:pPr>
      <w:r>
        <w:rPr>
          <w:kern w:val="2"/>
          <w:szCs w:val="24"/>
          <w:lang w:eastAsia="ko-KR"/>
        </w:rPr>
        <w:t>[6] Basner M, Babisch W, Davis A, Brink M, Clark C, Janssen S, et al. Auditory and non-auditory effects of noise on health. The Lancet. 2014;383:1325-1332. doi:10.1016/s0140-6736(13)61613-x</w:t>
      </w:r>
    </w:p>
    <w:p>
      <w:pPr>
        <w:spacing w:before="240" w:after="160" w:line="240" w:lineRule="auto"/>
        <w:ind w:left="440" w:hanging="440"/>
        <w:rPr>
          <w:kern w:val="2"/>
          <w:szCs w:val="24"/>
          <w:lang w:eastAsia="ko-KR"/>
        </w:rPr>
      </w:pPr>
      <w:r>
        <w:rPr>
          <w:kern w:val="2"/>
          <w:szCs w:val="24"/>
          <w:lang w:eastAsia="ko-KR"/>
        </w:rPr>
        <w:t>[7] Schafer RM. The Soundscape: Our Sonic Environment and the Tuning of the World. Rochester (VT): Destiny Books; 1994.</w:t>
      </w:r>
    </w:p>
    <w:p>
      <w:pPr>
        <w:spacing w:before="240" w:after="160" w:line="240" w:lineRule="auto"/>
        <w:ind w:left="440" w:hanging="440"/>
        <w:rPr>
          <w:kern w:val="2"/>
          <w:szCs w:val="24"/>
          <w:lang w:eastAsia="ko-KR"/>
        </w:rPr>
      </w:pPr>
      <w:r>
        <w:rPr>
          <w:kern w:val="2"/>
          <w:szCs w:val="24"/>
          <w:lang w:eastAsia="ko-KR"/>
        </w:rPr>
        <w:t>[8] International Organization for Standardization. ISO 12913-1:2014 Acoustics — Soundscape — Part 1: Definition and conceptual framework. Geneva: ISO; 2014.</w:t>
      </w:r>
    </w:p>
    <w:p>
      <w:pPr>
        <w:spacing w:before="240" w:after="160" w:line="240" w:lineRule="auto"/>
        <w:ind w:left="440" w:hanging="440"/>
        <w:rPr>
          <w:kern w:val="2"/>
          <w:szCs w:val="24"/>
          <w:lang w:eastAsia="ko-KR"/>
        </w:rPr>
      </w:pPr>
      <w:r>
        <w:rPr>
          <w:kern w:val="2"/>
          <w:szCs w:val="24"/>
          <w:lang w:eastAsia="ko-KR"/>
        </w:rPr>
        <w:t>[9] Zhang R, Ma H, Wang C, Zhang Y, Kang J. Soundscape and its context: A framework based on a systematic review. The Journal of the Acoustical Society of America. 2025;157:4417-4436. doi:10.1121/10.0036882</w:t>
      </w:r>
    </w:p>
    <w:p>
      <w:pPr>
        <w:spacing w:before="240" w:after="160" w:line="240" w:lineRule="auto"/>
        <w:ind w:left="440" w:hanging="440"/>
        <w:rPr>
          <w:kern w:val="2"/>
          <w:szCs w:val="24"/>
          <w:lang w:eastAsia="ko-KR"/>
        </w:rPr>
      </w:pPr>
      <w:r>
        <w:rPr>
          <w:kern w:val="2"/>
          <w:szCs w:val="24"/>
          <w:lang w:eastAsia="ko-KR"/>
        </w:rPr>
        <w:t>[10] Hermida L, Pavón I, Lobo Soares AC, Bento-Coelho JL. On the Person-Place Interaction and Its Relationship with the Responses/Outcomes of Listeners of Urban Soundscape (Compared Cases of Lisbon and Bogotá): Contextual and Semiotic Aspects. International Journal of Environmental Research and Public Health. 2019;16:551. doi:10.3390/ijerph16040551</w:t>
      </w:r>
    </w:p>
    <w:p>
      <w:pPr>
        <w:spacing w:before="240" w:after="160" w:line="240" w:lineRule="auto"/>
        <w:ind w:left="440" w:hanging="440"/>
        <w:rPr>
          <w:kern w:val="2"/>
          <w:szCs w:val="24"/>
          <w:lang w:eastAsia="ko-KR"/>
        </w:rPr>
      </w:pPr>
      <w:r>
        <w:rPr>
          <w:kern w:val="2"/>
          <w:szCs w:val="24"/>
          <w:lang w:eastAsia="ko-KR"/>
        </w:rPr>
        <w:t>[11] Axelsson Ö, Nilsson ME, Berglund B. A principal components model of soundscape perception. The Journal of the Acoustical Society of America. 2010;128:2836-2846. doi:10.1121/1.3493436</w:t>
      </w:r>
    </w:p>
    <w:p>
      <w:pPr>
        <w:spacing w:before="240" w:after="160" w:line="240" w:lineRule="auto"/>
        <w:ind w:left="440" w:hanging="440"/>
        <w:rPr>
          <w:kern w:val="2"/>
          <w:szCs w:val="24"/>
          <w:lang w:eastAsia="ko-KR"/>
        </w:rPr>
      </w:pPr>
      <w:r>
        <w:rPr>
          <w:kern w:val="2"/>
          <w:szCs w:val="24"/>
          <w:lang w:eastAsia="ko-KR"/>
        </w:rPr>
        <w:t>[12] Aletta F, Kang J, Axelsson Ö. Soundscape descriptors and a conceptual framework for developing predictive soundscape models. Landscape and Urban Planning. 2016;149:65-74. doi:10.1016/j.landurbplan.2016.02.001</w:t>
      </w:r>
    </w:p>
    <w:p>
      <w:pPr>
        <w:spacing w:before="240" w:after="160" w:line="240" w:lineRule="auto"/>
        <w:ind w:left="440" w:hanging="440"/>
        <w:rPr>
          <w:kern w:val="2"/>
          <w:szCs w:val="24"/>
          <w:lang w:eastAsia="ko-KR"/>
        </w:rPr>
      </w:pPr>
      <w:r>
        <w:rPr>
          <w:kern w:val="2"/>
          <w:szCs w:val="24"/>
          <w:lang w:eastAsia="ko-KR"/>
        </w:rPr>
        <w:t>[13] Kang J, Aletta F, Gjestland TT, Brown LA, Botteldooren D, Schulte-Fortkamp B, et al. Ten questions on the soundscapes of the built environment. Building and Environment. 2016;108:284-294. doi:10.1016/j.buildenv.2016.08.011</w:t>
      </w:r>
    </w:p>
    <w:p>
      <w:pPr>
        <w:spacing w:before="240" w:after="160" w:line="240" w:lineRule="auto"/>
        <w:ind w:left="440" w:hanging="440"/>
        <w:rPr>
          <w:kern w:val="2"/>
          <w:szCs w:val="24"/>
          <w:lang w:eastAsia="ko-KR"/>
        </w:rPr>
      </w:pPr>
      <w:r>
        <w:rPr>
          <w:kern w:val="2"/>
          <w:szCs w:val="24"/>
          <w:lang w:eastAsia="ko-KR"/>
        </w:rPr>
        <w:t>[14] Zhang R, Ma H, Wang C, Zhang Y, Kang J. The associations between landscape elements and soundscape perception: A meta-analysis. Landscape and Urban Planning. 2025;263:105463. doi:10.1016/j.landurbplan.2025.105463</w:t>
      </w:r>
    </w:p>
    <w:p>
      <w:pPr>
        <w:spacing w:before="240" w:after="160" w:line="240" w:lineRule="auto"/>
        <w:ind w:left="440" w:hanging="440"/>
        <w:rPr>
          <w:kern w:val="2"/>
          <w:szCs w:val="24"/>
          <w:lang w:eastAsia="ko-KR"/>
        </w:rPr>
      </w:pPr>
      <w:r>
        <w:rPr>
          <w:kern w:val="2"/>
          <w:szCs w:val="24"/>
          <w:lang w:eastAsia="ko-KR"/>
        </w:rPr>
        <w:t>[15] Wang Y, Wu Y, Qin T, Van de Weghe N, Huang H. Assessing the impact of urban soundscapes on physical activity: insights from a systematic review. Cities &amp; Health. 2026:1-26. doi:10.1080/23748834.2026.2683259</w:t>
      </w:r>
    </w:p>
    <w:p>
      <w:pPr>
        <w:spacing w:before="240" w:after="160" w:line="240" w:lineRule="auto"/>
        <w:ind w:left="440" w:hanging="440"/>
        <w:rPr>
          <w:kern w:val="2"/>
          <w:szCs w:val="24"/>
          <w:lang w:eastAsia="ko-KR"/>
        </w:rPr>
      </w:pPr>
      <w:r>
        <w:rPr>
          <w:kern w:val="2"/>
          <w:szCs w:val="24"/>
          <w:lang w:eastAsia="ko-KR"/>
        </w:rPr>
        <w:t>[16] Buxton RT, Pearson AL, Allou C, Fristrup K, Wittemyer G. A synthesis of health benefits of natural sounds and their distribution in national parks. Proceedings of the National Academy of Sciences. 2021;118. doi:10.1073/pnas.2013097118</w:t>
      </w:r>
    </w:p>
    <w:p>
      <w:pPr>
        <w:spacing w:before="240" w:after="160" w:line="240" w:lineRule="auto"/>
        <w:ind w:left="440" w:hanging="440"/>
        <w:rPr>
          <w:kern w:val="2"/>
          <w:szCs w:val="24"/>
          <w:lang w:eastAsia="ko-KR"/>
        </w:rPr>
      </w:pPr>
      <w:r>
        <w:rPr>
          <w:kern w:val="2"/>
          <w:szCs w:val="24"/>
          <w:lang w:eastAsia="ko-KR"/>
        </w:rPr>
        <w:t>[17] Nielbo FL, Steele D, Guastavino C. Investigating soundscape affordances through activity appropriateness. Proceedings of Meetings on Acoustics. 2013;19:040059. doi:10.1121/1.4800502</w:t>
      </w:r>
    </w:p>
    <w:p>
      <w:pPr>
        <w:spacing w:before="240" w:after="160" w:line="240" w:lineRule="auto"/>
        <w:ind w:left="440" w:hanging="440"/>
        <w:rPr>
          <w:kern w:val="2"/>
          <w:szCs w:val="24"/>
          <w:lang w:eastAsia="ko-KR"/>
        </w:rPr>
      </w:pPr>
      <w:r>
        <w:rPr>
          <w:kern w:val="2"/>
          <w:szCs w:val="24"/>
          <w:lang w:eastAsia="ko-KR"/>
        </w:rPr>
        <w:t>[18] Steele D, Bild E, Tarlao C, Guastavino C. Soundtracking the Public Space: Outcomes of the Musikiosk Soundscape Intervention. International Journal of Environmental Research and Public Health. 2019;16:1865. doi:10.3390/ijerph16101865</w:t>
      </w:r>
    </w:p>
    <w:p>
      <w:pPr>
        <w:spacing w:before="240" w:after="160" w:line="240" w:lineRule="auto"/>
        <w:ind w:left="440" w:hanging="440"/>
        <w:rPr>
          <w:kern w:val="2"/>
          <w:szCs w:val="24"/>
          <w:lang w:eastAsia="ko-KR"/>
        </w:rPr>
      </w:pPr>
      <w:r>
        <w:rPr>
          <w:kern w:val="2"/>
          <w:szCs w:val="24"/>
          <w:lang w:eastAsia="ko-KR"/>
        </w:rPr>
        <w:t>[19] Page MJ, McKenzie JE, Bossuyt PM, Boutron I, Hoffmann TC, Mulrow CD, et al. The PRISMA 2020 statement: an updated guideline for reporting systematic reviews. BMJ. 2021:n71. doi:10.1136/bmj.n71</w:t>
      </w:r>
    </w:p>
    <w:p>
      <w:pPr>
        <w:spacing w:before="240" w:after="160" w:line="240" w:lineRule="auto"/>
        <w:ind w:left="440" w:hanging="440"/>
        <w:rPr>
          <w:kern w:val="2"/>
          <w:szCs w:val="24"/>
          <w:lang w:eastAsia="ko-KR"/>
        </w:rPr>
      </w:pPr>
      <w:r>
        <w:rPr>
          <w:kern w:val="2"/>
          <w:szCs w:val="24"/>
          <w:lang w:eastAsia="ko-KR"/>
        </w:rPr>
        <w:t>[20] Culbert JH, Hobert A, Jahn N, Haupka N, Schmidt M, Donner P, et al. Reference coverage analysis of OpenAlex compared to Web of Science and Scopus. Scientometrics. 2025;130:2475-2492. doi:10.1007/s11192-025-05293-3</w:t>
      </w:r>
    </w:p>
    <w:p>
      <w:pPr>
        <w:spacing w:before="240" w:after="160" w:line="240" w:lineRule="auto"/>
        <w:ind w:left="440" w:hanging="440"/>
        <w:rPr>
          <w:kern w:val="2"/>
          <w:szCs w:val="24"/>
          <w:lang w:eastAsia="ko-KR"/>
        </w:rPr>
      </w:pPr>
      <w:r>
        <w:rPr>
          <w:kern w:val="2"/>
          <w:szCs w:val="24"/>
          <w:lang w:eastAsia="ko-KR"/>
        </w:rPr>
        <w:t>[21] Hong QN, Fàbregues S, Bartlett G, Boardman F, Cargo M, Dagenais P, et al. The Mixed Methods Appraisal Tool (MMAT) version 2018 for information professionals and researchers. Education for Information. 2018;34:285-291. doi:10.3233/efi-180221</w:t>
      </w:r>
    </w:p>
    <w:p>
      <w:pPr>
        <w:spacing w:before="240" w:after="160" w:line="240" w:lineRule="auto"/>
        <w:ind w:left="440" w:hanging="440"/>
        <w:rPr>
          <w:kern w:val="2"/>
          <w:szCs w:val="24"/>
          <w:lang w:eastAsia="ko-KR"/>
        </w:rPr>
      </w:pPr>
      <w:r>
        <w:rPr>
          <w:kern w:val="2"/>
          <w:szCs w:val="24"/>
          <w:lang w:eastAsia="ko-KR"/>
        </w:rPr>
        <w:t>[22] Hedges LV. Distribution Theory for Glass's Estimator of Effect size and Related Estimators. Journal of Educational Statistics. 1981;6:107-128. doi:10.3102/10769986006002107</w:t>
      </w:r>
    </w:p>
    <w:p>
      <w:pPr>
        <w:spacing w:before="240" w:after="160" w:line="240" w:lineRule="auto"/>
        <w:ind w:left="440" w:hanging="440"/>
        <w:rPr>
          <w:kern w:val="2"/>
          <w:szCs w:val="24"/>
          <w:lang w:eastAsia="ko-KR"/>
        </w:rPr>
      </w:pPr>
      <w:r>
        <w:rPr>
          <w:kern w:val="2"/>
          <w:szCs w:val="24"/>
          <w:lang w:eastAsia="ko-KR"/>
        </w:rPr>
        <w:t>[23] Chinn S. A simple method for converting an odds ratio to effect size for use in meta-analysis. Statistics in Medicine. 2000;19:3127-3131. doi:10.1002/1097-0258(20001130)19:22&lt;3127::aid-sim784&gt;3.0.co;2-m</w:t>
      </w:r>
    </w:p>
    <w:p>
      <w:pPr>
        <w:spacing w:before="240" w:after="160" w:line="240" w:lineRule="auto"/>
        <w:ind w:left="440" w:hanging="440"/>
        <w:rPr>
          <w:kern w:val="2"/>
          <w:szCs w:val="24"/>
          <w:lang w:eastAsia="ko-KR"/>
        </w:rPr>
      </w:pPr>
      <w:r>
        <w:rPr>
          <w:kern w:val="2"/>
          <w:szCs w:val="24"/>
          <w:lang w:eastAsia="ko-KR"/>
        </w:rPr>
        <w:t>[24] Hartung J, Knapp G. On tests of the overall treatment effect in meta‐analysis with normally distributed responses. Statistics in Medicine. 2001;20:1771-1782. doi:10.1002/sim.791</w:t>
      </w:r>
    </w:p>
    <w:p>
      <w:pPr>
        <w:spacing w:before="240" w:after="160" w:line="240" w:lineRule="auto"/>
        <w:ind w:left="440" w:hanging="440"/>
        <w:rPr>
          <w:kern w:val="2"/>
          <w:szCs w:val="24"/>
          <w:lang w:eastAsia="ko-KR"/>
        </w:rPr>
      </w:pPr>
      <w:r>
        <w:rPr>
          <w:kern w:val="2"/>
          <w:szCs w:val="24"/>
          <w:lang w:eastAsia="ko-KR"/>
        </w:rPr>
        <w:t>[25] Higgins JPT, Thompson SG, Deeks JJ, Altman DG. Measuring inconsistency in meta-analyses. BMJ. 2003;327:557-560. doi:10.1136/bmj.327.7414.557</w:t>
      </w:r>
    </w:p>
    <w:p>
      <w:pPr>
        <w:spacing w:before="240" w:after="160" w:line="240" w:lineRule="auto"/>
        <w:ind w:left="440" w:hanging="440"/>
        <w:rPr>
          <w:kern w:val="2"/>
          <w:szCs w:val="24"/>
          <w:lang w:eastAsia="ko-KR"/>
        </w:rPr>
      </w:pPr>
      <w:r>
        <w:rPr>
          <w:kern w:val="2"/>
          <w:szCs w:val="24"/>
          <w:lang w:eastAsia="ko-KR"/>
        </w:rPr>
        <w:t>[26] Higgins JPT, Thompson SG, Spiegelhalter DJ. A Re-Evaluation of Random-Effects Meta-Analysis. Journal of the Royal Statistical Society Series A: Statistics in Society. 2009;172:137-159. doi:10.1111/j.1467-985x.2008.00552.x</w:t>
      </w:r>
    </w:p>
    <w:p>
      <w:pPr>
        <w:spacing w:before="240" w:after="160" w:line="240" w:lineRule="auto"/>
        <w:ind w:left="440" w:hanging="440"/>
        <w:rPr>
          <w:kern w:val="2"/>
          <w:szCs w:val="24"/>
          <w:lang w:eastAsia="ko-KR"/>
        </w:rPr>
      </w:pPr>
      <w:r>
        <w:rPr>
          <w:kern w:val="2"/>
          <w:szCs w:val="24"/>
          <w:lang w:eastAsia="ko-KR"/>
        </w:rPr>
        <w:t>[27] Sterne JAC, Sutton AJ, Ioannidis JPA, Terrin N, Jones DR, Lau J, et al. Recommendations for examining and interpreting funnel plot asymmetry in meta-analyses of randomised controlled trials. BMJ. 2011;343:d4002. doi:10.1136/bmj.d4002</w:t>
      </w:r>
    </w:p>
    <w:p>
      <w:pPr>
        <w:spacing w:before="240" w:after="160" w:line="240" w:lineRule="auto"/>
        <w:ind w:left="440" w:hanging="440"/>
        <w:rPr>
          <w:kern w:val="2"/>
          <w:szCs w:val="24"/>
          <w:lang w:eastAsia="ko-KR"/>
        </w:rPr>
      </w:pPr>
      <w:r>
        <w:rPr>
          <w:kern w:val="2"/>
          <w:szCs w:val="24"/>
          <w:lang w:eastAsia="ko-KR"/>
        </w:rPr>
        <w:t>[28] Franěk M, Režný L, Šefara D, Cabal J. Effect of Traffic Noise and Relaxations Sounds on Pedestrian Walking Speed. International Journal of Environmental Research and Public Health. 2018;15:752. doi:10.3390/ijerph15040752</w:t>
      </w:r>
    </w:p>
    <w:p>
      <w:pPr>
        <w:spacing w:before="240" w:after="160" w:line="240" w:lineRule="auto"/>
        <w:ind w:left="440" w:hanging="440"/>
        <w:rPr>
          <w:kern w:val="2"/>
          <w:szCs w:val="24"/>
          <w:lang w:eastAsia="ko-KR"/>
        </w:rPr>
      </w:pPr>
      <w:r>
        <w:rPr>
          <w:kern w:val="2"/>
          <w:szCs w:val="24"/>
          <w:lang w:eastAsia="ko-KR"/>
        </w:rPr>
        <w:t>[29] Franěk M, Režný L, Šefara D, Cabal J. Effect of birdsongs and traffic noise on pedestrian walking speed during different seasons. PeerJ. 2019;7:e7711. doi:10.7717/peerj.7711</w:t>
      </w:r>
    </w:p>
    <w:p>
      <w:pPr>
        <w:spacing w:before="240" w:after="160" w:line="240" w:lineRule="auto"/>
        <w:ind w:left="440" w:hanging="440"/>
        <w:rPr>
          <w:kern w:val="2"/>
          <w:szCs w:val="24"/>
          <w:lang w:eastAsia="ko-KR"/>
        </w:rPr>
      </w:pPr>
      <w:r>
        <w:rPr>
          <w:kern w:val="2"/>
          <w:szCs w:val="24"/>
          <w:lang w:eastAsia="ko-KR"/>
        </w:rPr>
        <w:t>[30] Berkouk D, Bouzir TAK, Maffei L, Masullo M. Examining the Associations between Oases Soundscape Components and Walking Speed: Correlation or Causation?. Sustainability. 2020;12:4619. doi:10.3390/su12114619</w:t>
      </w:r>
    </w:p>
    <w:p>
      <w:pPr>
        <w:spacing w:before="240" w:after="160" w:line="240" w:lineRule="auto"/>
        <w:ind w:left="440" w:hanging="440"/>
        <w:rPr>
          <w:kern w:val="2"/>
          <w:szCs w:val="24"/>
          <w:lang w:eastAsia="ko-KR"/>
        </w:rPr>
      </w:pPr>
      <w:r>
        <w:rPr>
          <w:kern w:val="2"/>
          <w:szCs w:val="24"/>
          <w:lang w:eastAsia="ko-KR"/>
        </w:rPr>
        <w:t>[31] Franěk M, van Noorden L, Režný L. Tempo and walking speed with music in the urban context. Frontiers in Psychology. 2014;5. doi:10.3389/fpsyg.2014.01361</w:t>
      </w:r>
    </w:p>
    <w:p>
      <w:pPr>
        <w:spacing w:before="240" w:after="160" w:line="240" w:lineRule="auto"/>
        <w:ind w:left="440" w:hanging="440"/>
        <w:rPr>
          <w:kern w:val="2"/>
          <w:szCs w:val="24"/>
          <w:lang w:eastAsia="ko-KR"/>
        </w:rPr>
      </w:pPr>
      <w:r>
        <w:rPr>
          <w:kern w:val="2"/>
          <w:szCs w:val="24"/>
          <w:lang w:eastAsia="ko-KR"/>
        </w:rPr>
        <w:t>[32] Franěk M, Režný L. Environmental Features Influence Walking Speed: The Effect of Urban Greenery. Land. 2021;10:459. doi:10.3390/land10050459</w:t>
      </w:r>
    </w:p>
    <w:p>
      <w:pPr>
        <w:spacing w:before="240" w:after="160" w:line="240" w:lineRule="auto"/>
        <w:ind w:left="440" w:hanging="440"/>
        <w:rPr>
          <w:kern w:val="2"/>
          <w:szCs w:val="24"/>
          <w:lang w:eastAsia="ko-KR"/>
        </w:rPr>
      </w:pPr>
      <w:r>
        <w:rPr>
          <w:kern w:val="2"/>
          <w:szCs w:val="24"/>
          <w:lang w:eastAsia="ko-KR"/>
        </w:rPr>
        <w:t>[33] Schrapel M, Happe J, Rohs M. EnvironZen: Immersive Soundscapes via Augmented Footstep Sounds in Urban Areas. i-com. 2022;21:219-237. doi:10.1515/icom-2022-0020</w:t>
      </w:r>
    </w:p>
    <w:p>
      <w:pPr>
        <w:spacing w:before="240" w:after="160" w:line="240" w:lineRule="auto"/>
        <w:ind w:left="440" w:hanging="440"/>
        <w:rPr>
          <w:kern w:val="2"/>
          <w:szCs w:val="24"/>
          <w:lang w:eastAsia="ko-KR"/>
        </w:rPr>
      </w:pPr>
      <w:r>
        <w:rPr>
          <w:kern w:val="2"/>
          <w:szCs w:val="24"/>
          <w:lang w:eastAsia="ko-KR"/>
        </w:rPr>
        <w:t>[34] Aletta F, Lepore F, Kostara-Konstantinou E, Kang J, Astolfi A. An Experimental Study on the Influence of Soundscapes on People’s Behaviour in an Open Public Space. Applied Sciences. 2016;6:276. doi:10.3390/app6100276</w:t>
      </w:r>
    </w:p>
    <w:p>
      <w:pPr>
        <w:spacing w:before="240" w:after="160" w:line="240" w:lineRule="auto"/>
        <w:ind w:left="440" w:hanging="440"/>
        <w:rPr>
          <w:kern w:val="2"/>
          <w:szCs w:val="24"/>
          <w:lang w:eastAsia="ko-KR"/>
        </w:rPr>
      </w:pPr>
      <w:r>
        <w:rPr>
          <w:kern w:val="2"/>
          <w:szCs w:val="24"/>
          <w:lang w:eastAsia="ko-KR"/>
        </w:rPr>
        <w:t>[35] Ba M, Kang J, Li Z. The effects of sounds and food odour on crowd behaviours in urban public open spaces. Building and Environment. 2020;182:107104. doi:10.1016/j.buildenv.2020.107104</w:t>
      </w:r>
    </w:p>
    <w:p>
      <w:pPr>
        <w:spacing w:before="240" w:after="160" w:line="240" w:lineRule="auto"/>
        <w:ind w:left="440" w:hanging="440"/>
        <w:rPr>
          <w:kern w:val="2"/>
          <w:szCs w:val="24"/>
          <w:lang w:eastAsia="ko-KR"/>
        </w:rPr>
      </w:pPr>
      <w:r>
        <w:rPr>
          <w:kern w:val="2"/>
          <w:szCs w:val="24"/>
          <w:lang w:eastAsia="ko-KR"/>
        </w:rPr>
        <w:t>[36] Fu Y, Zhang N, Gao Q, Dai H, Chen Q, Gao W. Research on the Effect of Rural Composite Environments on the Spatiotemporal Behavior and Perception of the Elderly: A Case Study of Qingdao, China. Buildings. 2026;16:1973. doi:10.3390/buildings16101973</w:t>
      </w:r>
    </w:p>
    <w:p>
      <w:pPr>
        <w:spacing w:before="240" w:after="160" w:line="240" w:lineRule="auto"/>
        <w:ind w:left="440" w:hanging="440"/>
        <w:rPr>
          <w:kern w:val="2"/>
          <w:szCs w:val="24"/>
          <w:lang w:eastAsia="ko-KR"/>
        </w:rPr>
      </w:pPr>
      <w:r>
        <w:rPr>
          <w:kern w:val="2"/>
          <w:szCs w:val="24"/>
          <w:lang w:eastAsia="ko-KR"/>
        </w:rPr>
        <w:t>[37] Chen X, Kang J. Natural sounds can encourage social interactions in urban parks. Landscape and Urban Planning. 2023;239:104870. doi:10.1016/j.landurbplan.2023.104870</w:t>
      </w:r>
    </w:p>
    <w:p>
      <w:pPr>
        <w:spacing w:before="240" w:after="160" w:line="240" w:lineRule="auto"/>
        <w:ind w:left="440" w:hanging="440"/>
        <w:rPr>
          <w:kern w:val="2"/>
          <w:szCs w:val="24"/>
          <w:lang w:eastAsia="ko-KR"/>
        </w:rPr>
      </w:pPr>
      <w:r>
        <w:rPr>
          <w:kern w:val="2"/>
          <w:szCs w:val="24"/>
          <w:lang w:eastAsia="ko-KR"/>
        </w:rPr>
        <w:t>[38] Chen X, Kang J, Wang M. The impact of the community's sound environment on social interactions among residents. Building and Environment. 2024;266:112094. doi:10.1016/j.buildenv.2024.112094</w:t>
      </w:r>
    </w:p>
    <w:p>
      <w:pPr>
        <w:spacing w:before="240" w:after="160" w:line="240" w:lineRule="auto"/>
        <w:ind w:left="440" w:hanging="440"/>
        <w:rPr>
          <w:kern w:val="2"/>
          <w:szCs w:val="24"/>
          <w:lang w:eastAsia="ko-KR"/>
        </w:rPr>
      </w:pPr>
      <w:r>
        <w:rPr>
          <w:kern w:val="2"/>
          <w:szCs w:val="24"/>
          <w:lang w:eastAsia="ko-KR"/>
        </w:rPr>
        <w:t>[39] Moser G. Urban stress and helping behavior: Effects of environmental overload and noise on behavior. Journal of Environmental Psychology. 1988;8:287-298. doi:10.1016/s0272-4944(88)80035-5</w:t>
      </w:r>
    </w:p>
    <w:p>
      <w:pPr>
        <w:spacing w:before="240" w:after="160" w:line="240" w:lineRule="auto"/>
        <w:ind w:left="440" w:hanging="440"/>
        <w:rPr>
          <w:kern w:val="2"/>
          <w:szCs w:val="24"/>
          <w:lang w:eastAsia="ko-KR"/>
        </w:rPr>
      </w:pPr>
      <w:r>
        <w:rPr>
          <w:kern w:val="2"/>
          <w:szCs w:val="24"/>
          <w:lang w:eastAsia="ko-KR"/>
        </w:rPr>
        <w:t>[40] Mathews KE, Canon LK. Environmental noise level as a determinant of helping behavior. Journal of Personality and Social Psychology. 1975;32:571-577. doi:10.1037/0022-3514.32.4.571</w:t>
      </w:r>
    </w:p>
    <w:p>
      <w:pPr>
        <w:spacing w:before="240" w:after="160" w:line="240" w:lineRule="auto"/>
        <w:ind w:left="440" w:hanging="440"/>
        <w:rPr>
          <w:kern w:val="2"/>
          <w:szCs w:val="24"/>
          <w:lang w:eastAsia="ko-KR"/>
        </w:rPr>
      </w:pPr>
      <w:r>
        <w:rPr>
          <w:kern w:val="2"/>
          <w:szCs w:val="24"/>
          <w:lang w:eastAsia="ko-KR"/>
        </w:rPr>
        <w:t>[41] Guo X, Jiang SY, Liu J, Chen Z, Hong XC. Understanding the Role of Visitor Behavior in Soundscape Restorative Experiences in Urban Parks. Forests. 2024;15:1751. doi:10.3390/f15101751</w:t>
      </w:r>
    </w:p>
    <w:p>
      <w:pPr>
        <w:spacing w:before="240" w:after="160" w:line="240" w:lineRule="auto"/>
        <w:ind w:left="440" w:hanging="440"/>
        <w:rPr>
          <w:kern w:val="2"/>
          <w:szCs w:val="24"/>
          <w:lang w:eastAsia="ko-KR"/>
        </w:rPr>
      </w:pPr>
      <w:r>
        <w:rPr>
          <w:kern w:val="2"/>
          <w:szCs w:val="24"/>
          <w:lang w:eastAsia="ko-KR"/>
        </w:rPr>
        <w:t>[42] Bao Y, Gao M, Zhao C, Zhou X. White Spaces Unveiled: Investigating the Restorative Potential of Environmentally Perceived Characteristics in Urban Parks during Winter. Forests. 2023;14:2329. doi:10.3390/f14122329</w:t>
      </w:r>
    </w:p>
    <w:p>
      <w:pPr>
        <w:spacing w:before="240" w:after="160" w:line="240" w:lineRule="auto"/>
        <w:ind w:left="440" w:hanging="440"/>
        <w:rPr>
          <w:kern w:val="2"/>
          <w:szCs w:val="24"/>
          <w:lang w:eastAsia="ko-KR"/>
        </w:rPr>
      </w:pPr>
      <w:r>
        <w:rPr>
          <w:kern w:val="2"/>
          <w:szCs w:val="24"/>
          <w:lang w:eastAsia="ko-KR"/>
        </w:rPr>
        <w:t>[43] Montes González D, Barrigón Morillas JM, Rey-Gozalo G. Effects of noise on pedestrians in urban environments where road traffic is the main source of sound. Science of The Total Environment. 2023;857:159406. doi:10.1016/j.scitotenv.2022.159406</w:t>
      </w:r>
    </w:p>
    <w:p>
      <w:pPr>
        <w:spacing w:before="240" w:after="160" w:line="240" w:lineRule="auto"/>
        <w:ind w:left="440" w:hanging="440"/>
        <w:rPr>
          <w:kern w:val="2"/>
          <w:szCs w:val="24"/>
          <w:lang w:eastAsia="ko-KR"/>
        </w:rPr>
      </w:pPr>
      <w:r>
        <w:rPr>
          <w:kern w:val="2"/>
          <w:szCs w:val="24"/>
          <w:lang w:eastAsia="ko-KR"/>
        </w:rPr>
        <w:t>[44] Cao J, Kang J. The influence of companion factors on soundscape evaluations in urban public spaces. Sustainable Cities and Society. 2021;69:102860. doi:10.1016/j.scs.2021.102860</w:t>
      </w:r>
    </w:p>
    <w:p>
      <w:pPr>
        <w:spacing w:before="240" w:after="160" w:line="240" w:lineRule="auto"/>
        <w:ind w:left="440" w:hanging="440"/>
        <w:rPr>
          <w:kern w:val="2"/>
          <w:szCs w:val="24"/>
          <w:lang w:eastAsia="ko-KR"/>
        </w:rPr>
      </w:pPr>
      <w:r>
        <w:rPr>
          <w:kern w:val="2"/>
          <w:szCs w:val="24"/>
          <w:lang w:eastAsia="ko-KR"/>
        </w:rPr>
        <w:t>[45] Zhou L, Yu W, Zhang Y, Zhou W, Wu T. Effect of soundscapes and crowd density on economic behavior in commercial streets. Applied Acoustics. 2026;242:111101. doi:10.1016/j.apacoust.2025.111101</w:t>
      </w:r>
    </w:p>
    <w:p>
      <w:pPr>
        <w:spacing w:before="240" w:after="160" w:line="240" w:lineRule="auto"/>
        <w:ind w:left="440" w:hanging="440"/>
        <w:rPr>
          <w:kern w:val="2"/>
          <w:szCs w:val="24"/>
          <w:lang w:eastAsia="ko-KR"/>
        </w:rPr>
      </w:pPr>
      <w:r>
        <w:rPr>
          <w:kern w:val="2"/>
          <w:szCs w:val="24"/>
          <w:lang w:eastAsia="ko-KR"/>
        </w:rPr>
        <w:t>[46] Mansouri Y, Matallah ME, Attar A, Mahar WA, Attia S. The Impact of Soundscape on Pedestrian Comfort, Perception and Walking Experience in Béjaïa, Algeria. Acoustics. 2025;7:64. doi:10.3390/acoustics7040064</w:t>
      </w:r>
    </w:p>
    <w:p>
      <w:pPr>
        <w:spacing w:before="240" w:after="160" w:line="240" w:lineRule="auto"/>
        <w:ind w:left="440" w:hanging="440"/>
        <w:rPr>
          <w:kern w:val="2"/>
          <w:szCs w:val="24"/>
          <w:lang w:eastAsia="ko-KR"/>
        </w:rPr>
      </w:pPr>
      <w:r>
        <w:rPr>
          <w:kern w:val="2"/>
          <w:szCs w:val="24"/>
          <w:lang w:eastAsia="ko-KR"/>
        </w:rPr>
        <w:t>[47] Ba M, Li Z, Kang J. Research on the Combined Effects of Plant Odor and Traffic Noise on Crowd Behaviors in Urban Environments. Landscape Architecture Frontiers. 2024;12:47. doi:10.15302/j-laf-1-020106</w:t>
      </w:r>
    </w:p>
    <w:p>
      <w:pPr>
        <w:spacing w:before="240" w:after="160" w:line="240" w:lineRule="auto"/>
        <w:ind w:left="440" w:hanging="440"/>
        <w:rPr>
          <w:kern w:val="2"/>
          <w:szCs w:val="24"/>
          <w:lang w:eastAsia="ko-KR"/>
        </w:rPr>
      </w:pPr>
      <w:r>
        <w:rPr>
          <w:kern w:val="2"/>
          <w:szCs w:val="24"/>
          <w:lang w:eastAsia="ko-KR"/>
        </w:rPr>
        <w:t>[48] Dzhambov AM, Burov A, Markevych I, Kostadinov KR, Dimitrova D, Helbich M, et al. Environmental characteristics and physical activity: A cross-sectional study in Bulgaria's five largest cities. International Journal of Hygiene and Environmental Health. 2026;275:114816. doi:10.1016/j.ijheh.2026.114816</w:t>
      </w:r>
    </w:p>
    <w:p>
      <w:pPr>
        <w:spacing w:before="240" w:after="160" w:line="240" w:lineRule="auto"/>
        <w:ind w:left="440" w:hanging="440"/>
        <w:rPr>
          <w:kern w:val="2"/>
          <w:szCs w:val="24"/>
          <w:lang w:eastAsia="ko-KR"/>
        </w:rPr>
      </w:pPr>
      <w:r>
        <w:rPr>
          <w:kern w:val="2"/>
          <w:szCs w:val="24"/>
          <w:lang w:eastAsia="ko-KR"/>
        </w:rPr>
        <w:t>[49] Huang D, Tian M, Yuan L. Sustainable design of running friendly streets: Environmental exposures predict runnability by Volunteered Geographic Information and multilevel model approaches. Sustainable Cities and Society. 2023;89:104336. doi:10.1016/j.scs.2022.104336</w:t>
      </w:r>
    </w:p>
    <w:p>
      <w:pPr>
        <w:spacing w:before="240" w:after="160" w:line="240" w:lineRule="auto"/>
        <w:ind w:left="440" w:hanging="440"/>
        <w:rPr>
          <w:kern w:val="2"/>
          <w:szCs w:val="24"/>
          <w:lang w:eastAsia="ko-KR"/>
        </w:rPr>
      </w:pPr>
      <w:r>
        <w:rPr>
          <w:kern w:val="2"/>
          <w:szCs w:val="24"/>
          <w:lang w:eastAsia="ko-KR"/>
        </w:rPr>
        <w:t>[50] Guski R, Schreckenberg D, Schuemer R. WHO Environmental Noise Guidelines for the European Region: A Systematic Review on Environmental Noise and Annoyance. International Journal of Environmental Research and Public Health. 2017;14:1539. doi:10.3390/ijerph14121539</w:t>
      </w:r>
    </w:p>
    <w:p>
      <w:pPr>
        <w:spacing w:before="240" w:after="160" w:line="240" w:lineRule="auto"/>
        <w:ind w:left="440" w:hanging="440"/>
        <w:rPr>
          <w:kern w:val="2"/>
          <w:szCs w:val="24"/>
          <w:lang w:eastAsia="ko-KR"/>
        </w:rPr>
      </w:pPr>
      <w:r>
        <w:rPr>
          <w:kern w:val="2"/>
          <w:szCs w:val="24"/>
          <w:lang w:eastAsia="ko-KR"/>
        </w:rPr>
        <w:t>[51] Basner M, McGuire S. WHO Environmental Noise Guidelines for the European Region: A Systematic Review on Environmental Noise and Effects on Sleep. International Journal of Environmental Research and Public Health. 2018;15:519. doi:10.3390/ijerph15030519</w:t>
      </w:r>
    </w:p>
    <w:p>
      <w:pPr>
        <w:spacing w:before="240" w:after="160" w:line="240" w:lineRule="auto"/>
        <w:ind w:left="440" w:hanging="440"/>
        <w:rPr>
          <w:kern w:val="2"/>
          <w:szCs w:val="24"/>
          <w:lang w:eastAsia="ko-KR"/>
        </w:rPr>
      </w:pPr>
      <w:r>
        <w:rPr>
          <w:kern w:val="2"/>
          <w:szCs w:val="24"/>
          <w:lang w:eastAsia="ko-KR"/>
        </w:rPr>
        <w:t>[52] Deng L, Kang J, Zhao W, Jambrošić K. Cross-National Comparison of Soundscape in Urban Public Open Spaces between China and Croatia. Applied Sciences. 2020;10:960. doi:10.3390/app10030960</w:t>
      </w:r>
    </w:p>
    <w:p>
      <w:pPr>
        <w:spacing w:before="240" w:after="160" w:line="240" w:lineRule="auto"/>
        <w:ind w:left="440" w:hanging="440"/>
        <w:rPr>
          <w:kern w:val="2"/>
          <w:szCs w:val="24"/>
          <w:lang w:eastAsia="ko-KR"/>
        </w:rPr>
      </w:pPr>
      <w:r>
        <w:rPr>
          <w:kern w:val="2"/>
          <w:szCs w:val="24"/>
          <w:lang w:eastAsia="ko-KR"/>
        </w:rPr>
        <w:t>[53] Nguyen TL, Puyoo-Hialle M, Nguyen TTHN. Cultural influences on urban soundscape perception: A comparison of French, Japanese, and Vietnamese participants. Applied Acoustics. 2026;254:111414. doi:10.1016/j.apacoust.2026.111414</w:t>
      </w:r>
    </w:p>
    <w:p>
      <w:pPr>
        <w:spacing w:before="240" w:after="160" w:line="240" w:lineRule="auto"/>
        <w:ind w:left="440" w:hanging="440"/>
        <w:rPr>
          <w:kern w:val="2"/>
          <w:szCs w:val="24"/>
          <w:lang w:eastAsia="ko-KR"/>
        </w:rPr>
      </w:pPr>
      <w:r>
        <w:rPr>
          <w:kern w:val="2"/>
          <w:szCs w:val="24"/>
          <w:lang w:eastAsia="ko-KR"/>
        </w:rPr>
        <w:t>[54] Papadakis NM, Aletta F, Kang J, Oberman T, Mitchell A, Stavroulakis GE. Translation and cross-cultural adaptation methodology for soundscape attributes – A study with independent translation groups from English to Greek. Applied Acoustics. 2022;200:109031. doi:10.1016/j.apacoust.2022.109031</w:t>
      </w:r>
    </w:p>
    <w:p>
      <w:pPr>
        <w:spacing w:before="240" w:after="160" w:line="240" w:lineRule="auto"/>
        <w:ind w:left="440" w:hanging="440"/>
        <w:rPr>
          <w:kern w:val="2"/>
          <w:szCs w:val="24"/>
          <w:lang w:eastAsia="ko-KR"/>
        </w:rPr>
      </w:pPr>
      <w:r>
        <w:rPr>
          <w:kern w:val="2"/>
          <w:szCs w:val="24"/>
          <w:lang w:eastAsia="ko-KR"/>
        </w:rPr>
        <w:t>[55] Teo L, Van Elswyk ME, Lau CS, Shanahan CJ. Title-plus-abstract versus title-only first-level screening approach: a case study using a systematic review of dietary patterns and sarcopenia risk to compare screening performance. Systematic Reviews. 2023;12. doi:10.1186/s13643-023-02374-3</w:t>
      </w:r>
    </w:p>
    <w:p>
      <w:pPr>
        <w:keepNext/>
        <w:jc w:val="both"/>
        <w:rPr>
          <w:b/>
          <w:color w:val="000000"/>
        </w:rPr>
      </w:pPr>
      <w:r>
        <w:rPr>
          <w:b/>
          <w:color w:val="000000"/>
        </w:rPr>
        <w:br w:type="page"/>
      </w:r>
    </w:p>
    <w:p>
      <w:pPr>
        <w:widowControl w:val="0"/>
        <w:autoSpaceDE w:val="0"/>
        <w:autoSpaceDN w:val="0"/>
        <w:jc w:val="both"/>
        <w:outlineLvl w:val="0"/>
        <w:rPr>
          <w:b/>
          <w:color w:val="000000"/>
          <w:kern w:val="2"/>
          <w:szCs w:val="24"/>
          <w:lang w:eastAsia="ko-KR"/>
        </w:rPr>
      </w:pPr>
      <w:r>
        <w:rPr>
          <w:b/>
          <w:color w:val="000000"/>
          <w:kern w:val="2"/>
          <w:szCs w:val="24"/>
          <w:lang w:eastAsia="ko-KR"/>
        </w:rPr>
        <w:t>Appendix A. Search strategies</w:t>
      </w:r>
    </w:p>
    <w:p>
      <w:pPr>
        <w:ind w:firstLine="288"/>
        <w:jc w:val="both"/>
        <w:rPr>
          <w:lang w:eastAsia="ko-KR"/>
        </w:rPr>
      </w:pPr>
      <w:r>
        <w:rPr>
          <w:lang w:eastAsia="ko-KR"/>
        </w:rPr>
        <w:t>All searches were run on 2 August 2026 without date restrictions. The OpenAlex search was used to identify records not indexed in the three bibliographic databases.</w:t>
      </w:r>
    </w:p>
    <w:p>
      <w:pPr>
        <w:ind w:firstLine="288"/>
        <w:jc w:val="both"/>
        <w:rPr>
          <w:lang w:eastAsia="ko-KR"/>
        </w:rPr>
      </w:pPr>
      <w:r>
        <w:rPr>
          <w:lang w:eastAsia="ko-KR"/>
        </w:rPr>
        <w:t>Web of Science Core Collection (limits: English; document type, article):</w:t>
      </w:r>
    </w:p>
    <w:p>
      <w:pPr>
        <w:ind w:firstLine="288"/>
        <w:jc w:val="both"/>
        <w:rPr>
          <w:lang w:eastAsia="ko-KR"/>
        </w:rPr>
      </w:pPr>
      <w:r>
        <w:rPr>
          <w:lang w:eastAsia="ko-KR"/>
        </w:rPr>
        <w:t>TS=("soundscape*" OR "acoustic environment*" OR "sound environment*" OR "acoustic comfort" OR "traffic noise" OR "environmental noise" OR "urban noise" OR "aircraft noise" OR "natural sound*" OR "birdsong*" OR "bird song*" OR "water sound*" OR "background music" OR "added sound*") AND TS=("behavio*" OR "walking speed" OR "pedestrian movement" OR "route choice" OR "wayfinding" OR "dwell time" OR "linger*" OR "time spent" OR "sitting" OR "space use" OR "park use" OR "visitation" OR "physical activity" OR "social interaction*" OR "prosocial" OR "antisocial" OR "anti-social" OR "avoidance" OR "crowd behavio*" OR "behavio* mapping") AND TS=("urban" OR "city" OR "cities" OR "park*" OR "street*" OR "public space*" OR "open space*" OR "square*" OR "plaza*" OR "waterfront*" OR "green space*" OR "greenspace*" OR "recreational area*" OR "campus")</w:t>
      </w:r>
    </w:p>
    <w:p>
      <w:pPr>
        <w:ind w:firstLine="288"/>
        <w:jc w:val="both"/>
        <w:rPr>
          <w:lang w:eastAsia="ko-KR"/>
        </w:rPr>
      </w:pPr>
      <w:r>
        <w:rPr>
          <w:lang w:eastAsia="ko-KR"/>
        </w:rPr>
        <w:t>Scopus (limits included in the string):</w:t>
      </w:r>
    </w:p>
    <w:p>
      <w:pPr>
        <w:ind w:firstLine="288"/>
        <w:jc w:val="both"/>
        <w:rPr>
          <w:lang w:eastAsia="ko-KR"/>
        </w:rPr>
      </w:pPr>
      <w:r>
        <w:rPr>
          <w:lang w:eastAsia="ko-KR"/>
        </w:rPr>
        <w:t>TITLE-ABS-KEY("soundscape*" OR "acoustic environment*" OR "sound environment*" OR "acoustic comfort" OR "traffic noise" OR "environmental noise" OR "urban noise" OR "aircraft noise" OR "natural sound*" OR "birdsong*" OR "bird song*" OR "water sound*" OR "background music" OR "added sound*") AND TITLE-ABS-KEY("behavio*" OR "walking speed" OR "pedestrian movement" OR "route choice" OR "wayfinding" OR "dwell time" OR "linger*" OR "time spent" OR "sitting" OR "space use" OR "park use" OR "visitation" OR "physical activity" OR "social interaction*" OR "prosocial" OR "antisocial" OR "anti-social" OR "avoidance" OR "crowd behavio*" OR "behavio* mapping") AND TITLE-ABS-KEY("urban" OR "city" OR "cities" OR "park*" OR "street*" OR "public space*" OR "open space*" OR "square*" OR "plaza*" OR "waterfront*" OR "green space*" OR "greenspace*" OR "recreational area*" OR "campus") AND LANGUAGE(english) AND DOCTYPE(ar) AND SRCTYPE(j)</w:t>
      </w:r>
    </w:p>
    <w:p>
      <w:pPr>
        <w:ind w:firstLine="288"/>
        <w:jc w:val="both"/>
        <w:rPr>
          <w:lang w:eastAsia="ko-KR"/>
        </w:rPr>
      </w:pPr>
      <w:r>
        <w:rPr>
          <w:lang w:eastAsia="ko-KR"/>
        </w:rPr>
        <w:t>PubMed (limits included in the string):</w:t>
      </w:r>
    </w:p>
    <w:p>
      <w:pPr>
        <w:ind w:firstLine="288"/>
        <w:jc w:val="both"/>
        <w:rPr>
          <w:lang w:eastAsia="ko-KR"/>
        </w:rPr>
      </w:pPr>
      <w:r>
        <w:rPr>
          <w:lang w:eastAsia="ko-KR"/>
        </w:rPr>
        <w:t>(soundscape*[tiab] OR "acoustic environment"[tiab] OR "sound environment"[tiab] OR "acoustic comfort"[tiab] OR "traffic noise"[tiab] OR "environmental noise"[tiab] OR "urban noise"[tiab] OR "aircraft noise"[tiab] OR "natural sound"[tiab] OR "natural sounds"[tiab] OR birdsong*[tiab] OR "bird song"[tiab] OR "bird songs"[tiab] OR "water sound"[tiab] OR "water sounds"[tiab] OR "background music"[tiab] OR "added sound"[tiab] OR "added sounds"[tiab]) AND (behavio*[tiab] OR "walking speed"[tiab] OR "pedestrian movement"[tiab] OR "route choice"[tiab] OR wayfinding[tiab] OR "dwell time"[tiab] OR linger*[tiab] OR "time spent"[tiab] OR sitting[tiab] OR "space use"[tiab] OR "park use"[tiab] OR visitation[tiab] OR "physical activity"[tiab] OR "social interaction"[tiab] OR "social interactions"[tiab] OR prosocial[tiab] OR antisocial[tiab] OR "anti-social"[tiab] OR avoidance[tiab] OR "crowd behavior"[tiab] OR "crowd behaviour"[tiab]) AND (urban[tiab] OR city[tiab] OR cities[tiab] OR park*[tiab] OR street*[tiab] OR "public space"[tiab] OR "public spaces"[tiab] OR "open space"[tiab] OR "open spaces"[tiab] OR square*[tiab] OR plaza*[tiab] OR waterfront*[tiab] OR "green space"[tiab] OR "green spaces"[tiab] OR greenspace*[tiab] OR "recreational area"[tiab] OR "recreational areas"[tiab] OR campus[tiab]) AND english[lang] AND journal article[pt]</w:t>
      </w:r>
    </w:p>
    <w:p>
      <w:pPr>
        <w:ind w:firstLine="288"/>
        <w:jc w:val="both"/>
        <w:rPr>
          <w:lang w:eastAsia="ko-KR"/>
        </w:rPr>
      </w:pPr>
      <w:r>
        <w:rPr>
          <w:lang w:eastAsia="ko-KR"/>
        </w:rPr>
        <w:t>OpenAlex, title and abstract search (filters: English; type, article; source type, journal):</w:t>
      </w:r>
    </w:p>
    <w:p>
      <w:pPr>
        <w:ind w:firstLine="288"/>
        <w:jc w:val="both"/>
        <w:rPr>
          <w:lang w:eastAsia="ko-KR"/>
        </w:rPr>
      </w:pPr>
      <w:r>
        <w:rPr>
          <w:lang w:eastAsia="ko-KR"/>
        </w:rPr>
        <w:t>(soundscape OR soundscapes OR "acoustic environment" OR "sound environment" OR "acoustic comfort" OR "traffic noise" OR "environmental noise" OR "urban noise" OR "aircraft noise" OR "natural sound" OR "natural sounds" OR birdsong OR "water sound" OR "water sounds" OR "background music" OR "added sound") AND (behavior OR behaviour OR behavioral OR behavioural OR "walking speed" OR "pedestrian movement" OR "route choice" OR wayfinding OR "dwell time" OR lingering OR "time spent" OR sitting OR "space use" OR "park use" OR visitation OR "physical activity" OR "social interaction" OR "social interactions" OR prosocial OR antisocial OR avoidance OR "crowd behavior" OR "crowd behaviour") AND (urban OR city OR cities OR park OR parks OR street OR streets OR "public space" OR "public spaces" OR "open space" OR "open spaces" OR plaza OR square OR waterfront OR greenspace OR "green space" OR "recreational area" OR "recreational areas" OR campus)</w:t>
      </w:r>
    </w:p>
    <w:p>
      <w:pPr>
        <w:keepNext/>
        <w:jc w:val="both"/>
        <w:rPr>
          <w:b/>
          <w:color w:val="000000"/>
        </w:rPr>
      </w:pPr>
      <w:r>
        <w:rPr>
          <w:b/>
          <w:color w:val="000000"/>
        </w:rPr>
        <w:br w:type="page"/>
      </w:r>
    </w:p>
    <w:p>
      <w:pPr>
        <w:spacing w:before="160" w:after="80" w:line="240" w:lineRule="auto"/>
        <w:rPr>
          <w:b/>
          <w:sz w:val="22"/>
          <w:lang w:eastAsia="ko-KR"/>
        </w:rPr>
        <w:sectPr>
          <w:pgSz w:w="11909" w:h="16834"/>
          <w:pgMar w:top="1440" w:right="1440" w:bottom="1440" w:left="1699" w:header="720" w:footer="720" w:gutter="0"/>
          <w:cols w:space="720"/>
          <w:docGrid w:linePitch="360"/>
        </w:sectPr>
      </w:pPr>
    </w:p>
    <w:p>
      <w:pPr>
        <w:widowControl w:val="0"/>
        <w:autoSpaceDE w:val="0"/>
        <w:autoSpaceDN w:val="0"/>
        <w:jc w:val="both"/>
        <w:outlineLvl w:val="0"/>
        <w:rPr>
          <w:b/>
          <w:color w:val="000000"/>
          <w:kern w:val="2"/>
          <w:szCs w:val="24"/>
          <w:lang w:eastAsia="ko-KR"/>
        </w:rPr>
      </w:pPr>
      <w:r>
        <w:rPr>
          <w:b/>
          <w:color w:val="000000"/>
          <w:kern w:val="2"/>
          <w:szCs w:val="24"/>
          <w:lang w:eastAsia="ko-KR"/>
        </w:rPr>
        <w:t>Appendix B. Characteristics of included studies</w:t>
      </w:r>
    </w:p>
    <w:p>
      <w:pPr>
        <w:spacing w:before="160" w:after="80" w:line="240" w:lineRule="auto"/>
      </w:pPr>
      <w:r>
        <w:rPr>
          <w:b/>
          <w:sz w:val="22"/>
        </w:rPr>
        <w:t>Table B1.</w:t>
      </w:r>
      <w:r>
        <w:rPr>
          <w:sz w:val="22"/>
        </w:rPr>
        <w:t xml:space="preserve"> Studies included in the review (n = 98).</w:t>
      </w:r>
    </w:p>
    <w:tbl>
      <w:tblPr>
        <w:tblStyle w:val="af9"/>
        <w:tblW w:w="5000" w:type="pct"/>
        <w:jc w:val="center"/>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3228"/>
        <w:gridCol w:w="1984"/>
        <w:gridCol w:w="1700"/>
        <w:gridCol w:w="2267"/>
        <w:gridCol w:w="2834"/>
        <w:gridCol w:w="1097"/>
        <w:gridCol w:w="1060"/>
      </w:tblGrid>
      <w:tr>
        <w:trPr>
          <w:jc w:val="center"/>
        </w:trPr>
        <w:tc>
          <w:tcPr>
            <w:tcW w:w="1139" w:type="pct"/>
            <w:vAlign w:val="center"/>
          </w:tcPr>
          <w:p>
            <w:pPr>
              <w:spacing w:line="240" w:lineRule="auto"/>
            </w:pPr>
            <w:r>
              <w:rPr>
                <w:b/>
                <w:sz w:val="22"/>
              </w:rPr>
              <w:t>Study</w:t>
            </w:r>
          </w:p>
        </w:tc>
        <w:tc>
          <w:tcPr>
            <w:tcW w:w="700" w:type="pct"/>
            <w:vAlign w:val="center"/>
          </w:tcPr>
          <w:p>
            <w:pPr>
              <w:spacing w:line="240" w:lineRule="auto"/>
            </w:pPr>
            <w:r>
              <w:rPr>
                <w:b/>
                <w:sz w:val="22"/>
              </w:rPr>
              <w:t>Country</w:t>
            </w:r>
          </w:p>
        </w:tc>
        <w:tc>
          <w:tcPr>
            <w:tcW w:w="600" w:type="pct"/>
            <w:vAlign w:val="center"/>
          </w:tcPr>
          <w:p>
            <w:pPr>
              <w:spacing w:line="240" w:lineRule="auto"/>
            </w:pPr>
            <w:r>
              <w:rPr>
                <w:b/>
                <w:sz w:val="22"/>
              </w:rPr>
              <w:t>Setting</w:t>
            </w:r>
          </w:p>
        </w:tc>
        <w:tc>
          <w:tcPr>
            <w:tcW w:w="800" w:type="pct"/>
            <w:vAlign w:val="center"/>
          </w:tcPr>
          <w:p>
            <w:pPr>
              <w:spacing w:line="240" w:lineRule="auto"/>
            </w:pPr>
            <w:r>
              <w:rPr>
                <w:b/>
                <w:sz w:val="22"/>
              </w:rPr>
              <w:t>Design</w:t>
            </w:r>
          </w:p>
        </w:tc>
        <w:tc>
          <w:tcPr>
            <w:tcW w:w="1000" w:type="pct"/>
            <w:vAlign w:val="center"/>
          </w:tcPr>
          <w:p>
            <w:pPr>
              <w:spacing w:line="240" w:lineRule="auto"/>
            </w:pPr>
            <w:r>
              <w:rPr>
                <w:b/>
                <w:sz w:val="22"/>
              </w:rPr>
              <w:t>Behavioural domain</w:t>
            </w:r>
          </w:p>
        </w:tc>
        <w:tc>
          <w:tcPr>
            <w:tcW w:w="387" w:type="pct"/>
            <w:vAlign w:val="center"/>
          </w:tcPr>
          <w:p>
            <w:pPr>
              <w:spacing w:line="240" w:lineRule="auto"/>
            </w:pPr>
            <w:r>
              <w:rPr>
                <w:b/>
                <w:sz w:val="22"/>
              </w:rPr>
              <w:t>Direction</w:t>
            </w:r>
          </w:p>
        </w:tc>
        <w:tc>
          <w:tcPr>
            <w:tcW w:w="374" w:type="pct"/>
            <w:vAlign w:val="center"/>
          </w:tcPr>
          <w:p>
            <w:pPr>
              <w:spacing w:line="240" w:lineRule="auto"/>
            </w:pPr>
            <w:r>
              <w:rPr>
                <w:b/>
                <w:sz w:val="22"/>
              </w:rPr>
              <w:t>MMAT</w:t>
            </w:r>
          </w:p>
        </w:tc>
      </w:tr>
      <w:tr>
        <w:trPr>
          <w:jc w:val="center"/>
        </w:trPr>
        <w:tc>
          <w:tcPr>
            <w:tcW w:w="1139" w:type="pct"/>
            <w:vAlign w:val="center"/>
          </w:tcPr>
          <w:p>
            <w:pPr>
              <w:spacing w:line="240" w:lineRule="auto"/>
            </w:pPr>
            <w:r>
              <w:rPr>
                <w:sz w:val="22"/>
              </w:rPr>
              <w:t>Adejube (2025)</w:t>
            </w:r>
          </w:p>
        </w:tc>
        <w:tc>
          <w:tcPr>
            <w:tcW w:w="700" w:type="pct"/>
            <w:vAlign w:val="center"/>
          </w:tcPr>
          <w:p>
            <w:pPr>
              <w:spacing w:line="240" w:lineRule="auto"/>
            </w:pPr>
            <w:r>
              <w:rPr>
                <w:sz w:val="22"/>
              </w:rPr>
              <w:t>Nigeria</w:t>
            </w:r>
          </w:p>
        </w:tc>
        <w:tc>
          <w:tcPr>
            <w:tcW w:w="600" w:type="pct"/>
            <w:vAlign w:val="center"/>
          </w:tcPr>
          <w:p>
            <w:pPr>
              <w:spacing w:line="240" w:lineRule="auto"/>
            </w:pPr>
            <w:r>
              <w:rPr>
                <w:sz w:val="22"/>
              </w:rPr>
              <w:t>Mixed</w:t>
            </w:r>
          </w:p>
        </w:tc>
        <w:tc>
          <w:tcPr>
            <w:tcW w:w="800" w:type="pct"/>
            <w:vAlign w:val="center"/>
          </w:tcPr>
          <w:p>
            <w:pPr>
              <w:spacing w:line="240" w:lineRule="auto"/>
            </w:pPr>
            <w:r>
              <w:rPr>
                <w:sz w:val="22"/>
              </w:rPr>
              <w:t>Qualitative</w:t>
            </w:r>
          </w:p>
        </w:tc>
        <w:tc>
          <w:tcPr>
            <w:tcW w:w="1000" w:type="pct"/>
            <w:vAlign w:val="center"/>
          </w:tcPr>
          <w:p>
            <w:pPr>
              <w:spacing w:line="240" w:lineRule="auto"/>
            </w:pPr>
            <w:r>
              <w:rPr>
                <w:sz w:val="22"/>
              </w:rPr>
              <w:t>Social; activity; staying</w:t>
            </w:r>
          </w:p>
        </w:tc>
        <w:tc>
          <w:tcPr>
            <w:tcW w:w="387" w:type="pct"/>
            <w:vAlign w:val="center"/>
          </w:tcPr>
          <w:p>
            <w:pPr>
              <w:spacing w:line="240" w:lineRule="auto"/>
            </w:pPr>
            <w:r>
              <w:rPr>
                <w:sz w:val="22"/>
              </w:rPr>
              <w:t>Both</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Aletta &amp; Van Renterghem (2021)</w:t>
            </w:r>
          </w:p>
        </w:tc>
        <w:tc>
          <w:tcPr>
            <w:tcW w:w="700" w:type="pct"/>
            <w:vAlign w:val="center"/>
          </w:tcPr>
          <w:p>
            <w:pPr>
              <w:spacing w:line="240" w:lineRule="auto"/>
            </w:pPr>
            <w:r>
              <w:rPr>
                <w:sz w:val="22"/>
              </w:rPr>
              <w:t>Belgium</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Movement; space use</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Aletta et al. (2016)</w:t>
            </w:r>
          </w:p>
        </w:tc>
        <w:tc>
          <w:tcPr>
            <w:tcW w:w="700" w:type="pct"/>
            <w:vAlign w:val="center"/>
          </w:tcPr>
          <w:p>
            <w:pPr>
              <w:spacing w:line="240" w:lineRule="auto"/>
            </w:pPr>
            <w:r>
              <w:rPr>
                <w:sz w:val="22"/>
              </w:rPr>
              <w:t>United Kingdom</w:t>
            </w:r>
          </w:p>
        </w:tc>
        <w:tc>
          <w:tcPr>
            <w:tcW w:w="600" w:type="pct"/>
            <w:vAlign w:val="center"/>
          </w:tcPr>
          <w:p>
            <w:pPr>
              <w:spacing w:line="240" w:lineRule="auto"/>
            </w:pPr>
            <w:r>
              <w:rPr>
                <w:sz w:val="22"/>
              </w:rPr>
              <w:t>Campus</w:t>
            </w:r>
          </w:p>
        </w:tc>
        <w:tc>
          <w:tcPr>
            <w:tcW w:w="800" w:type="pct"/>
            <w:vAlign w:val="center"/>
          </w:tcPr>
          <w:p>
            <w:pPr>
              <w:spacing w:line="240" w:lineRule="auto"/>
            </w:pPr>
            <w:r>
              <w:rPr>
                <w:sz w:val="22"/>
              </w:rPr>
              <w:t>Field experiment</w:t>
            </w:r>
          </w:p>
        </w:tc>
        <w:tc>
          <w:tcPr>
            <w:tcW w:w="1000" w:type="pct"/>
            <w:vAlign w:val="center"/>
          </w:tcPr>
          <w:p>
            <w:pPr>
              <w:spacing w:line="240" w:lineRule="auto"/>
            </w:pPr>
            <w:r>
              <w:rPr>
                <w:sz w:val="22"/>
              </w:rPr>
              <w:t>Staying; space use</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Alishahi et al. (2021)</w:t>
            </w:r>
          </w:p>
        </w:tc>
        <w:tc>
          <w:tcPr>
            <w:tcW w:w="700" w:type="pct"/>
            <w:vAlign w:val="center"/>
          </w:tcPr>
          <w:p>
            <w:pPr>
              <w:spacing w:line="240" w:lineRule="auto"/>
            </w:pPr>
            <w:r>
              <w:rPr>
                <w:sz w:val="22"/>
              </w:rPr>
              <w:t>Iran</w:t>
            </w:r>
          </w:p>
        </w:tc>
        <w:tc>
          <w:tcPr>
            <w:tcW w:w="600" w:type="pct"/>
            <w:vAlign w:val="center"/>
          </w:tcPr>
          <w:p>
            <w:pPr>
              <w:spacing w:line="240" w:lineRule="auto"/>
            </w:pPr>
            <w:r>
              <w:rPr>
                <w:sz w:val="22"/>
              </w:rPr>
              <w:t>Mixed</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Space use; staying</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Alves et al. (2021)</w:t>
            </w:r>
          </w:p>
        </w:tc>
        <w:tc>
          <w:tcPr>
            <w:tcW w:w="700" w:type="pct"/>
            <w:vAlign w:val="center"/>
          </w:tcPr>
          <w:p>
            <w:pPr>
              <w:spacing w:line="240" w:lineRule="auto"/>
            </w:pPr>
            <w:r>
              <w:rPr>
                <w:sz w:val="22"/>
              </w:rPr>
              <w:t>Italy</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Movement; social; activity; space use</w:t>
            </w:r>
          </w:p>
        </w:tc>
        <w:tc>
          <w:tcPr>
            <w:tcW w:w="387" w:type="pct"/>
            <w:vAlign w:val="center"/>
          </w:tcPr>
          <w:p>
            <w:pPr>
              <w:spacing w:line="240" w:lineRule="auto"/>
            </w:pPr>
            <w:r>
              <w:rPr>
                <w:sz w:val="22"/>
              </w:rPr>
              <w:t>Both</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Ba et al. (2020)</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Field experiment</w:t>
            </w:r>
          </w:p>
        </w:tc>
        <w:tc>
          <w:tcPr>
            <w:tcW w:w="1000" w:type="pct"/>
            <w:vAlign w:val="center"/>
          </w:tcPr>
          <w:p>
            <w:pPr>
              <w:spacing w:line="240" w:lineRule="auto"/>
            </w:pPr>
            <w:r>
              <w:rPr>
                <w:sz w:val="22"/>
              </w:rPr>
              <w:t>Movement; staying; space use</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Ba et al. (2023)</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Field experiment</w:t>
            </w:r>
          </w:p>
        </w:tc>
        <w:tc>
          <w:tcPr>
            <w:tcW w:w="1000" w:type="pct"/>
            <w:vAlign w:val="center"/>
          </w:tcPr>
          <w:p>
            <w:pPr>
              <w:spacing w:line="240" w:lineRule="auto"/>
            </w:pPr>
            <w:r>
              <w:rPr>
                <w:sz w:val="22"/>
              </w:rPr>
              <w:t>Movement</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Ba et al. (2025)</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Waterfront</w:t>
            </w:r>
          </w:p>
        </w:tc>
        <w:tc>
          <w:tcPr>
            <w:tcW w:w="800" w:type="pct"/>
            <w:vAlign w:val="center"/>
          </w:tcPr>
          <w:p>
            <w:pPr>
              <w:spacing w:line="240" w:lineRule="auto"/>
            </w:pPr>
            <w:r>
              <w:rPr>
                <w:sz w:val="22"/>
              </w:rPr>
              <w:t>Field experiment</w:t>
            </w:r>
          </w:p>
        </w:tc>
        <w:tc>
          <w:tcPr>
            <w:tcW w:w="1000" w:type="pct"/>
            <w:vAlign w:val="center"/>
          </w:tcPr>
          <w:p>
            <w:pPr>
              <w:spacing w:line="240" w:lineRule="auto"/>
            </w:pPr>
            <w:r>
              <w:rPr>
                <w:sz w:val="22"/>
              </w:rPr>
              <w:t>Movement; staying</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Bao et al. (2023)</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Staying; space use</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Berkouk et al. (2020)</w:t>
            </w:r>
          </w:p>
        </w:tc>
        <w:tc>
          <w:tcPr>
            <w:tcW w:w="700" w:type="pct"/>
            <w:vAlign w:val="center"/>
          </w:tcPr>
          <w:p>
            <w:pPr>
              <w:spacing w:line="240" w:lineRule="auto"/>
            </w:pPr>
            <w:r>
              <w:rPr>
                <w:sz w:val="22"/>
              </w:rPr>
              <w:t>Algeria</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Observation</w:t>
            </w:r>
          </w:p>
        </w:tc>
        <w:tc>
          <w:tcPr>
            <w:tcW w:w="1000" w:type="pct"/>
            <w:vAlign w:val="center"/>
          </w:tcPr>
          <w:p>
            <w:pPr>
              <w:spacing w:line="240" w:lineRule="auto"/>
            </w:pPr>
            <w:r>
              <w:rPr>
                <w:sz w:val="22"/>
              </w:rPr>
              <w:t>Movement</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Bild et al. (2018)</w:t>
            </w:r>
          </w:p>
        </w:tc>
        <w:tc>
          <w:tcPr>
            <w:tcW w:w="700" w:type="pct"/>
            <w:vAlign w:val="center"/>
          </w:tcPr>
          <w:p>
            <w:pPr>
              <w:spacing w:line="240" w:lineRule="auto"/>
            </w:pPr>
            <w:r>
              <w:rPr>
                <w:sz w:val="22"/>
              </w:rPr>
              <w:t>Netherlands</w:t>
            </w:r>
          </w:p>
        </w:tc>
        <w:tc>
          <w:tcPr>
            <w:tcW w:w="600" w:type="pct"/>
            <w:vAlign w:val="center"/>
          </w:tcPr>
          <w:p>
            <w:pPr>
              <w:spacing w:line="240" w:lineRule="auto"/>
            </w:pPr>
            <w:r>
              <w:rPr>
                <w:sz w:val="22"/>
              </w:rPr>
              <w:t>Mixed</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Activity; social; space use</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Bild et al. (2019)</w:t>
            </w:r>
          </w:p>
        </w:tc>
        <w:tc>
          <w:tcPr>
            <w:tcW w:w="700" w:type="pct"/>
            <w:vAlign w:val="center"/>
          </w:tcPr>
          <w:p>
            <w:pPr>
              <w:spacing w:line="240" w:lineRule="auto"/>
            </w:pPr>
            <w:r>
              <w:rPr>
                <w:sz w:val="22"/>
              </w:rPr>
              <w:t>Netherlands</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Qualitative</w:t>
            </w:r>
          </w:p>
        </w:tc>
        <w:tc>
          <w:tcPr>
            <w:tcW w:w="1000" w:type="pct"/>
            <w:vAlign w:val="center"/>
          </w:tcPr>
          <w:p>
            <w:pPr>
              <w:spacing w:line="240" w:lineRule="auto"/>
            </w:pPr>
            <w:r>
              <w:rPr>
                <w:sz w:val="22"/>
              </w:rPr>
              <w:t>Activity; social; staying</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Bishop &amp; Marshall (2014)</w:t>
            </w:r>
          </w:p>
        </w:tc>
        <w:tc>
          <w:tcPr>
            <w:tcW w:w="700" w:type="pct"/>
            <w:vAlign w:val="center"/>
          </w:tcPr>
          <w:p>
            <w:pPr>
              <w:spacing w:line="240" w:lineRule="auto"/>
            </w:pPr>
            <w:r>
              <w:rPr>
                <w:sz w:val="22"/>
              </w:rPr>
              <w:t>Australia</w:t>
            </w:r>
          </w:p>
        </w:tc>
        <w:tc>
          <w:tcPr>
            <w:tcW w:w="600" w:type="pct"/>
            <w:vAlign w:val="center"/>
          </w:tcPr>
          <w:p>
            <w:pPr>
              <w:spacing w:line="240" w:lineRule="auto"/>
            </w:pPr>
            <w:r>
              <w:rPr>
                <w:sz w:val="22"/>
              </w:rPr>
              <w:t>Square</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Movement; staying; space use</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Boles &amp; Hayward (1978)</w:t>
            </w:r>
          </w:p>
        </w:tc>
        <w:tc>
          <w:tcPr>
            <w:tcW w:w="700" w:type="pct"/>
            <w:vAlign w:val="center"/>
          </w:tcPr>
          <w:p>
            <w:pPr>
              <w:spacing w:line="240" w:lineRule="auto"/>
            </w:pPr>
            <w:r>
              <w:rPr>
                <w:sz w:val="22"/>
              </w:rPr>
              <w:t>NR</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NR</w:t>
            </w:r>
          </w:p>
        </w:tc>
        <w:tc>
          <w:tcPr>
            <w:tcW w:w="1000" w:type="pct"/>
            <w:vAlign w:val="center"/>
          </w:tcPr>
          <w:p>
            <w:pPr>
              <w:spacing w:line="240" w:lineRule="auto"/>
            </w:pPr>
            <w:r>
              <w:rPr>
                <w:sz w:val="22"/>
              </w:rPr>
              <w:t>Movement; social</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Burrows et al. (2018)</w:t>
            </w:r>
          </w:p>
        </w:tc>
        <w:tc>
          <w:tcPr>
            <w:tcW w:w="700" w:type="pct"/>
            <w:vAlign w:val="center"/>
          </w:tcPr>
          <w:p>
            <w:pPr>
              <w:spacing w:line="240" w:lineRule="auto"/>
            </w:pPr>
            <w:r>
              <w:rPr>
                <w:sz w:val="22"/>
              </w:rPr>
              <w:t>Ireland</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Space use; activity</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Calafiore &amp; Tong (2025)</w:t>
            </w:r>
          </w:p>
        </w:tc>
        <w:tc>
          <w:tcPr>
            <w:tcW w:w="700" w:type="pct"/>
            <w:vAlign w:val="center"/>
          </w:tcPr>
          <w:p>
            <w:pPr>
              <w:spacing w:line="240" w:lineRule="auto"/>
            </w:pPr>
            <w:r>
              <w:rPr>
                <w:sz w:val="22"/>
              </w:rPr>
              <w:t>Australia; United Kingdom</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Observation</w:t>
            </w:r>
          </w:p>
        </w:tc>
        <w:tc>
          <w:tcPr>
            <w:tcW w:w="1000" w:type="pct"/>
            <w:vAlign w:val="center"/>
          </w:tcPr>
          <w:p>
            <w:pPr>
              <w:spacing w:line="240" w:lineRule="auto"/>
            </w:pPr>
            <w:r>
              <w:rPr>
                <w:sz w:val="22"/>
              </w:rPr>
              <w:t>Movement</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Cao &amp; Kang (2021)</w:t>
            </w:r>
          </w:p>
        </w:tc>
        <w:tc>
          <w:tcPr>
            <w:tcW w:w="700" w:type="pct"/>
            <w:vAlign w:val="center"/>
          </w:tcPr>
          <w:p>
            <w:pPr>
              <w:spacing w:line="240" w:lineRule="auto"/>
            </w:pPr>
            <w:r>
              <w:rPr>
                <w:sz w:val="22"/>
              </w:rPr>
              <w:t>China; United Kingdom</w:t>
            </w:r>
          </w:p>
        </w:tc>
        <w:tc>
          <w:tcPr>
            <w:tcW w:w="600" w:type="pct"/>
            <w:vAlign w:val="center"/>
          </w:tcPr>
          <w:p>
            <w:pPr>
              <w:spacing w:line="240" w:lineRule="auto"/>
            </w:pPr>
            <w:r>
              <w:rPr>
                <w:sz w:val="22"/>
              </w:rPr>
              <w:t>Square</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Social; activity</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Cerwén et al. (2016)</w:t>
            </w:r>
          </w:p>
        </w:tc>
        <w:tc>
          <w:tcPr>
            <w:tcW w:w="700" w:type="pct"/>
            <w:vAlign w:val="center"/>
          </w:tcPr>
          <w:p>
            <w:pPr>
              <w:spacing w:line="240" w:lineRule="auto"/>
            </w:pPr>
            <w:r>
              <w:rPr>
                <w:sz w:val="22"/>
              </w:rPr>
              <w:t>Sweden</w:t>
            </w:r>
          </w:p>
        </w:tc>
        <w:tc>
          <w:tcPr>
            <w:tcW w:w="600" w:type="pct"/>
            <w:vAlign w:val="center"/>
          </w:tcPr>
          <w:p>
            <w:pPr>
              <w:spacing w:line="240" w:lineRule="auto"/>
            </w:pPr>
            <w:r>
              <w:rPr>
                <w:sz w:val="22"/>
              </w:rPr>
              <w:t>Campus</w:t>
            </w:r>
          </w:p>
        </w:tc>
        <w:tc>
          <w:tcPr>
            <w:tcW w:w="800" w:type="pct"/>
            <w:vAlign w:val="center"/>
          </w:tcPr>
          <w:p>
            <w:pPr>
              <w:spacing w:line="240" w:lineRule="auto"/>
            </w:pPr>
            <w:r>
              <w:rPr>
                <w:sz w:val="22"/>
              </w:rPr>
              <w:t>Qualitative</w:t>
            </w:r>
          </w:p>
        </w:tc>
        <w:tc>
          <w:tcPr>
            <w:tcW w:w="1000" w:type="pct"/>
            <w:vAlign w:val="center"/>
          </w:tcPr>
          <w:p>
            <w:pPr>
              <w:spacing w:line="240" w:lineRule="auto"/>
            </w:pPr>
            <w:r>
              <w:rPr>
                <w:sz w:val="22"/>
              </w:rPr>
              <w:t>Space use; staying; movement; social</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Chen &amp; Kang (2023)</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Field experiment</w:t>
            </w:r>
          </w:p>
        </w:tc>
        <w:tc>
          <w:tcPr>
            <w:tcW w:w="1000" w:type="pct"/>
            <w:vAlign w:val="center"/>
          </w:tcPr>
          <w:p>
            <w:pPr>
              <w:spacing w:line="240" w:lineRule="auto"/>
            </w:pPr>
            <w:r>
              <w:rPr>
                <w:sz w:val="22"/>
              </w:rPr>
              <w:t>Social</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Chen &amp; Kang (2025)</w:t>
            </w:r>
          </w:p>
        </w:tc>
        <w:tc>
          <w:tcPr>
            <w:tcW w:w="700" w:type="pct"/>
            <w:vAlign w:val="center"/>
          </w:tcPr>
          <w:p>
            <w:pPr>
              <w:spacing w:line="240" w:lineRule="auto"/>
            </w:pPr>
            <w:r>
              <w:rPr>
                <w:sz w:val="22"/>
              </w:rPr>
              <w:t>United Kingdom</w:t>
            </w:r>
          </w:p>
        </w:tc>
        <w:tc>
          <w:tcPr>
            <w:tcW w:w="600" w:type="pct"/>
            <w:vAlign w:val="center"/>
          </w:tcPr>
          <w:p>
            <w:pPr>
              <w:spacing w:line="240" w:lineRule="auto"/>
            </w:pPr>
            <w:r>
              <w:rPr>
                <w:sz w:val="22"/>
              </w:rPr>
              <w:t>Laboratory (outdoor scene)</w:t>
            </w:r>
          </w:p>
        </w:tc>
        <w:tc>
          <w:tcPr>
            <w:tcW w:w="800" w:type="pct"/>
            <w:vAlign w:val="center"/>
          </w:tcPr>
          <w:p>
            <w:pPr>
              <w:spacing w:line="240" w:lineRule="auto"/>
            </w:pPr>
            <w:r>
              <w:rPr>
                <w:sz w:val="22"/>
              </w:rPr>
              <w:t>Laboratory experiment</w:t>
            </w:r>
          </w:p>
        </w:tc>
        <w:tc>
          <w:tcPr>
            <w:tcW w:w="1000" w:type="pct"/>
            <w:vAlign w:val="center"/>
          </w:tcPr>
          <w:p>
            <w:pPr>
              <w:spacing w:line="240" w:lineRule="auto"/>
            </w:pPr>
            <w:r>
              <w:rPr>
                <w:sz w:val="22"/>
              </w:rPr>
              <w:t>Social; movement</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Chen et al. (2023)</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Field experiment</w:t>
            </w:r>
          </w:p>
        </w:tc>
        <w:tc>
          <w:tcPr>
            <w:tcW w:w="1000" w:type="pct"/>
            <w:vAlign w:val="center"/>
          </w:tcPr>
          <w:p>
            <w:pPr>
              <w:spacing w:line="240" w:lineRule="auto"/>
            </w:pPr>
            <w:r>
              <w:rPr>
                <w:sz w:val="22"/>
              </w:rPr>
              <w:t>Movement; staying; space use</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Chen et al. (2024)</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Residential</w:t>
            </w:r>
          </w:p>
        </w:tc>
        <w:tc>
          <w:tcPr>
            <w:tcW w:w="800" w:type="pct"/>
            <w:vAlign w:val="center"/>
          </w:tcPr>
          <w:p>
            <w:pPr>
              <w:spacing w:line="240" w:lineRule="auto"/>
            </w:pPr>
            <w:r>
              <w:rPr>
                <w:sz w:val="22"/>
              </w:rPr>
              <w:t>Field experiment</w:t>
            </w:r>
          </w:p>
        </w:tc>
        <w:tc>
          <w:tcPr>
            <w:tcW w:w="1000" w:type="pct"/>
            <w:vAlign w:val="center"/>
          </w:tcPr>
          <w:p>
            <w:pPr>
              <w:spacing w:line="240" w:lineRule="auto"/>
            </w:pPr>
            <w:r>
              <w:rPr>
                <w:sz w:val="22"/>
              </w:rPr>
              <w:t>Social</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Derbal &amp; Rahmane (2024)</w:t>
            </w:r>
          </w:p>
        </w:tc>
        <w:tc>
          <w:tcPr>
            <w:tcW w:w="700" w:type="pct"/>
            <w:vAlign w:val="center"/>
          </w:tcPr>
          <w:p>
            <w:pPr>
              <w:spacing w:line="240" w:lineRule="auto"/>
            </w:pPr>
            <w:r>
              <w:rPr>
                <w:sz w:val="22"/>
              </w:rPr>
              <w:t>Algeria; France</w:t>
            </w:r>
          </w:p>
        </w:tc>
        <w:tc>
          <w:tcPr>
            <w:tcW w:w="600" w:type="pct"/>
            <w:vAlign w:val="center"/>
          </w:tcPr>
          <w:p>
            <w:pPr>
              <w:spacing w:line="240" w:lineRule="auto"/>
            </w:pPr>
            <w:r>
              <w:rPr>
                <w:sz w:val="22"/>
              </w:rPr>
              <w:t>Square</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Space use; social; staying</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Di Loreto et al. (2022)</w:t>
            </w:r>
          </w:p>
        </w:tc>
        <w:tc>
          <w:tcPr>
            <w:tcW w:w="700" w:type="pct"/>
            <w:vAlign w:val="center"/>
          </w:tcPr>
          <w:p>
            <w:pPr>
              <w:spacing w:line="240" w:lineRule="auto"/>
            </w:pPr>
            <w:r>
              <w:rPr>
                <w:sz w:val="22"/>
              </w:rPr>
              <w:t>Italy</w:t>
            </w:r>
          </w:p>
        </w:tc>
        <w:tc>
          <w:tcPr>
            <w:tcW w:w="600" w:type="pct"/>
            <w:vAlign w:val="center"/>
          </w:tcPr>
          <w:p>
            <w:pPr>
              <w:spacing w:line="240" w:lineRule="auto"/>
            </w:pPr>
            <w:r>
              <w:rPr>
                <w:sz w:val="22"/>
              </w:rPr>
              <w:t>Waterfront</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Space use</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Dzhambov et al. (2026)</w:t>
            </w:r>
          </w:p>
        </w:tc>
        <w:tc>
          <w:tcPr>
            <w:tcW w:w="700" w:type="pct"/>
            <w:vAlign w:val="center"/>
          </w:tcPr>
          <w:p>
            <w:pPr>
              <w:spacing w:line="240" w:lineRule="auto"/>
            </w:pPr>
            <w:r>
              <w:rPr>
                <w:sz w:val="22"/>
              </w:rPr>
              <w:t>Bulgaria</w:t>
            </w:r>
          </w:p>
        </w:tc>
        <w:tc>
          <w:tcPr>
            <w:tcW w:w="600" w:type="pct"/>
            <w:vAlign w:val="center"/>
          </w:tcPr>
          <w:p>
            <w:pPr>
              <w:spacing w:line="240" w:lineRule="auto"/>
            </w:pPr>
            <w:r>
              <w:rPr>
                <w:sz w:val="22"/>
              </w:rPr>
              <w:t>Residential</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Activity</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Fang et al. (2021)</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Staying; activity; social; space use</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Fang et al. (2024)</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Staying</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Franěk &amp; Režný (2021)</w:t>
            </w:r>
          </w:p>
        </w:tc>
        <w:tc>
          <w:tcPr>
            <w:tcW w:w="700" w:type="pct"/>
            <w:vAlign w:val="center"/>
          </w:tcPr>
          <w:p>
            <w:pPr>
              <w:spacing w:line="240" w:lineRule="auto"/>
            </w:pPr>
            <w:r>
              <w:rPr>
                <w:sz w:val="22"/>
              </w:rPr>
              <w:t>Czechia</w:t>
            </w:r>
          </w:p>
        </w:tc>
        <w:tc>
          <w:tcPr>
            <w:tcW w:w="600" w:type="pct"/>
            <w:vAlign w:val="center"/>
          </w:tcPr>
          <w:p>
            <w:pPr>
              <w:spacing w:line="240" w:lineRule="auto"/>
            </w:pPr>
            <w:r>
              <w:rPr>
                <w:sz w:val="22"/>
              </w:rPr>
              <w:t>Mixed</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Movement</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Franěk et al. (2014)</w:t>
            </w:r>
          </w:p>
        </w:tc>
        <w:tc>
          <w:tcPr>
            <w:tcW w:w="700" w:type="pct"/>
            <w:vAlign w:val="center"/>
          </w:tcPr>
          <w:p>
            <w:pPr>
              <w:spacing w:line="240" w:lineRule="auto"/>
            </w:pPr>
            <w:r>
              <w:rPr>
                <w:sz w:val="22"/>
              </w:rPr>
              <w:t>Czechia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Field experiment</w:t>
            </w:r>
          </w:p>
        </w:tc>
        <w:tc>
          <w:tcPr>
            <w:tcW w:w="1000" w:type="pct"/>
            <w:vAlign w:val="center"/>
          </w:tcPr>
          <w:p>
            <w:pPr>
              <w:spacing w:line="240" w:lineRule="auto"/>
            </w:pPr>
            <w:r>
              <w:rPr>
                <w:sz w:val="22"/>
              </w:rPr>
              <w:t>Movement</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Franěk et al. (2018)</w:t>
            </w:r>
          </w:p>
        </w:tc>
        <w:tc>
          <w:tcPr>
            <w:tcW w:w="700" w:type="pct"/>
            <w:vAlign w:val="center"/>
          </w:tcPr>
          <w:p>
            <w:pPr>
              <w:spacing w:line="240" w:lineRule="auto"/>
            </w:pPr>
            <w:r>
              <w:rPr>
                <w:sz w:val="22"/>
              </w:rPr>
              <w:t>Czechia</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Field experiment</w:t>
            </w:r>
          </w:p>
        </w:tc>
        <w:tc>
          <w:tcPr>
            <w:tcW w:w="1000" w:type="pct"/>
            <w:vAlign w:val="center"/>
          </w:tcPr>
          <w:p>
            <w:pPr>
              <w:spacing w:line="240" w:lineRule="auto"/>
            </w:pPr>
            <w:r>
              <w:rPr>
                <w:sz w:val="22"/>
              </w:rPr>
              <w:t>Movement</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Franěk et al. (2019)</w:t>
            </w:r>
          </w:p>
        </w:tc>
        <w:tc>
          <w:tcPr>
            <w:tcW w:w="700" w:type="pct"/>
            <w:vAlign w:val="center"/>
          </w:tcPr>
          <w:p>
            <w:pPr>
              <w:spacing w:line="240" w:lineRule="auto"/>
            </w:pPr>
            <w:r>
              <w:rPr>
                <w:sz w:val="22"/>
              </w:rPr>
              <w:t>Czechia</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Field experiment</w:t>
            </w:r>
          </w:p>
        </w:tc>
        <w:tc>
          <w:tcPr>
            <w:tcW w:w="1000" w:type="pct"/>
            <w:vAlign w:val="center"/>
          </w:tcPr>
          <w:p>
            <w:pPr>
              <w:spacing w:line="240" w:lineRule="auto"/>
            </w:pPr>
            <w:r>
              <w:rPr>
                <w:sz w:val="22"/>
              </w:rPr>
              <w:t>Movement</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Fu et al. (2023)</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Activity; movement; space use</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Fu et al. (2026)</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Mixed</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Staying; space use; social</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Gao &amp; Fang (2025)</w:t>
            </w:r>
          </w:p>
        </w:tc>
        <w:tc>
          <w:tcPr>
            <w:tcW w:w="700" w:type="pct"/>
            <w:vAlign w:val="center"/>
          </w:tcPr>
          <w:p>
            <w:pPr>
              <w:spacing w:line="240" w:lineRule="auto"/>
            </w:pPr>
            <w:r>
              <w:rPr>
                <w:sz w:val="22"/>
              </w:rPr>
              <w:t>Australia</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Observation</w:t>
            </w:r>
          </w:p>
        </w:tc>
        <w:tc>
          <w:tcPr>
            <w:tcW w:w="1000" w:type="pct"/>
            <w:vAlign w:val="center"/>
          </w:tcPr>
          <w:p>
            <w:pPr>
              <w:spacing w:line="240" w:lineRule="auto"/>
            </w:pPr>
            <w:r>
              <w:rPr>
                <w:sz w:val="22"/>
              </w:rPr>
              <w:t>Movement; activity</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Gao &amp; Fang (2026)</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Observation</w:t>
            </w:r>
          </w:p>
        </w:tc>
        <w:tc>
          <w:tcPr>
            <w:tcW w:w="1000" w:type="pct"/>
            <w:vAlign w:val="center"/>
          </w:tcPr>
          <w:p>
            <w:pPr>
              <w:spacing w:line="240" w:lineRule="auto"/>
            </w:pPr>
            <w:r>
              <w:rPr>
                <w:sz w:val="22"/>
              </w:rPr>
              <w:t>Movement; space use</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Gidlöf-Gunnarsson &amp; Öhrström (2007)</w:t>
            </w:r>
          </w:p>
        </w:tc>
        <w:tc>
          <w:tcPr>
            <w:tcW w:w="700" w:type="pct"/>
            <w:vAlign w:val="center"/>
          </w:tcPr>
          <w:p>
            <w:pPr>
              <w:spacing w:line="240" w:lineRule="auto"/>
            </w:pPr>
            <w:r>
              <w:rPr>
                <w:sz w:val="22"/>
              </w:rPr>
              <w:t>Sweden</w:t>
            </w:r>
          </w:p>
        </w:tc>
        <w:tc>
          <w:tcPr>
            <w:tcW w:w="600" w:type="pct"/>
            <w:vAlign w:val="center"/>
          </w:tcPr>
          <w:p>
            <w:pPr>
              <w:spacing w:line="240" w:lineRule="auto"/>
            </w:pPr>
            <w:r>
              <w:rPr>
                <w:sz w:val="22"/>
              </w:rPr>
              <w:t>Residential</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Activity; space use</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Guo et al. (2022)</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Space use; activity</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Guo et al. (2024)</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Staying; activity</w:t>
            </w:r>
          </w:p>
        </w:tc>
        <w:tc>
          <w:tcPr>
            <w:tcW w:w="387" w:type="pct"/>
            <w:vAlign w:val="center"/>
          </w:tcPr>
          <w:p>
            <w:pPr>
              <w:spacing w:line="240" w:lineRule="auto"/>
            </w:pPr>
            <w:r>
              <w:rPr>
                <w:sz w:val="22"/>
              </w:rPr>
              <w:t>Both</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Han et al. (2024)</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Staying; social; activity; movement</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Herrmann-Lunecke et al. (2021)</w:t>
            </w:r>
          </w:p>
        </w:tc>
        <w:tc>
          <w:tcPr>
            <w:tcW w:w="700" w:type="pct"/>
            <w:vAlign w:val="center"/>
          </w:tcPr>
          <w:p>
            <w:pPr>
              <w:spacing w:line="240" w:lineRule="auto"/>
            </w:pPr>
            <w:r>
              <w:rPr>
                <w:sz w:val="22"/>
              </w:rPr>
              <w:t>Chile</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Qualitative</w:t>
            </w:r>
          </w:p>
        </w:tc>
        <w:tc>
          <w:tcPr>
            <w:tcW w:w="1000" w:type="pct"/>
            <w:vAlign w:val="center"/>
          </w:tcPr>
          <w:p>
            <w:pPr>
              <w:spacing w:line="240" w:lineRule="auto"/>
            </w:pPr>
            <w:r>
              <w:rPr>
                <w:sz w:val="22"/>
              </w:rPr>
              <w:t>Movement; activity</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Hong &amp; Jeon (2020)</w:t>
            </w:r>
          </w:p>
        </w:tc>
        <w:tc>
          <w:tcPr>
            <w:tcW w:w="700" w:type="pct"/>
            <w:vAlign w:val="center"/>
          </w:tcPr>
          <w:p>
            <w:pPr>
              <w:spacing w:line="240" w:lineRule="auto"/>
            </w:pPr>
            <w:r>
              <w:rPr>
                <w:sz w:val="22"/>
              </w:rPr>
              <w:t>South Korea</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Space use</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Hosseini &amp; Kowkabi (2023)</w:t>
            </w:r>
          </w:p>
        </w:tc>
        <w:tc>
          <w:tcPr>
            <w:tcW w:w="700" w:type="pct"/>
            <w:vAlign w:val="center"/>
          </w:tcPr>
          <w:p>
            <w:pPr>
              <w:spacing w:line="240" w:lineRule="auto"/>
            </w:pPr>
            <w:r>
              <w:rPr>
                <w:sz w:val="22"/>
              </w:rPr>
              <w:t>Iran</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Space use; social</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Huang et al. (2023)</w:t>
            </w:r>
          </w:p>
        </w:tc>
        <w:tc>
          <w:tcPr>
            <w:tcW w:w="700" w:type="pct"/>
            <w:vAlign w:val="center"/>
          </w:tcPr>
          <w:p>
            <w:pPr>
              <w:spacing w:line="240" w:lineRule="auto"/>
            </w:pPr>
            <w:r>
              <w:rPr>
                <w:sz w:val="22"/>
              </w:rPr>
              <w:t>Finland</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Observation</w:t>
            </w:r>
          </w:p>
        </w:tc>
        <w:tc>
          <w:tcPr>
            <w:tcW w:w="1000" w:type="pct"/>
            <w:vAlign w:val="center"/>
          </w:tcPr>
          <w:p>
            <w:pPr>
              <w:spacing w:line="240" w:lineRule="auto"/>
            </w:pPr>
            <w:r>
              <w:rPr>
                <w:sz w:val="22"/>
              </w:rPr>
              <w:t>Movement; activity</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Hüg et al. (2026)</w:t>
            </w:r>
          </w:p>
        </w:tc>
        <w:tc>
          <w:tcPr>
            <w:tcW w:w="700" w:type="pct"/>
            <w:vAlign w:val="center"/>
          </w:tcPr>
          <w:p>
            <w:pPr>
              <w:spacing w:line="240" w:lineRule="auto"/>
            </w:pPr>
            <w:r>
              <w:rPr>
                <w:sz w:val="22"/>
              </w:rPr>
              <w:t>Argentina</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Observation</w:t>
            </w:r>
          </w:p>
        </w:tc>
        <w:tc>
          <w:tcPr>
            <w:tcW w:w="1000" w:type="pct"/>
            <w:vAlign w:val="center"/>
          </w:tcPr>
          <w:p>
            <w:pPr>
              <w:spacing w:line="240" w:lineRule="auto"/>
            </w:pPr>
            <w:r>
              <w:rPr>
                <w:sz w:val="22"/>
              </w:rPr>
              <w:t>Movement; social</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Jin et al. (2024)</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Space use; activity</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Jo &amp; Jeon (2020)</w:t>
            </w:r>
          </w:p>
        </w:tc>
        <w:tc>
          <w:tcPr>
            <w:tcW w:w="700" w:type="pct"/>
            <w:vAlign w:val="center"/>
          </w:tcPr>
          <w:p>
            <w:pPr>
              <w:spacing w:line="240" w:lineRule="auto"/>
            </w:pPr>
            <w:r>
              <w:rPr>
                <w:sz w:val="22"/>
              </w:rPr>
              <w:t>France</w:t>
            </w:r>
          </w:p>
        </w:tc>
        <w:tc>
          <w:tcPr>
            <w:tcW w:w="600" w:type="pct"/>
            <w:vAlign w:val="center"/>
          </w:tcPr>
          <w:p>
            <w:pPr>
              <w:spacing w:line="240" w:lineRule="auto"/>
            </w:pPr>
            <w:r>
              <w:rPr>
                <w:sz w:val="22"/>
              </w:rPr>
              <w:t>Laboratory (outdoor scene)</w:t>
            </w:r>
          </w:p>
        </w:tc>
        <w:tc>
          <w:tcPr>
            <w:tcW w:w="800" w:type="pct"/>
            <w:vAlign w:val="center"/>
          </w:tcPr>
          <w:p>
            <w:pPr>
              <w:spacing w:line="240" w:lineRule="auto"/>
            </w:pPr>
            <w:r>
              <w:rPr>
                <w:sz w:val="22"/>
              </w:rPr>
              <w:t>Laboratory experiment</w:t>
            </w:r>
          </w:p>
        </w:tc>
        <w:tc>
          <w:tcPr>
            <w:tcW w:w="1000" w:type="pct"/>
            <w:vAlign w:val="center"/>
          </w:tcPr>
          <w:p>
            <w:pPr>
              <w:spacing w:line="240" w:lineRule="auto"/>
            </w:pPr>
            <w:r>
              <w:rPr>
                <w:sz w:val="22"/>
              </w:rPr>
              <w:t>Social; staying; activity; space use</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Joo et al. (2024)</w:t>
            </w:r>
          </w:p>
        </w:tc>
        <w:tc>
          <w:tcPr>
            <w:tcW w:w="700" w:type="pct"/>
            <w:vAlign w:val="center"/>
          </w:tcPr>
          <w:p>
            <w:pPr>
              <w:spacing w:line="240" w:lineRule="auto"/>
            </w:pPr>
            <w:r>
              <w:rPr>
                <w:sz w:val="22"/>
              </w:rPr>
              <w:t>United States</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Observation</w:t>
            </w:r>
          </w:p>
        </w:tc>
        <w:tc>
          <w:tcPr>
            <w:tcW w:w="1000" w:type="pct"/>
            <w:vAlign w:val="center"/>
          </w:tcPr>
          <w:p>
            <w:pPr>
              <w:spacing w:line="240" w:lineRule="auto"/>
            </w:pPr>
            <w:r>
              <w:rPr>
                <w:sz w:val="22"/>
              </w:rPr>
              <w:t>Space use; activity</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Kim &amp; Shin (2021)</w:t>
            </w:r>
          </w:p>
        </w:tc>
        <w:tc>
          <w:tcPr>
            <w:tcW w:w="700" w:type="pct"/>
            <w:vAlign w:val="center"/>
          </w:tcPr>
          <w:p>
            <w:pPr>
              <w:spacing w:line="240" w:lineRule="auto"/>
            </w:pPr>
            <w:r>
              <w:rPr>
                <w:sz w:val="22"/>
              </w:rPr>
              <w:t>South Korea</w:t>
            </w:r>
          </w:p>
        </w:tc>
        <w:tc>
          <w:tcPr>
            <w:tcW w:w="600" w:type="pct"/>
            <w:vAlign w:val="center"/>
          </w:tcPr>
          <w:p>
            <w:pPr>
              <w:spacing w:line="240" w:lineRule="auto"/>
            </w:pPr>
            <w:r>
              <w:rPr>
                <w:sz w:val="22"/>
              </w:rPr>
              <w:t>Campus</w:t>
            </w:r>
          </w:p>
        </w:tc>
        <w:tc>
          <w:tcPr>
            <w:tcW w:w="800" w:type="pct"/>
            <w:vAlign w:val="center"/>
          </w:tcPr>
          <w:p>
            <w:pPr>
              <w:spacing w:line="240" w:lineRule="auto"/>
            </w:pPr>
            <w:r>
              <w:rPr>
                <w:sz w:val="22"/>
              </w:rPr>
              <w:t>Field experiment</w:t>
            </w:r>
          </w:p>
        </w:tc>
        <w:tc>
          <w:tcPr>
            <w:tcW w:w="1000" w:type="pct"/>
            <w:vAlign w:val="center"/>
          </w:tcPr>
          <w:p>
            <w:pPr>
              <w:spacing w:line="240" w:lineRule="auto"/>
            </w:pPr>
            <w:r>
              <w:rPr>
                <w:sz w:val="22"/>
              </w:rPr>
              <w:t>Activity; movement; social</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Krog et al. (2010)</w:t>
            </w:r>
          </w:p>
        </w:tc>
        <w:tc>
          <w:tcPr>
            <w:tcW w:w="700" w:type="pct"/>
            <w:vAlign w:val="center"/>
          </w:tcPr>
          <w:p>
            <w:pPr>
              <w:spacing w:line="240" w:lineRule="auto"/>
            </w:pPr>
            <w:r>
              <w:rPr>
                <w:sz w:val="22"/>
              </w:rPr>
              <w:t>Norway</w:t>
            </w:r>
          </w:p>
        </w:tc>
        <w:tc>
          <w:tcPr>
            <w:tcW w:w="600" w:type="pct"/>
            <w:vAlign w:val="center"/>
          </w:tcPr>
          <w:p>
            <w:pPr>
              <w:spacing w:line="240" w:lineRule="auto"/>
            </w:pPr>
            <w:r>
              <w:rPr>
                <w:sz w:val="22"/>
              </w:rPr>
              <w:t>Recreation area</w:t>
            </w:r>
          </w:p>
        </w:tc>
        <w:tc>
          <w:tcPr>
            <w:tcW w:w="800" w:type="pct"/>
            <w:vAlign w:val="center"/>
          </w:tcPr>
          <w:p>
            <w:pPr>
              <w:spacing w:line="240" w:lineRule="auto"/>
            </w:pPr>
            <w:r>
              <w:rPr>
                <w:sz w:val="22"/>
              </w:rPr>
              <w:t>Quasi-experiment</w:t>
            </w:r>
          </w:p>
        </w:tc>
        <w:tc>
          <w:tcPr>
            <w:tcW w:w="1000" w:type="pct"/>
            <w:vAlign w:val="center"/>
          </w:tcPr>
          <w:p>
            <w:pPr>
              <w:spacing w:line="240" w:lineRule="auto"/>
            </w:pPr>
            <w:r>
              <w:rPr>
                <w:sz w:val="22"/>
              </w:rPr>
              <w:t>Space use; activity</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Lai et al. (2024)</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Staying; movement; activity</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Lenzi et al. (2021)</w:t>
            </w:r>
          </w:p>
        </w:tc>
        <w:tc>
          <w:tcPr>
            <w:tcW w:w="700" w:type="pct"/>
            <w:vAlign w:val="center"/>
          </w:tcPr>
          <w:p>
            <w:pPr>
              <w:spacing w:line="240" w:lineRule="auto"/>
            </w:pPr>
            <w:r>
              <w:rPr>
                <w:sz w:val="22"/>
              </w:rPr>
              <w:t>Spain</w:t>
            </w:r>
          </w:p>
        </w:tc>
        <w:tc>
          <w:tcPr>
            <w:tcW w:w="600" w:type="pct"/>
            <w:vAlign w:val="center"/>
          </w:tcPr>
          <w:p>
            <w:pPr>
              <w:spacing w:line="240" w:lineRule="auto"/>
            </w:pPr>
            <w:r>
              <w:rPr>
                <w:sz w:val="22"/>
              </w:rPr>
              <w:t>Square</w:t>
            </w:r>
          </w:p>
        </w:tc>
        <w:tc>
          <w:tcPr>
            <w:tcW w:w="800" w:type="pct"/>
            <w:vAlign w:val="center"/>
          </w:tcPr>
          <w:p>
            <w:pPr>
              <w:spacing w:line="240" w:lineRule="auto"/>
            </w:pPr>
            <w:r>
              <w:rPr>
                <w:sz w:val="22"/>
              </w:rPr>
              <w:t>Quasi-experiment</w:t>
            </w:r>
          </w:p>
        </w:tc>
        <w:tc>
          <w:tcPr>
            <w:tcW w:w="1000" w:type="pct"/>
            <w:vAlign w:val="center"/>
          </w:tcPr>
          <w:p>
            <w:pPr>
              <w:spacing w:line="240" w:lineRule="auto"/>
            </w:pPr>
            <w:r>
              <w:rPr>
                <w:sz w:val="22"/>
              </w:rPr>
              <w:t>Movement; space use; activity; social</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Li et al. (2021)</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Space use; activity</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Lin et al. (2025)</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Campus</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Activity</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Lin et al. (2026)</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Residential</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Activity; space use</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Liu et al. (2019)</w:t>
            </w:r>
          </w:p>
        </w:tc>
        <w:tc>
          <w:tcPr>
            <w:tcW w:w="700" w:type="pct"/>
            <w:vAlign w:val="center"/>
          </w:tcPr>
          <w:p>
            <w:pPr>
              <w:spacing w:line="240" w:lineRule="auto"/>
            </w:pPr>
            <w:r>
              <w:rPr>
                <w:sz w:val="22"/>
              </w:rPr>
              <w:t>Germany</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Staying; activity; space use</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Lobo Soares &amp; Bento Coelho (2016)</w:t>
            </w:r>
          </w:p>
        </w:tc>
        <w:tc>
          <w:tcPr>
            <w:tcW w:w="700" w:type="pct"/>
            <w:vAlign w:val="center"/>
          </w:tcPr>
          <w:p>
            <w:pPr>
              <w:spacing w:line="240" w:lineRule="auto"/>
            </w:pPr>
            <w:r>
              <w:rPr>
                <w:sz w:val="22"/>
              </w:rPr>
              <w:t>Brazil; Portugal</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Activity; space use</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Lu et al. (2024)</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Laboratory (outdoor scene)</w:t>
            </w:r>
          </w:p>
        </w:tc>
        <w:tc>
          <w:tcPr>
            <w:tcW w:w="800" w:type="pct"/>
            <w:vAlign w:val="center"/>
          </w:tcPr>
          <w:p>
            <w:pPr>
              <w:spacing w:line="240" w:lineRule="auto"/>
            </w:pPr>
            <w:r>
              <w:rPr>
                <w:sz w:val="22"/>
              </w:rPr>
              <w:t>Laboratory experiment</w:t>
            </w:r>
          </w:p>
        </w:tc>
        <w:tc>
          <w:tcPr>
            <w:tcW w:w="1000" w:type="pct"/>
            <w:vAlign w:val="center"/>
          </w:tcPr>
          <w:p>
            <w:pPr>
              <w:spacing w:line="240" w:lineRule="auto"/>
            </w:pPr>
            <w:r>
              <w:rPr>
                <w:sz w:val="22"/>
              </w:rPr>
              <w:t>Activity; social</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Mansouri et al. (2025)</w:t>
            </w:r>
          </w:p>
        </w:tc>
        <w:tc>
          <w:tcPr>
            <w:tcW w:w="700" w:type="pct"/>
            <w:vAlign w:val="center"/>
          </w:tcPr>
          <w:p>
            <w:pPr>
              <w:spacing w:line="240" w:lineRule="auto"/>
            </w:pPr>
            <w:r>
              <w:rPr>
                <w:sz w:val="22"/>
              </w:rPr>
              <w:t>Algeria</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Movement; space use</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Marquart et al. (2022)</w:t>
            </w:r>
          </w:p>
        </w:tc>
        <w:tc>
          <w:tcPr>
            <w:tcW w:w="700" w:type="pct"/>
            <w:vAlign w:val="center"/>
          </w:tcPr>
          <w:p>
            <w:pPr>
              <w:spacing w:line="240" w:lineRule="auto"/>
            </w:pPr>
            <w:r>
              <w:rPr>
                <w:sz w:val="22"/>
              </w:rPr>
              <w:t>Germany</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Movement</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Mathews &amp; Canon (1975)</w:t>
            </w:r>
          </w:p>
        </w:tc>
        <w:tc>
          <w:tcPr>
            <w:tcW w:w="700" w:type="pct"/>
            <w:vAlign w:val="center"/>
          </w:tcPr>
          <w:p>
            <w:pPr>
              <w:spacing w:line="240" w:lineRule="auto"/>
            </w:pPr>
            <w:r>
              <w:rPr>
                <w:sz w:val="22"/>
              </w:rPr>
              <w:t>NR</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Field experiment</w:t>
            </w:r>
          </w:p>
        </w:tc>
        <w:tc>
          <w:tcPr>
            <w:tcW w:w="1000" w:type="pct"/>
            <w:vAlign w:val="center"/>
          </w:tcPr>
          <w:p>
            <w:pPr>
              <w:spacing w:line="240" w:lineRule="auto"/>
            </w:pPr>
            <w:r>
              <w:rPr>
                <w:sz w:val="22"/>
              </w:rPr>
              <w:t>Social</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Meng &amp; Kang (2015)</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Space use; social</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Meng &amp; Kang (2016)</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Movement; staying; activity</w:t>
            </w:r>
          </w:p>
        </w:tc>
        <w:tc>
          <w:tcPr>
            <w:tcW w:w="387" w:type="pct"/>
            <w:vAlign w:val="center"/>
          </w:tcPr>
          <w:p>
            <w:pPr>
              <w:spacing w:line="240" w:lineRule="auto"/>
            </w:pPr>
            <w:r>
              <w:rPr>
                <w:sz w:val="22"/>
              </w:rPr>
              <w:t>Both</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Meng et al. (2017)</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Space use</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Meng et al. (2018)</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Square</w:t>
            </w:r>
          </w:p>
        </w:tc>
        <w:tc>
          <w:tcPr>
            <w:tcW w:w="800" w:type="pct"/>
            <w:vAlign w:val="center"/>
          </w:tcPr>
          <w:p>
            <w:pPr>
              <w:spacing w:line="240" w:lineRule="auto"/>
            </w:pPr>
            <w:r>
              <w:rPr>
                <w:sz w:val="22"/>
              </w:rPr>
              <w:t>Field experiment</w:t>
            </w:r>
          </w:p>
        </w:tc>
        <w:tc>
          <w:tcPr>
            <w:tcW w:w="1000" w:type="pct"/>
            <w:vAlign w:val="center"/>
          </w:tcPr>
          <w:p>
            <w:pPr>
              <w:spacing w:line="240" w:lineRule="auto"/>
            </w:pPr>
            <w:r>
              <w:rPr>
                <w:sz w:val="22"/>
              </w:rPr>
              <w:t>Movement; staying; space use</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Merlino et al. (2023)</w:t>
            </w:r>
          </w:p>
        </w:tc>
        <w:tc>
          <w:tcPr>
            <w:tcW w:w="700" w:type="pct"/>
            <w:vAlign w:val="center"/>
          </w:tcPr>
          <w:p>
            <w:pPr>
              <w:spacing w:line="240" w:lineRule="auto"/>
            </w:pPr>
            <w:r>
              <w:rPr>
                <w:sz w:val="22"/>
              </w:rPr>
              <w:t>NR</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Qualitative</w:t>
            </w:r>
          </w:p>
        </w:tc>
        <w:tc>
          <w:tcPr>
            <w:tcW w:w="1000" w:type="pct"/>
            <w:vAlign w:val="center"/>
          </w:tcPr>
          <w:p>
            <w:pPr>
              <w:spacing w:line="240" w:lineRule="auto"/>
            </w:pPr>
            <w:r>
              <w:rPr>
                <w:sz w:val="22"/>
              </w:rPr>
              <w:t>Movement; social</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Montes González et al. (2023)</w:t>
            </w:r>
          </w:p>
        </w:tc>
        <w:tc>
          <w:tcPr>
            <w:tcW w:w="700" w:type="pct"/>
            <w:vAlign w:val="center"/>
          </w:tcPr>
          <w:p>
            <w:pPr>
              <w:spacing w:line="240" w:lineRule="auto"/>
            </w:pPr>
            <w:r>
              <w:rPr>
                <w:sz w:val="22"/>
              </w:rPr>
              <w:t>Spain</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Social</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Morillas et al. (2024)</w:t>
            </w:r>
          </w:p>
        </w:tc>
        <w:tc>
          <w:tcPr>
            <w:tcW w:w="700" w:type="pct"/>
            <w:vAlign w:val="center"/>
          </w:tcPr>
          <w:p>
            <w:pPr>
              <w:spacing w:line="240" w:lineRule="auto"/>
            </w:pPr>
            <w:r>
              <w:rPr>
                <w:sz w:val="22"/>
              </w:rPr>
              <w:t>Spain</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Observation</w:t>
            </w:r>
          </w:p>
        </w:tc>
        <w:tc>
          <w:tcPr>
            <w:tcW w:w="1000" w:type="pct"/>
            <w:vAlign w:val="center"/>
          </w:tcPr>
          <w:p>
            <w:pPr>
              <w:spacing w:line="240" w:lineRule="auto"/>
            </w:pPr>
            <w:r>
              <w:rPr>
                <w:sz w:val="22"/>
              </w:rPr>
              <w:t>Social</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Moser (1988)</w:t>
            </w:r>
          </w:p>
        </w:tc>
        <w:tc>
          <w:tcPr>
            <w:tcW w:w="700" w:type="pct"/>
            <w:vAlign w:val="center"/>
          </w:tcPr>
          <w:p>
            <w:pPr>
              <w:spacing w:line="240" w:lineRule="auto"/>
            </w:pPr>
            <w:r>
              <w:rPr>
                <w:sz w:val="22"/>
              </w:rPr>
              <w:t>France</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Field experiment</w:t>
            </w:r>
          </w:p>
        </w:tc>
        <w:tc>
          <w:tcPr>
            <w:tcW w:w="1000" w:type="pct"/>
            <w:vAlign w:val="center"/>
          </w:tcPr>
          <w:p>
            <w:pPr>
              <w:spacing w:line="240" w:lineRule="auto"/>
            </w:pPr>
            <w:r>
              <w:rPr>
                <w:sz w:val="22"/>
              </w:rPr>
              <w:t>Social</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Nguyen et al. (2025)</w:t>
            </w:r>
          </w:p>
        </w:tc>
        <w:tc>
          <w:tcPr>
            <w:tcW w:w="700" w:type="pct"/>
            <w:vAlign w:val="center"/>
          </w:tcPr>
          <w:p>
            <w:pPr>
              <w:spacing w:line="240" w:lineRule="auto"/>
            </w:pPr>
            <w:r>
              <w:rPr>
                <w:sz w:val="22"/>
              </w:rPr>
              <w:t>Japan; Vietnam</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Activity; social</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Ozturk et al. (2026)</w:t>
            </w:r>
          </w:p>
        </w:tc>
        <w:tc>
          <w:tcPr>
            <w:tcW w:w="700" w:type="pct"/>
            <w:vAlign w:val="center"/>
          </w:tcPr>
          <w:p>
            <w:pPr>
              <w:spacing w:line="240" w:lineRule="auto"/>
            </w:pPr>
            <w:r>
              <w:rPr>
                <w:sz w:val="22"/>
              </w:rPr>
              <w:t>Germany; Ireland; Italy; Switzerland; Türkiye; United Kingdom</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Qualitative</w:t>
            </w:r>
          </w:p>
        </w:tc>
        <w:tc>
          <w:tcPr>
            <w:tcW w:w="1000" w:type="pct"/>
            <w:vAlign w:val="center"/>
          </w:tcPr>
          <w:p>
            <w:pPr>
              <w:spacing w:line="240" w:lineRule="auto"/>
            </w:pPr>
            <w:r>
              <w:rPr>
                <w:sz w:val="22"/>
              </w:rPr>
              <w:t>Movement; social; space use; staying</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Pakravan (2017)</w:t>
            </w:r>
          </w:p>
        </w:tc>
        <w:tc>
          <w:tcPr>
            <w:tcW w:w="700" w:type="pct"/>
            <w:vAlign w:val="center"/>
          </w:tcPr>
          <w:p>
            <w:pPr>
              <w:spacing w:line="240" w:lineRule="auto"/>
            </w:pPr>
            <w:r>
              <w:rPr>
                <w:sz w:val="22"/>
              </w:rPr>
              <w:t>Iran</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Qualitative</w:t>
            </w:r>
          </w:p>
        </w:tc>
        <w:tc>
          <w:tcPr>
            <w:tcW w:w="1000" w:type="pct"/>
            <w:vAlign w:val="center"/>
          </w:tcPr>
          <w:p>
            <w:pPr>
              <w:spacing w:line="240" w:lineRule="auto"/>
            </w:pPr>
            <w:r>
              <w:rPr>
                <w:sz w:val="22"/>
              </w:rPr>
              <w:t>Space use; social; movement</w:t>
            </w:r>
          </w:p>
        </w:tc>
        <w:tc>
          <w:tcPr>
            <w:tcW w:w="387" w:type="pct"/>
            <w:vAlign w:val="center"/>
          </w:tcPr>
          <w:p>
            <w:pPr>
              <w:spacing w:line="240" w:lineRule="auto"/>
            </w:pPr>
            <w:r>
              <w:rPr>
                <w:sz w:val="22"/>
              </w:rPr>
              <w:t>Both</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Peng et al. (2026)</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Square</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Staying; social; activity</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Ramón-Turner et al. (2025)</w:t>
            </w:r>
          </w:p>
        </w:tc>
        <w:tc>
          <w:tcPr>
            <w:tcW w:w="700" w:type="pct"/>
            <w:vAlign w:val="center"/>
          </w:tcPr>
          <w:p>
            <w:pPr>
              <w:spacing w:line="240" w:lineRule="auto"/>
            </w:pPr>
            <w:r>
              <w:rPr>
                <w:sz w:val="22"/>
              </w:rPr>
              <w:t>Spain</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Space use</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Ren et al. (2026)</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Waterfront</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Staying; activity; space use</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Rey Gozalo et al. (2018)</w:t>
            </w:r>
          </w:p>
        </w:tc>
        <w:tc>
          <w:tcPr>
            <w:tcW w:w="700" w:type="pct"/>
            <w:vAlign w:val="center"/>
          </w:tcPr>
          <w:p>
            <w:pPr>
              <w:spacing w:line="240" w:lineRule="auto"/>
            </w:pPr>
            <w:r>
              <w:rPr>
                <w:sz w:val="22"/>
              </w:rPr>
              <w:t>Spain</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Activity; space use; social</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Rey Gozalo et al. (2019)</w:t>
            </w:r>
          </w:p>
        </w:tc>
        <w:tc>
          <w:tcPr>
            <w:tcW w:w="700" w:type="pct"/>
            <w:vAlign w:val="center"/>
          </w:tcPr>
          <w:p>
            <w:pPr>
              <w:spacing w:line="240" w:lineRule="auto"/>
            </w:pPr>
            <w:r>
              <w:rPr>
                <w:sz w:val="22"/>
              </w:rPr>
              <w:t>Spain</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Activity; space use; social</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Routhier et al. (2024)</w:t>
            </w:r>
          </w:p>
        </w:tc>
        <w:tc>
          <w:tcPr>
            <w:tcW w:w="700" w:type="pct"/>
            <w:vAlign w:val="center"/>
          </w:tcPr>
          <w:p>
            <w:pPr>
              <w:spacing w:line="240" w:lineRule="auto"/>
            </w:pPr>
            <w:r>
              <w:rPr>
                <w:sz w:val="22"/>
              </w:rPr>
              <w:t>Canada</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Field experiment</w:t>
            </w:r>
          </w:p>
        </w:tc>
        <w:tc>
          <w:tcPr>
            <w:tcW w:w="1000" w:type="pct"/>
            <w:vAlign w:val="center"/>
          </w:tcPr>
          <w:p>
            <w:pPr>
              <w:spacing w:line="240" w:lineRule="auto"/>
            </w:pPr>
            <w:r>
              <w:rPr>
                <w:sz w:val="22"/>
              </w:rPr>
              <w:t>Movement</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Schrapel et al. (2022)</w:t>
            </w:r>
          </w:p>
        </w:tc>
        <w:tc>
          <w:tcPr>
            <w:tcW w:w="700" w:type="pct"/>
            <w:vAlign w:val="center"/>
          </w:tcPr>
          <w:p>
            <w:pPr>
              <w:spacing w:line="240" w:lineRule="auto"/>
            </w:pPr>
            <w:r>
              <w:rPr>
                <w:sz w:val="22"/>
              </w:rPr>
              <w:t>Germany</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Field experiment</w:t>
            </w:r>
          </w:p>
        </w:tc>
        <w:tc>
          <w:tcPr>
            <w:tcW w:w="1000" w:type="pct"/>
            <w:vAlign w:val="center"/>
          </w:tcPr>
          <w:p>
            <w:pPr>
              <w:spacing w:line="240" w:lineRule="auto"/>
            </w:pPr>
            <w:r>
              <w:rPr>
                <w:sz w:val="22"/>
              </w:rPr>
              <w:t>Movement</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Soares et al. (2020)</w:t>
            </w:r>
          </w:p>
        </w:tc>
        <w:tc>
          <w:tcPr>
            <w:tcW w:w="700" w:type="pct"/>
            <w:vAlign w:val="center"/>
          </w:tcPr>
          <w:p>
            <w:pPr>
              <w:spacing w:line="240" w:lineRule="auto"/>
            </w:pPr>
            <w:r>
              <w:rPr>
                <w:sz w:val="22"/>
              </w:rPr>
              <w:t>Portugal</w:t>
            </w:r>
          </w:p>
        </w:tc>
        <w:tc>
          <w:tcPr>
            <w:tcW w:w="600" w:type="pct"/>
            <w:vAlign w:val="center"/>
          </w:tcPr>
          <w:p>
            <w:pPr>
              <w:spacing w:line="240" w:lineRule="auto"/>
            </w:pPr>
            <w:r>
              <w:rPr>
                <w:sz w:val="22"/>
              </w:rPr>
              <w:t>Laboratory (outdoor scene)</w:t>
            </w:r>
          </w:p>
        </w:tc>
        <w:tc>
          <w:tcPr>
            <w:tcW w:w="800" w:type="pct"/>
            <w:vAlign w:val="center"/>
          </w:tcPr>
          <w:p>
            <w:pPr>
              <w:spacing w:line="240" w:lineRule="auto"/>
            </w:pPr>
            <w:r>
              <w:rPr>
                <w:sz w:val="22"/>
              </w:rPr>
              <w:t>Laboratory experiment</w:t>
            </w:r>
          </w:p>
        </w:tc>
        <w:tc>
          <w:tcPr>
            <w:tcW w:w="1000" w:type="pct"/>
            <w:vAlign w:val="center"/>
          </w:tcPr>
          <w:p>
            <w:pPr>
              <w:spacing w:line="240" w:lineRule="auto"/>
            </w:pPr>
            <w:r>
              <w:rPr>
                <w:sz w:val="22"/>
              </w:rPr>
              <w:t>Movement</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Steele et al. (2019)</w:t>
            </w:r>
          </w:p>
        </w:tc>
        <w:tc>
          <w:tcPr>
            <w:tcW w:w="700" w:type="pct"/>
            <w:vAlign w:val="center"/>
          </w:tcPr>
          <w:p>
            <w:pPr>
              <w:spacing w:line="240" w:lineRule="auto"/>
            </w:pPr>
            <w:r>
              <w:rPr>
                <w:sz w:val="22"/>
              </w:rPr>
              <w:t>Canada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Staying; social; space use</w:t>
            </w:r>
          </w:p>
        </w:tc>
        <w:tc>
          <w:tcPr>
            <w:tcW w:w="387" w:type="pct"/>
            <w:vAlign w:val="center"/>
          </w:tcPr>
          <w:p>
            <w:pPr>
              <w:spacing w:line="240" w:lineRule="auto"/>
            </w:pPr>
            <w:r>
              <w:rPr>
                <w:sz w:val="22"/>
              </w:rPr>
              <w:t>Both</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Sun et al. (2026)</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Waterfront</w:t>
            </w:r>
          </w:p>
        </w:tc>
        <w:tc>
          <w:tcPr>
            <w:tcW w:w="800" w:type="pct"/>
            <w:vAlign w:val="center"/>
          </w:tcPr>
          <w:p>
            <w:pPr>
              <w:spacing w:line="240" w:lineRule="auto"/>
            </w:pPr>
            <w:r>
              <w:rPr>
                <w:sz w:val="22"/>
              </w:rPr>
              <w:t>Qualitative</w:t>
            </w:r>
          </w:p>
        </w:tc>
        <w:tc>
          <w:tcPr>
            <w:tcW w:w="1000" w:type="pct"/>
            <w:vAlign w:val="center"/>
          </w:tcPr>
          <w:p>
            <w:pPr>
              <w:spacing w:line="240" w:lineRule="auto"/>
            </w:pPr>
            <w:r>
              <w:rPr>
                <w:sz w:val="22"/>
              </w:rPr>
              <w:t>Movement; staying; space use; social</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Sun et al. (2026)</w:t>
            </w:r>
          </w:p>
        </w:tc>
        <w:tc>
          <w:tcPr>
            <w:tcW w:w="700" w:type="pct"/>
            <w:vAlign w:val="center"/>
          </w:tcPr>
          <w:p>
            <w:pPr>
              <w:spacing w:line="240" w:lineRule="auto"/>
            </w:pPr>
            <w:r>
              <w:rPr>
                <w:sz w:val="22"/>
              </w:rPr>
              <w:t>Netherlands</w:t>
            </w:r>
          </w:p>
        </w:tc>
        <w:tc>
          <w:tcPr>
            <w:tcW w:w="600" w:type="pct"/>
            <w:vAlign w:val="center"/>
          </w:tcPr>
          <w:p>
            <w:pPr>
              <w:spacing w:line="240" w:lineRule="auto"/>
            </w:pPr>
            <w:r>
              <w:rPr>
                <w:sz w:val="22"/>
              </w:rPr>
              <w:t>Laboratory (outdoor scene)</w:t>
            </w:r>
          </w:p>
        </w:tc>
        <w:tc>
          <w:tcPr>
            <w:tcW w:w="800" w:type="pct"/>
            <w:vAlign w:val="center"/>
          </w:tcPr>
          <w:p>
            <w:pPr>
              <w:spacing w:line="240" w:lineRule="auto"/>
            </w:pPr>
            <w:r>
              <w:rPr>
                <w:sz w:val="22"/>
              </w:rPr>
              <w:t>Laboratory experiment</w:t>
            </w:r>
          </w:p>
        </w:tc>
        <w:tc>
          <w:tcPr>
            <w:tcW w:w="1000" w:type="pct"/>
            <w:vAlign w:val="center"/>
          </w:tcPr>
          <w:p>
            <w:pPr>
              <w:spacing w:line="240" w:lineRule="auto"/>
            </w:pPr>
            <w:r>
              <w:rPr>
                <w:sz w:val="22"/>
              </w:rPr>
              <w:t>Movement</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Takada et al. (2022)</w:t>
            </w:r>
          </w:p>
        </w:tc>
        <w:tc>
          <w:tcPr>
            <w:tcW w:w="700" w:type="pct"/>
            <w:vAlign w:val="center"/>
          </w:tcPr>
          <w:p>
            <w:pPr>
              <w:spacing w:line="240" w:lineRule="auto"/>
            </w:pPr>
            <w:r>
              <w:rPr>
                <w:sz w:val="22"/>
              </w:rPr>
              <w:t>Taiwan</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Observation</w:t>
            </w:r>
          </w:p>
        </w:tc>
        <w:tc>
          <w:tcPr>
            <w:tcW w:w="1000" w:type="pct"/>
            <w:vAlign w:val="center"/>
          </w:tcPr>
          <w:p>
            <w:pPr>
              <w:spacing w:line="240" w:lineRule="auto"/>
            </w:pPr>
            <w:r>
              <w:rPr>
                <w:sz w:val="22"/>
              </w:rPr>
              <w:t>Social; movement</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Tarlao et al. (2021)</w:t>
            </w:r>
          </w:p>
        </w:tc>
        <w:tc>
          <w:tcPr>
            <w:tcW w:w="700" w:type="pct"/>
            <w:vAlign w:val="center"/>
          </w:tcPr>
          <w:p>
            <w:pPr>
              <w:spacing w:line="240" w:lineRule="auto"/>
            </w:pPr>
            <w:r>
              <w:rPr>
                <w:sz w:val="22"/>
              </w:rPr>
              <w:t>Canada</w:t>
            </w:r>
          </w:p>
        </w:tc>
        <w:tc>
          <w:tcPr>
            <w:tcW w:w="600" w:type="pct"/>
            <w:vAlign w:val="center"/>
          </w:tcPr>
          <w:p>
            <w:pPr>
              <w:spacing w:line="240" w:lineRule="auto"/>
            </w:pPr>
            <w:r>
              <w:rPr>
                <w:sz w:val="22"/>
              </w:rPr>
              <w:t>Mixed</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Social; space use</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Toutouh &amp; Alba (2022)</w:t>
            </w:r>
          </w:p>
        </w:tc>
        <w:tc>
          <w:tcPr>
            <w:tcW w:w="700" w:type="pct"/>
            <w:vAlign w:val="center"/>
          </w:tcPr>
          <w:p>
            <w:pPr>
              <w:spacing w:line="240" w:lineRule="auto"/>
            </w:pPr>
            <w:r>
              <w:rPr>
                <w:sz w:val="22"/>
              </w:rPr>
              <w:t>Spain</w:t>
            </w:r>
          </w:p>
        </w:tc>
        <w:tc>
          <w:tcPr>
            <w:tcW w:w="600" w:type="pct"/>
            <w:vAlign w:val="center"/>
          </w:tcPr>
          <w:p>
            <w:pPr>
              <w:spacing w:line="240" w:lineRule="auto"/>
            </w:pPr>
            <w:r>
              <w:rPr>
                <w:sz w:val="22"/>
              </w:rPr>
              <w:t>Campus</w:t>
            </w:r>
          </w:p>
        </w:tc>
        <w:tc>
          <w:tcPr>
            <w:tcW w:w="800" w:type="pct"/>
            <w:vAlign w:val="center"/>
          </w:tcPr>
          <w:p>
            <w:pPr>
              <w:spacing w:line="240" w:lineRule="auto"/>
            </w:pPr>
            <w:r>
              <w:rPr>
                <w:sz w:val="22"/>
              </w:rPr>
              <w:t>Observation</w:t>
            </w:r>
          </w:p>
        </w:tc>
        <w:tc>
          <w:tcPr>
            <w:tcW w:w="1000" w:type="pct"/>
            <w:vAlign w:val="center"/>
          </w:tcPr>
          <w:p>
            <w:pPr>
              <w:spacing w:line="240" w:lineRule="auto"/>
            </w:pPr>
            <w:r>
              <w:rPr>
                <w:sz w:val="22"/>
              </w:rPr>
              <w:t>Movement; space use</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Uebel et al. (2022)</w:t>
            </w:r>
          </w:p>
        </w:tc>
        <w:tc>
          <w:tcPr>
            <w:tcW w:w="700" w:type="pct"/>
            <w:vAlign w:val="center"/>
          </w:tcPr>
          <w:p>
            <w:pPr>
              <w:spacing w:line="240" w:lineRule="auto"/>
            </w:pPr>
            <w:r>
              <w:rPr>
                <w:sz w:val="22"/>
              </w:rPr>
              <w:t>Australia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Space use; activity; social</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Wall et al. (2004)</w:t>
            </w:r>
          </w:p>
        </w:tc>
        <w:tc>
          <w:tcPr>
            <w:tcW w:w="700" w:type="pct"/>
            <w:vAlign w:val="center"/>
          </w:tcPr>
          <w:p>
            <w:pPr>
              <w:spacing w:line="240" w:lineRule="auto"/>
            </w:pPr>
            <w:r>
              <w:rPr>
                <w:sz w:val="22"/>
              </w:rPr>
              <w:t>United States</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Field experiment</w:t>
            </w:r>
          </w:p>
        </w:tc>
        <w:tc>
          <w:tcPr>
            <w:tcW w:w="1000" w:type="pct"/>
            <w:vAlign w:val="center"/>
          </w:tcPr>
          <w:p>
            <w:pPr>
              <w:spacing w:line="240" w:lineRule="auto"/>
            </w:pPr>
            <w:r>
              <w:rPr>
                <w:sz w:val="22"/>
              </w:rPr>
              <w:t>Movement</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Wang &amp; Xiao (2024)</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Staying; social; activity; space use</w:t>
            </w:r>
          </w:p>
        </w:tc>
        <w:tc>
          <w:tcPr>
            <w:tcW w:w="387" w:type="pct"/>
            <w:vAlign w:val="center"/>
          </w:tcPr>
          <w:p>
            <w:pPr>
              <w:spacing w:line="240" w:lineRule="auto"/>
            </w:pPr>
            <w:r>
              <w:rPr>
                <w:sz w:val="22"/>
              </w:rPr>
              <w:t>Both</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Wogan &amp; Kennedy (2024)</w:t>
            </w:r>
          </w:p>
        </w:tc>
        <w:tc>
          <w:tcPr>
            <w:tcW w:w="700" w:type="pct"/>
            <w:vAlign w:val="center"/>
          </w:tcPr>
          <w:p>
            <w:pPr>
              <w:spacing w:line="240" w:lineRule="auto"/>
            </w:pPr>
            <w:r>
              <w:rPr>
                <w:sz w:val="22"/>
              </w:rPr>
              <w:t>Ireland</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Movement; space use; activity</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Xiao &amp; Hilton (2019)</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Square</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Activity; social; space use</w:t>
            </w:r>
          </w:p>
        </w:tc>
        <w:tc>
          <w:tcPr>
            <w:tcW w:w="387" w:type="pct"/>
            <w:vAlign w:val="center"/>
          </w:tcPr>
          <w:p>
            <w:pPr>
              <w:spacing w:line="240" w:lineRule="auto"/>
            </w:pPr>
            <w:r>
              <w:rPr>
                <w:sz w:val="22"/>
              </w:rPr>
              <w:t>Both</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Xu et al. (2022)</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Activity; movement</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Yin et al. (2023)</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Space use; activity; staying</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Yu &amp; Kang (2010)</w:t>
            </w:r>
          </w:p>
        </w:tc>
        <w:tc>
          <w:tcPr>
            <w:tcW w:w="700" w:type="pct"/>
            <w:vAlign w:val="center"/>
          </w:tcPr>
          <w:p>
            <w:pPr>
              <w:spacing w:line="240" w:lineRule="auto"/>
            </w:pPr>
            <w:r>
              <w:rPr>
                <w:sz w:val="22"/>
              </w:rPr>
              <w:t>China; Germany; Greece; Italy; Switzerland; United Kingdom</w:t>
            </w:r>
          </w:p>
        </w:tc>
        <w:tc>
          <w:tcPr>
            <w:tcW w:w="600" w:type="pct"/>
            <w:vAlign w:val="center"/>
          </w:tcPr>
          <w:p>
            <w:pPr>
              <w:spacing w:line="240" w:lineRule="auto"/>
            </w:pPr>
            <w:r>
              <w:rPr>
                <w:sz w:val="22"/>
              </w:rPr>
              <w:t>Mixed</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Space use; activity</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Yu (2025)</w:t>
            </w:r>
          </w:p>
        </w:tc>
        <w:tc>
          <w:tcPr>
            <w:tcW w:w="700" w:type="pct"/>
            <w:vAlign w:val="center"/>
          </w:tcPr>
          <w:p>
            <w:pPr>
              <w:spacing w:line="240" w:lineRule="auto"/>
            </w:pPr>
            <w:r>
              <w:rPr>
                <w:sz w:val="22"/>
              </w:rPr>
              <w:t>NR</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Space use; activity</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Zhang et al. (2025)</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Observation</w:t>
            </w:r>
          </w:p>
        </w:tc>
        <w:tc>
          <w:tcPr>
            <w:tcW w:w="1000" w:type="pct"/>
            <w:vAlign w:val="center"/>
          </w:tcPr>
          <w:p>
            <w:pPr>
              <w:spacing w:line="240" w:lineRule="auto"/>
            </w:pPr>
            <w:r>
              <w:rPr>
                <w:sz w:val="22"/>
              </w:rPr>
              <w:t>Movement; activity</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Zhao et al. (2018)</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Social; space use</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Zhao et al. (2022)</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Observation</w:t>
            </w:r>
          </w:p>
        </w:tc>
        <w:tc>
          <w:tcPr>
            <w:tcW w:w="1000" w:type="pct"/>
            <w:vAlign w:val="center"/>
          </w:tcPr>
          <w:p>
            <w:pPr>
              <w:spacing w:line="240" w:lineRule="auto"/>
            </w:pPr>
            <w:r>
              <w:rPr>
                <w:sz w:val="22"/>
              </w:rPr>
              <w:t>Activity; space use</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Zhou et al. (2026)</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Staying; space use</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bl>
    <w:p>
      <w:pPr>
        <w:spacing w:before="160" w:after="80" w:line="240" w:lineRule="auto"/>
      </w:pPr>
      <w:r>
        <w:rPr>
          <w:i/>
          <w:sz w:val="22"/>
        </w:rPr>
        <w:t>Note.</w:t>
      </w:r>
      <w:r>
        <w:rPr>
          <w:sz w:val="22"/>
        </w:rPr>
        <w:t xml:space="preserve"> A study can contribute to more than one behavioural domain. Direction: forward = acoustic environment to behaviour; reverse = behaviour or activity to acoustic environment or soundscape; both = both directions examined. MMAT = Mixed Methods Appraisal Tool 2018 grade. NR = not reported.</w:t>
      </w:r>
    </w:p>
    <w:p>
      <w:pPr>
        <w:spacing w:after="120" w:line="240" w:lineRule="auto"/>
        <w:rPr>
          <w:lang w:eastAsia="ko-KR"/>
        </w:rPr>
      </w:pPr>
    </w:p>
    <w:sectPr>
      <w:pgSz w:w="16834" w:h="11909" w:orient="landscape"/>
      <w:pgMar w:top="1699"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바탕">
    <w:altName w:val="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A90A6E"/>
    <w:multiLevelType w:val="hybridMultilevel"/>
    <w:tmpl w:val="B61A76FC"/>
    <w:lvl w:ilvl="0" w:tplc="04090001">
      <w:start w:val="1"/>
      <w:numFmt w:val="bullet"/>
      <w:lvlText w:val=""/>
      <w:lvlJc w:val="left"/>
      <w:pPr>
        <w:ind w:left="1168" w:hanging="440"/>
      </w:pPr>
      <w:rPr>
        <w:rFonts w:ascii="Wingdings" w:hAnsi="Wingdings" w:hint="default"/>
      </w:rPr>
    </w:lvl>
    <w:lvl w:ilvl="1" w:tplc="04090003" w:tentative="1">
      <w:start w:val="1"/>
      <w:numFmt w:val="bullet"/>
      <w:lvlText w:val=""/>
      <w:lvlJc w:val="left"/>
      <w:pPr>
        <w:ind w:left="1608" w:hanging="440"/>
      </w:pPr>
      <w:rPr>
        <w:rFonts w:ascii="Wingdings" w:hAnsi="Wingdings" w:hint="default"/>
      </w:rPr>
    </w:lvl>
    <w:lvl w:ilvl="2" w:tplc="04090005" w:tentative="1">
      <w:start w:val="1"/>
      <w:numFmt w:val="bullet"/>
      <w:lvlText w:val=""/>
      <w:lvlJc w:val="left"/>
      <w:pPr>
        <w:ind w:left="2048" w:hanging="440"/>
      </w:pPr>
      <w:rPr>
        <w:rFonts w:ascii="Wingdings" w:hAnsi="Wingdings" w:hint="default"/>
      </w:rPr>
    </w:lvl>
    <w:lvl w:ilvl="3" w:tplc="04090001" w:tentative="1">
      <w:start w:val="1"/>
      <w:numFmt w:val="bullet"/>
      <w:lvlText w:val=""/>
      <w:lvlJc w:val="left"/>
      <w:pPr>
        <w:ind w:left="2488" w:hanging="440"/>
      </w:pPr>
      <w:rPr>
        <w:rFonts w:ascii="Wingdings" w:hAnsi="Wingdings" w:hint="default"/>
      </w:rPr>
    </w:lvl>
    <w:lvl w:ilvl="4" w:tplc="04090003" w:tentative="1">
      <w:start w:val="1"/>
      <w:numFmt w:val="bullet"/>
      <w:lvlText w:val=""/>
      <w:lvlJc w:val="left"/>
      <w:pPr>
        <w:ind w:left="2928" w:hanging="440"/>
      </w:pPr>
      <w:rPr>
        <w:rFonts w:ascii="Wingdings" w:hAnsi="Wingdings" w:hint="default"/>
      </w:rPr>
    </w:lvl>
    <w:lvl w:ilvl="5" w:tplc="04090005" w:tentative="1">
      <w:start w:val="1"/>
      <w:numFmt w:val="bullet"/>
      <w:lvlText w:val=""/>
      <w:lvlJc w:val="left"/>
      <w:pPr>
        <w:ind w:left="3368" w:hanging="440"/>
      </w:pPr>
      <w:rPr>
        <w:rFonts w:ascii="Wingdings" w:hAnsi="Wingdings" w:hint="default"/>
      </w:rPr>
    </w:lvl>
    <w:lvl w:ilvl="6" w:tplc="04090001" w:tentative="1">
      <w:start w:val="1"/>
      <w:numFmt w:val="bullet"/>
      <w:lvlText w:val=""/>
      <w:lvlJc w:val="left"/>
      <w:pPr>
        <w:ind w:left="3808" w:hanging="440"/>
      </w:pPr>
      <w:rPr>
        <w:rFonts w:ascii="Wingdings" w:hAnsi="Wingdings" w:hint="default"/>
      </w:rPr>
    </w:lvl>
    <w:lvl w:ilvl="7" w:tplc="04090003" w:tentative="1">
      <w:start w:val="1"/>
      <w:numFmt w:val="bullet"/>
      <w:lvlText w:val=""/>
      <w:lvlJc w:val="left"/>
      <w:pPr>
        <w:ind w:left="4248" w:hanging="440"/>
      </w:pPr>
      <w:rPr>
        <w:rFonts w:ascii="Wingdings" w:hAnsi="Wingdings" w:hint="default"/>
      </w:rPr>
    </w:lvl>
    <w:lvl w:ilvl="8" w:tplc="04090005" w:tentative="1">
      <w:start w:val="1"/>
      <w:numFmt w:val="bullet"/>
      <w:lvlText w:val=""/>
      <w:lvlJc w:val="left"/>
      <w:pPr>
        <w:ind w:left="4688" w:hanging="440"/>
      </w:pPr>
      <w:rPr>
        <w:rFonts w:ascii="Wingdings" w:hAnsi="Wingdings" w:hint="default"/>
      </w:rPr>
    </w:lvl>
  </w:abstractNum>
  <w:abstractNum w:abstractNumId="10" w15:restartNumberingAfterBreak="0">
    <w:nsid w:val="73402F1A"/>
    <w:multiLevelType w:val="hybridMultilevel"/>
    <w:tmpl w:val="1FB6EB3C"/>
    <w:lvl w:ilvl="0" w:tplc="F7C6F816">
      <w:start w:val="1"/>
      <w:numFmt w:val="bullet"/>
      <w:lvlText w:val=""/>
      <w:lvlJc w:val="left"/>
      <w:pPr>
        <w:ind w:left="728" w:hanging="440"/>
      </w:pPr>
      <w:rPr>
        <w:rFonts w:ascii="Wingdings" w:hAnsi="Wingdings" w:hint="default"/>
      </w:rPr>
    </w:lvl>
    <w:lvl w:ilvl="1" w:tplc="FFFFFFFF" w:tentative="1">
      <w:start w:val="1"/>
      <w:numFmt w:val="bullet"/>
      <w:lvlText w:val=""/>
      <w:lvlJc w:val="left"/>
      <w:pPr>
        <w:ind w:left="1168" w:hanging="440"/>
      </w:pPr>
      <w:rPr>
        <w:rFonts w:ascii="Wingdings" w:hAnsi="Wingdings" w:hint="default"/>
      </w:rPr>
    </w:lvl>
    <w:lvl w:ilvl="2" w:tplc="FFFFFFFF" w:tentative="1">
      <w:start w:val="1"/>
      <w:numFmt w:val="bullet"/>
      <w:lvlText w:val=""/>
      <w:lvlJc w:val="left"/>
      <w:pPr>
        <w:ind w:left="1608" w:hanging="440"/>
      </w:pPr>
      <w:rPr>
        <w:rFonts w:ascii="Wingdings" w:hAnsi="Wingdings" w:hint="default"/>
      </w:rPr>
    </w:lvl>
    <w:lvl w:ilvl="3" w:tplc="FFFFFFFF" w:tentative="1">
      <w:start w:val="1"/>
      <w:numFmt w:val="bullet"/>
      <w:lvlText w:val=""/>
      <w:lvlJc w:val="left"/>
      <w:pPr>
        <w:ind w:left="2048" w:hanging="440"/>
      </w:pPr>
      <w:rPr>
        <w:rFonts w:ascii="Wingdings" w:hAnsi="Wingdings" w:hint="default"/>
      </w:rPr>
    </w:lvl>
    <w:lvl w:ilvl="4" w:tplc="FFFFFFFF" w:tentative="1">
      <w:start w:val="1"/>
      <w:numFmt w:val="bullet"/>
      <w:lvlText w:val=""/>
      <w:lvlJc w:val="left"/>
      <w:pPr>
        <w:ind w:left="2488" w:hanging="440"/>
      </w:pPr>
      <w:rPr>
        <w:rFonts w:ascii="Wingdings" w:hAnsi="Wingdings" w:hint="default"/>
      </w:rPr>
    </w:lvl>
    <w:lvl w:ilvl="5" w:tplc="FFFFFFFF" w:tentative="1">
      <w:start w:val="1"/>
      <w:numFmt w:val="bullet"/>
      <w:lvlText w:val=""/>
      <w:lvlJc w:val="left"/>
      <w:pPr>
        <w:ind w:left="2928" w:hanging="440"/>
      </w:pPr>
      <w:rPr>
        <w:rFonts w:ascii="Wingdings" w:hAnsi="Wingdings" w:hint="default"/>
      </w:rPr>
    </w:lvl>
    <w:lvl w:ilvl="6" w:tplc="FFFFFFFF" w:tentative="1">
      <w:start w:val="1"/>
      <w:numFmt w:val="bullet"/>
      <w:lvlText w:val=""/>
      <w:lvlJc w:val="left"/>
      <w:pPr>
        <w:ind w:left="3368" w:hanging="440"/>
      </w:pPr>
      <w:rPr>
        <w:rFonts w:ascii="Wingdings" w:hAnsi="Wingdings" w:hint="default"/>
      </w:rPr>
    </w:lvl>
    <w:lvl w:ilvl="7" w:tplc="FFFFFFFF" w:tentative="1">
      <w:start w:val="1"/>
      <w:numFmt w:val="bullet"/>
      <w:lvlText w:val=""/>
      <w:lvlJc w:val="left"/>
      <w:pPr>
        <w:ind w:left="3808" w:hanging="440"/>
      </w:pPr>
      <w:rPr>
        <w:rFonts w:ascii="Wingdings" w:hAnsi="Wingdings" w:hint="default"/>
      </w:rPr>
    </w:lvl>
    <w:lvl w:ilvl="8" w:tplc="FFFFFFFF" w:tentative="1">
      <w:start w:val="1"/>
      <w:numFmt w:val="bullet"/>
      <w:lvlText w:val=""/>
      <w:lvlJc w:val="left"/>
      <w:pPr>
        <w:ind w:left="4248" w:hanging="440"/>
      </w:pPr>
      <w:rPr>
        <w:rFonts w:ascii="Wingdings" w:hAnsi="Wingdings" w:hint="default"/>
      </w:rPr>
    </w:lvl>
  </w:abstractNum>
  <w:num w:numId="1" w16cid:durableId="1614363603">
    <w:abstractNumId w:val="8"/>
  </w:num>
  <w:num w:numId="2" w16cid:durableId="549925851">
    <w:abstractNumId w:val="6"/>
  </w:num>
  <w:num w:numId="3" w16cid:durableId="1101951715">
    <w:abstractNumId w:val="5"/>
  </w:num>
  <w:num w:numId="4" w16cid:durableId="371610582">
    <w:abstractNumId w:val="4"/>
  </w:num>
  <w:num w:numId="5" w16cid:durableId="720980390">
    <w:abstractNumId w:val="7"/>
  </w:num>
  <w:num w:numId="6" w16cid:durableId="403072428">
    <w:abstractNumId w:val="3"/>
  </w:num>
  <w:num w:numId="7" w16cid:durableId="1401633250">
    <w:abstractNumId w:val="2"/>
  </w:num>
  <w:num w:numId="8" w16cid:durableId="986132666">
    <w:abstractNumId w:val="1"/>
  </w:num>
  <w:num w:numId="9" w16cid:durableId="768041702">
    <w:abstractNumId w:val="0"/>
  </w:num>
  <w:num w:numId="10" w16cid:durableId="465004600">
    <w:abstractNumId w:val="9"/>
  </w:num>
  <w:num w:numId="11" w16cid:durableId="11917244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6A7"/>
    <w:rsid w:val="000A361F"/>
    <w:rsid w:val="000C09B0"/>
    <w:rsid w:val="000E4AFA"/>
    <w:rsid w:val="0015074B"/>
    <w:rsid w:val="001709DB"/>
    <w:rsid w:val="001F7F78"/>
    <w:rsid w:val="002213AF"/>
    <w:rsid w:val="00270AA8"/>
    <w:rsid w:val="0029639D"/>
    <w:rsid w:val="002A67CD"/>
    <w:rsid w:val="002C248C"/>
    <w:rsid w:val="002D7A64"/>
    <w:rsid w:val="00326F90"/>
    <w:rsid w:val="00364E2C"/>
    <w:rsid w:val="003B1565"/>
    <w:rsid w:val="00465C39"/>
    <w:rsid w:val="00484A67"/>
    <w:rsid w:val="005160CB"/>
    <w:rsid w:val="00527C9F"/>
    <w:rsid w:val="00570F64"/>
    <w:rsid w:val="0062474E"/>
    <w:rsid w:val="006C5A6C"/>
    <w:rsid w:val="006D25D7"/>
    <w:rsid w:val="006D43F6"/>
    <w:rsid w:val="00766642"/>
    <w:rsid w:val="007B6691"/>
    <w:rsid w:val="00A40075"/>
    <w:rsid w:val="00AA1D8D"/>
    <w:rsid w:val="00B4406D"/>
    <w:rsid w:val="00B47730"/>
    <w:rsid w:val="00B54CB9"/>
    <w:rsid w:val="00B87F7A"/>
    <w:rsid w:val="00C3055A"/>
    <w:rsid w:val="00C95DD5"/>
    <w:rsid w:val="00CA1AA4"/>
    <w:rsid w:val="00CB0664"/>
    <w:rsid w:val="00DA5885"/>
    <w:rsid w:val="00DF77E7"/>
    <w:rsid w:val="00E640D4"/>
    <w:rsid w:val="00F635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255157"/>
  <w14:defaultImageDpi w14:val="300"/>
  <w15:docId w15:val="{AC75E740-F96D-47E6-8D22-4061D58BF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80" w:lineRule="auto"/>
    </w:pPr>
    <w:rPr>
      <w:rFonts w:ascii="Times New Roman" w:eastAsia="바탕" w:hAnsi="Times New Roman" w:cs="Times New Roman"/>
      <w:sz w:val="24"/>
    </w:rPr>
  </w:style>
  <w:style w:type="paragraph" w:styleId="1">
    <w:name w:val="heading 1"/>
    <w:basedOn w:val="a1"/>
    <w:next w:val="a1"/>
    <w:link w:val="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annotation reference"/>
    <w:basedOn w:val="a2"/>
    <w:uiPriority w:val="99"/>
    <w:semiHidden/>
    <w:unhideWhenUsed/>
    <w:rsid w:val="00B54CB9"/>
    <w:rPr>
      <w:sz w:val="18"/>
      <w:szCs w:val="18"/>
    </w:rPr>
  </w:style>
  <w:style w:type="paragraph" w:styleId="aff2">
    <w:name w:val="annotation text"/>
    <w:basedOn w:val="a1"/>
    <w:link w:val="Char7"/>
    <w:uiPriority w:val="99"/>
    <w:unhideWhenUsed/>
    <w:rsid w:val="00B54CB9"/>
  </w:style>
  <w:style w:type="character" w:customStyle="1" w:styleId="Char7">
    <w:name w:val="메모 텍스트 Char"/>
    <w:basedOn w:val="a2"/>
    <w:link w:val="aff2"/>
    <w:uiPriority w:val="99"/>
    <w:rsid w:val="00B54CB9"/>
    <w:rPr>
      <w:rFonts w:ascii="Times New Roman" w:eastAsia="바탕" w:hAnsi="Times New Roman" w:cs="Times New Roman"/>
      <w:sz w:val="24"/>
    </w:rPr>
  </w:style>
  <w:style w:type="paragraph" w:styleId="aff3">
    <w:name w:val="annotation subject"/>
    <w:basedOn w:val="aff2"/>
    <w:next w:val="aff2"/>
    <w:link w:val="Char8"/>
    <w:uiPriority w:val="99"/>
    <w:semiHidden/>
    <w:unhideWhenUsed/>
    <w:rsid w:val="00B54CB9"/>
    <w:rPr>
      <w:b/>
      <w:bCs/>
    </w:rPr>
  </w:style>
  <w:style w:type="character" w:customStyle="1" w:styleId="Char8">
    <w:name w:val="메모 주제 Char"/>
    <w:basedOn w:val="Char7"/>
    <w:link w:val="aff3"/>
    <w:uiPriority w:val="99"/>
    <w:semiHidden/>
    <w:rsid w:val="00B54CB9"/>
    <w:rPr>
      <w:rFonts w:ascii="Times New Roman" w:eastAsia="바탕" w:hAnsi="Times New Roman" w:cs="Times New Roman"/>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15" Type="http://schemas.openxmlformats.org/officeDocument/2006/relationships/theme" Target="theme/theme1.xml"/><Relationship Id="rId4" Type="http://schemas.openxmlformats.org/officeDocument/2006/relationships/settings" Target="settings.xml"/><Relationship Id="rId14" Type="http://schemas.openxmlformats.org/officeDocument/2006/relationships/fontTable" Target="fontTable.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9.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55</Pages>
  <Words>9759</Words>
  <Characters>55629</Characters>
  <Application>Microsoft Office Word</Application>
  <DocSecurity>0</DocSecurity>
  <Lines>463</Lines>
  <Paragraphs>130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65258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조현빈</cp:lastModifiedBy>
  <cp:revision>23</cp:revision>
  <dcterms:created xsi:type="dcterms:W3CDTF">2013-12-23T23:15:00Z</dcterms:created>
  <dcterms:modified xsi:type="dcterms:W3CDTF">2026-09-17T12:49:00Z</dcterms:modified>
  <cp:category/>
</cp:coreProperties>
</file>