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proofErr w:type="spellStart"/>
      <w:proofErr w:type="spellEnd"/>
      <w:proofErr w:type="spellStart"/>
      <w:proofErr w:type="spellEnd"/>
      <w:r>
        <w:rPr>
          <w:rFonts w:ascii="Times New Roman" w:hAnsi="Times New Roman" w:cs="Times New Roman" w:eastAsia="바탕"/>
          <w:b w:val="0"/>
          <w:i w:val="0"/>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at the same time, with sharp drops in nitrogen dioxide and carbon dioxide [30,31,32], evidence of how broadly confinement reshaped the urban environment.</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hAnsi="Times New Roman" w:cs="Times New Roman" w:eastAsia="바탕"/>
          <w:b w:val="0"/>
          <w:i w:val="0"/>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hAnsi="Times New Roman" w:cs="Times New Roman" w:eastAsia="바탕"/>
          <w:b w:val="0"/>
          <w:i w:val="0"/>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hAnsi="Times New Roman" w:cs="Times New Roman" w:eastAsia="바탕"/>
          <w:b w:val="0"/>
          <w:i w:val="0"/>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hint="eastAsia"/>
          <w:kern w:val="0"/>
          <w:sz w:val="24"/>
          <w:szCs w:val="22"/>
        </w:rPr>
      </w:pPr>
      <w:r>
        <w:rPr>
          <w:rFonts w:ascii="Times New Roman" w:hAnsi="Times New Roman" w:cs="Times New Roman" w:eastAsia="바탕"/>
          <w:b w:val="0"/>
          <w:i w:val="0"/>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 xml:space="preserve">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the daytime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(06-21 h) and the night-time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combines the 00-05 h and 22-23 h records of the same calendar day. We therefore use only within-sensor changes over time, and we check their reliability against the official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Mobility exposure is measured with Seoul's de-facto ('living') population: the number of people actually present in each dong at a given time, estimated from mobile-network signals rather than from residence records (Table 2). Aggregating the hourly stock to daily means (daytime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Plotting each sensor's change from its own post-lifting norm (Δ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produces an apparent paradox: daytime noise during the strictest restrictions comes out higher than in the normal period (+0.85 in the strictest phases versus -0.04 after lifting). The diagnosis is not a COVID effect but multi-year movement of absolute levels (Fig. 8a). Among the 842 sensors operating through all four years, the annual mean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 xml:space="preserve">We checked this decline against the calibrated official environmental-noise network (the national noise information system). Absolute levels disagree substantially: near official stations, S-DoT reads on average 11.7 dB below the standard daytime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Default="00084DA0" w:rsidP="00084DA0">
      <w:pPr>
        <w:spacing w:line="480" w:lineRule="auto"/>
        <w:rPr>
          <w:sz w:val="22"/>
          <w:szCs w:val="28"/>
        </w:rPr>
      </w:pPr>
    </w:p>
    <w:p w14:paraId="18811B65" w14:textId="5A8C7A9B" w:rsidR="00FA4E52" w:rsidRPr="00084DA0" w:rsidRDefault="00000000" w:rsidP="00E76E2A">
      <w:pPr>
        <w:spacing w:line="480" w:lineRule="auto"/>
        <w:rPr>
          <w:sz w:val="22"/>
          <w:szCs w:val="28"/>
        </w:rPr>
      </w:pPr>
      <w:r>
        <w:rPr>
          <w:rFonts w:ascii="Times New Roman"/>
          <w:sz w:val="24"/>
        </w:rPr>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Summary of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The magnitude in context</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4.3. Mechanisms behind the patterns</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 xml:space="preserve">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Methodological implications</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 and limitations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Whether these results generalise to Tokyo, Hong Kong, Singapore and other dense East Asian cities remains a hypothesis to be tested.</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some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 signal vanishes in long-run spatial cross-sections, and the multi-year absolute levels of the low-cost network are corrupted by drift. For policy, at least at the level of relative neighbourhood change, mobility-reducing urban policies (car-free streets, fifteen-minute cities) are unlikely on their own to lower urban noise by much, and noise targets will require source- and propagation-stage interventions alongside them.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hAnsi="Times New Roman" w:cs="Times New Roman" w:eastAsia="바탕"/>
          <w:b w:val="0"/>
          <w:i w:val="0"/>
          <w:sz w:val="24"/>
        </w:rPr>
        <w:t xml:space="preserve">All raw data are public: S-DoT noise (Seoul Open Data Plaza OA-15969), de-facto population (OA-14991), subway ridership (OA-12921), the distancing implementation history (data.go.kr 15106451), weather (Open-Meteo ERA5), administrative boundaries (vuski/admdongkor), the four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(OA-15473) and the calibrated environmental-noise networks (noiseinfo.or.kr). The subway data are distributed under KOGL Type 3 (attribution, no modification). Analysis code will be made available at [repository TBD].</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D082" w14:textId="77777777" w:rsidR="000C1A69" w:rsidRDefault="000C1A69">
      <w:r>
        <w:separator/>
      </w:r>
    </w:p>
  </w:endnote>
  <w:endnote w:type="continuationSeparator" w:id="0">
    <w:p w14:paraId="33702621" w14:textId="77777777" w:rsidR="000C1A69" w:rsidRDefault="000C1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DFE9" w14:textId="77777777" w:rsidR="000C1A69" w:rsidRDefault="000C1A69">
      <w:r>
        <w:separator/>
      </w:r>
    </w:p>
  </w:footnote>
  <w:footnote w:type="continuationSeparator" w:id="0">
    <w:p w14:paraId="2EF67F06" w14:textId="77777777" w:rsidR="000C1A69" w:rsidRDefault="000C1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51</Pages>
  <Words>7856</Words>
  <Characters>44782</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15</cp:revision>
  <cp:lastPrinted>2024-07-09T12:28:00Z</cp:lastPrinted>
  <dcterms:created xsi:type="dcterms:W3CDTF">2026-06-21T14:20:00Z</dcterms:created>
  <dcterms:modified xsi:type="dcterms:W3CDTF">2026-07-26T14:44:00Z</dcterms:modified>
</cp:coreProperties>
</file>