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사운드스케이프 연구는 사람들이 음환경을 </w:t>
      </w:r>
      <w:r>
        <w:rPr>
          <w:rFonts w:ascii="Times New Roman" w:hAnsi="Times New Roman" w:cs="Times New Roman" w:eastAsia="바탕"/>
          <w:b w:val="0"/>
          <w:i/>
          <w:sz w:val="24"/>
        </w:rPr>
        <w:t>어떻게 평가하는가</w:t>
      </w:r>
      <w:r>
        <w:rPr>
          <w:rFonts w:ascii="Times New Roman" w:hAnsi="Times New Roman" w:cs="Times New Roman" w:eastAsia="바탕"/>
          <w:b w:val="0"/>
          <w:i w:val="0"/>
          <w:sz w:val="24"/>
        </w:rPr>
        <w:t xml:space="preserve">를 정립해 왔으나, 그 안에서 </w:t>
      </w:r>
      <w:r>
        <w:rPr>
          <w:rFonts w:ascii="Times New Roman" w:hAnsi="Times New Roman" w:cs="Times New Roman" w:eastAsia="바탕"/>
          <w:b w:val="0"/>
          <w:i/>
          <w:sz w:val="24"/>
        </w:rPr>
        <w:t>무엇을 하는가</w:t>
      </w:r>
      <w:r>
        <w:rPr>
          <w:rFonts w:ascii="Times New Roman" w:hAnsi="Times New Roman" w:cs="Times New Roman" w:eastAsia="바탕"/>
          <w:b w:val="0"/>
          <w:i w:val="0"/>
          <w:sz w:val="24"/>
        </w:rPr>
        <w:t>는 종합된 적이 없다. 본 연구는 도시 옥외공간에서 음환경과 관찰 가능한 행태의 관계를 양방향으로 놓고 체계적으로 고찰·메타분석했다. 3개 데이터베이스를 검색하고(2026년 8월 2일), 등록한 대로 포함 문헌 전건의 인용 추적과 제4의 색인을 보조 경로로 병행했으며, 프로토콜은 스크리닝 착수 전에 등록했다(osf.io/7ew8q). 98편이 적격했다. 품질은 MMAT 2018로 평가하고, 효과는 Hartung–Knapp 보정을 적용한 REML 랜덤효과 모형으로 합성했다. 네 클러스터 모두 이론적으로 예측된 방향을 가리켰으나 평균 효과가 0을 배제한 것은 둘뿐이었다.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 +1.16)과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 +0.61). 예측구간은 네 클러스터 전부 0을 포함했고,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6이어서 보고편향 검정은 어느 클러스터에서도 불가능했다. 따라서 모든 합성 추정치는 상한으로 읽어야 한다. 사회적 상호작용 결과는 서로 다른 소음원을 쓴 두 현장실험이 13년 간격으로 같은 부호를 낸 데서 나왔다. 다만 자연음을 정온과 대비한 연구가 코퍼스에 한 편도 없으므로, 좋은 소리를 더하는 것과 나쁜 소리를 없애는 것은 분리되지 않는다. 가장 널리 인용되는 보행속도 효과는 전부 저품질 연구에 의존하며, 공간의 소리가 아니라 헤드폰을 조작한 것이 대부분이고, 대체로 한 연구 프로그램이 한 경로에서 얻은 것이다. 추출된 방향성 레코드 187건 중 40%가 역방향, 곧 활동이 사운드스케이프를 만드는 방향이었다. 공간이용·활동·사회적 행태에서는 두 방향이 대등하다. 행태 측정 세대는 교체되지 않고 누적된다. 열 개의 계획 레버를 근거 강도와 함께 도출했으나 high에 도달한 것은 하나도 없고, 가장 잘 지지되는 조치는 사람들이 상호작용하도록 의도된 곳에서 운영 소음을 통제하는 것이다.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Whyte(1980)는 뉴욕의 소규모 광장을 촬영해 사람들이 어디에 앉고 어디서 멈추는지를 기록했고, Gehl(2011/1971)은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정량화됐고(Miedema &amp; Oudshoorn, 2001), 소음이 수면 방해와 심혈관 질환 위험을 높인다는 것도 확립돼 있다(Basner et al., 2014).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Schafer(1994/1977)가 제안한 이 개념은 소음을 제거해야 할 물리량으로 보는 대신, 특정 맥락에서 사람이 지각하고 경험하는 음환경 전체를 다루자는 제안이다. ISO 12913-1(International Organization for Standardization, 2014)이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등(2010)은 주성분분석으로 사운드스케이프 평가가 쾌적성(pleasantness)과 사건성(eventfulness)이라는 두 축으로 요약된다는 것을 보였고, 이 두 축은 이후 ISO 12913 체계의 기술 언어가 됐다. Aletta 등(2016)은 이 평가를 예측하는 모형의 구성 요소를 정리했으며, Kang 등(2016)은 건조환경 사운드스케이프 연구가 답해야 할 열 가지 질문을 제시하면서 분야의 의제를 정돈했다. 최근에는 경관 요소와 사운드스케이프 지각의 연관을 메타분석으로 종합한 연구까지 나왔다(Zhang et al., 2025).</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등(2026)의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등(2025)은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등(2021)이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PRISMA 2020에 따라 보고한다.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394960" cy="544294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394960" cy="5442942"/>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 연구 간 편차의 크기는 τ²로, 전체 변동 중 연구 간 편차가 차지하는 비율은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w:t>
      </w:r>
      <w:r>
        <w:rPr>
          <w:rFonts w:ascii="Times New Roman" w:hAnsi="Times New Roman" w:cs="Times New Roman" w:eastAsia="바탕"/>
          <w:b w:val="0"/>
          <w:i w:val="0"/>
          <w:sz w:val="24"/>
        </w:rPr>
        <w:t>(Higgins–Thompson–Spiegelhalter)을 보고한다.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따라서 어느 클러스터에서도 검정을 수행하지 않았다. 소규모 연구 효과는 </w:t>
      </w:r>
      <w:r>
        <w:rPr>
          <w:rFonts w:ascii="Times New Roman" w:hAnsi="Times New Roman" w:cs="Times New Roman" w:eastAsia="바탕"/>
          <w:b/>
          <w:i w:val="0"/>
          <w:sz w:val="24"/>
        </w:rPr>
        <w:t>탐지할 수단이 없으므로 배제할 수도 없으며</w:t>
      </w:r>
      <w:r>
        <w:rPr>
          <w:rFonts w:ascii="Times New Roman" w:hAnsi="Times New Roman" w:cs="Times New Roman" w:eastAsia="바탕"/>
          <w:b w:val="0"/>
          <w:i w:val="0"/>
          <w:sz w:val="24"/>
        </w:rPr>
        <w:t>, 합성 추정치는 상한으로 읽어야 한다.</w:t>
      </w:r>
    </w:p>
    <w:p>
      <w:pPr>
        <w:spacing w:after="0" w:before="0"/>
        <w:ind w:firstLine="288"/>
      </w:pPr>
      <w:r>
        <w:rPr>
          <w:rFonts w:ascii="Times New Roman" w:hAnsi="Times New Roman" w:cs="Times New Roman" w:eastAsia="바탕"/>
          <w:b/>
          <w:i w:val="0"/>
          <w:sz w:val="24"/>
        </w:rPr>
        <w:t>하위그룹 분석은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분석을 수행했다.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Moser(1988)의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OpenAlex가 세 데이터베이스보다 훨씬 넓게 색인하기 때문이며, 따라서 </w:t>
      </w:r>
      <w:r>
        <w:rPr>
          <w:rFonts w:ascii="Times New Roman" w:hAnsi="Times New Roman" w:cs="Times New Roman" w:eastAsia="바탕"/>
          <w:b/>
          <w:i w:val="0"/>
          <w:sz w:val="24"/>
        </w:rPr>
        <w:t>WoS·Scopus·PubMed에 없다는 사실은 누락의 근거로 약하다.</w:t>
      </w:r>
      <w:r>
        <w:rPr>
          <w:rFonts w:ascii="Times New Roman" w:hAnsi="Times New Roman" w:cs="Times New Roman" w:eastAsia="바탕"/>
          <w:b w:val="0"/>
          <w:i w:val="0"/>
          <w:sz w:val="24"/>
        </w:rPr>
        <w:t xml:space="preserve"> 색인 범위가 넓다는 것은 관련 문헌을 더 많이 담는다는 뜻이기도 하지만, 걸러야 할 것도 그만큼 많이 담는다는 뜻이다.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가능성이 스크리닝 정확도를 결정했다.</w:t>
      </w:r>
      <w:r>
        <w:rPr>
          <w:rFonts w:ascii="Times New Roman" w:hAnsi="Times New Roman" w:cs="Times New Roman" w:eastAsia="바탕"/>
          <w:b w:val="0"/>
          <w:i w:val="0"/>
          <w:sz w:val="24"/>
        </w:rPr>
        <w:t xml:space="preserve"> 이 관찰은 두 방향으로 쓰인다. 하나는 인용추적처럼 초록 확보가 어려운 경로에서 제목만으로 판단하는 것이 사실상 무작위에 가깝다는 경고이고, 다른 하나는 미확보로 남은 제목-판단 레코드 22건이 코퍼스를 바꿨을 가능성이 낮다는 근거다.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사운드스케이프 평가가 문화적으로 조건화된다는 것은 이 분야의 기본 전제 중 하나이므로,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4572000" cy="4669930"/>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4572000" cy="466993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연구는 2010년대 중반 이후에만 나타난다.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394960" cy="4023461"/>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394960" cy="402346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120640" cy="5122898"/>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120640" cy="512289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Canon(1975)에서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Moser(1988)는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Kang(2023)을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등(2024)을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Moser(1988)를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Canon(1975)을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재현하리라 기대할 근거가 되지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6이므로 깔때기 그림도 Egger 검정도 불가능했고, 소규모 연구 효과는 탐지도 배제도 되지 않는다. </w:t>
      </w:r>
      <w:r>
        <w:rPr>
          <w:rFonts w:ascii="Times New Roman" w:hAnsi="Times New Roman" w:cs="Times New Roman" w:eastAsia="바탕"/>
          <w:b/>
          <w:i w:val="0"/>
          <w:sz w:val="24"/>
        </w:rPr>
        <w:t>모든 합성 추정치는 상한이다.</w:t>
      </w:r>
      <w:r>
        <w:rPr>
          <w:rFonts w:ascii="Times New Roman" w:hAnsi="Times New Roman" w:cs="Times New Roman" w:eastAsia="바탕"/>
          <w:b w:val="0"/>
          <w:i w:val="0"/>
          <w:sz w:val="24"/>
        </w:rPr>
        <w:t xml:space="preserve">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조작했고(Franěk 등, 2014), 하나는 소음 대 속도를 직접 검정하지 않았으며(Franěk &amp; Režný, 2021), 하나는 헤드폰으로 전달된 증강 발소리를 다뤘다(Schrapel 등, 2022). </w:t>
      </w:r>
      <w:r>
        <w:rPr>
          <w:rFonts w:ascii="Times New Roman" w:hAnsi="Times New Roman" w:cs="Times New Roman" w:eastAsia="바탕"/>
          <w:b/>
          <w:i w:val="0"/>
          <w:sz w:val="24"/>
        </w:rPr>
        <w:t>이 문헌에서 가장 자주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212080" cy="1989129"/>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212080" cy="1989129"/>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가장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대개 사운드스케이프 문헌의 주변부로 취급되지만 계획 실무의 관점에서는 오히려 더 직접적이다. 설계자가 실제로 배치하는 것은 소음원이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이기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212080" cy="1987340"/>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212080" cy="198734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 역량이 산출량보다 빠르게 자라고 있다</w:t>
      </w:r>
      <w:r>
        <w:rPr>
          <w:rFonts w:ascii="Times New Roman" w:hAnsi="Times New Roman" w:cs="Times New Roman" w:eastAsia="바탕"/>
          <w:b w:val="0"/>
          <w:i w:val="0"/>
          <w:sz w:val="24"/>
        </w:rPr>
        <w:t xml:space="preserve">는 것이다.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하나를 빼고 모두 채워져 있다(Fig. 7).</w:t>
      </w:r>
    </w:p>
    <w:p>
      <w:pPr>
        <w:spacing w:line="240" w:lineRule="auto" w:before="200" w:after="80"/>
        <w:jc w:val="center"/>
      </w:pPr>
      <w:r>
        <w:drawing>
          <wp:inline xmlns:a="http://schemas.openxmlformats.org/drawingml/2006/main" xmlns:pic="http://schemas.openxmlformats.org/drawingml/2006/picture">
            <wp:extent cx="5212080" cy="2414954"/>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212080" cy="241495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으로, 2편에서 나온 도메인 수준 레코드 4건뿐이다. 이것은 우연한 공백이 아니다. 항공기 소음은 환경소음 연구에서 가장 방대한 문헌을 가진 주제 중 하나이며 건강 영향과 짜증도에 관해서는 수백 편의 연구가 있다. 그런데 </w:t>
      </w:r>
      <w:r>
        <w:rPr>
          <w:rFonts w:ascii="Times New Roman" w:hAnsi="Times New Roman" w:cs="Times New Roman" w:eastAsia="바탕"/>
          <w:b/>
          <w:i w:val="0"/>
          <w:sz w:val="24"/>
        </w:rPr>
        <w:t>공항 주변 사람들이 옥외공간에서 무엇을 하는지는 거의 측정된 적이 없다.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4937760" cy="3855191"/>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4937760" cy="3855191"/>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the most frequently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요인들이 놓인다. 세팅 유형, 시각과 청각의 정합성, 체류 목적, 문화적 맥락이 그것이다.</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w:t>
      </w:r>
      <w:r>
        <w:rPr>
          <w:rFonts w:ascii="Times New Roman" w:hAnsi="Times New Roman" w:cs="Times New Roman" w:eastAsia="바탕"/>
          <w:b w:val="0"/>
          <w:i w:val="0"/>
          <w:sz w:val="24"/>
        </w:rPr>
        <w:t xml:space="preserve">다. 회피하기, 통과하기, 머무르기, 상호작용하기, 전유하기가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인용 횟수가 시사하는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나오고(Franěk 등, 2018, 2019),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관찰이다(Berkouk 등, 2020).</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등(2024)은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연구(Aletta 등, 2016)는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다. 증거는 절단값이 아니라 연속 기울기를 지지한다. 1 데시벨당 자기보고 발성 증대가 약 0.25점이다(Montes González 등, 2023).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지각 연구에서 빌려온 믿음이며, 지각이 개선된다는 것과 이용이 는다는 것은 다른 명제다.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보고하는데(Dzhambov 등, 2026; Huang 등, 2023),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남고 합성 추정치는 상한이다.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이 문헌의 인용 패턴이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가장 자주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본문에서 인용한 문헌 전건이다. 포함 연구는 저자와 연도로 인용했고, 배경 문헌은 코퍼스 밖 1차 출처다. 포함 98편의 전건 목록은 Supplementary S5에, 전문 단계에서 배제된 문헌과 그 사유는 S6에 있다. 배경 문헌은 모두 Crossref 에서 서지를 확인했다(2026년 8월 10일).</w:t>
      </w:r>
    </w:p>
    <w:p>
      <w:pPr>
        <w:spacing w:after="0" w:before="0"/>
        <w:ind w:firstLine="288"/>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after="0" w:before="0"/>
        <w:ind w:firstLine="288"/>
      </w:pPr>
      <w:r>
        <w:rPr>
          <w:rFonts w:ascii="Times New Roman" w:hAnsi="Times New Roman" w:cs="Times New Roman" w:eastAsia="바탕"/>
          <w:b w:val="0"/>
          <w:i w:val="0"/>
          <w:sz w:val="24"/>
        </w:rPr>
        <w:t xml:space="preserve">Aletta, F., Kang, J., &amp; Axelsson, Ö. (2016). Soundscape descriptors and a conceptual framework for developing predictive soundscape models.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149</w:t>
      </w:r>
      <w:r>
        <w:rPr>
          <w:rFonts w:ascii="Times New Roman" w:hAnsi="Times New Roman" w:cs="Times New Roman" w:eastAsia="바탕"/>
          <w:b w:val="0"/>
          <w:i w:val="0"/>
          <w:sz w:val="24"/>
        </w:rPr>
        <w:t>, 65-74. https://doi.org/10.1016/j.landurbplan.2016.02.001</w:t>
      </w:r>
    </w:p>
    <w:p>
      <w:pPr>
        <w:spacing w:after="0" w:before="0"/>
        <w:ind w:firstLine="288"/>
      </w:pPr>
      <w:r>
        <w:rPr>
          <w:rFonts w:ascii="Times New Roman" w:hAnsi="Times New Roman" w:cs="Times New Roman" w:eastAsia="바탕"/>
          <w:b w:val="0"/>
          <w:i w:val="0"/>
          <w:sz w:val="24"/>
        </w:rPr>
        <w:t xml:space="preserve">Axelsson, Ö., Nilsson, M. E., &amp; Berglund, B. (2010). A principal components model of soundscape perception. </w:t>
      </w:r>
      <w:r>
        <w:rPr>
          <w:rFonts w:ascii="Times New Roman" w:hAnsi="Times New Roman" w:cs="Times New Roman" w:eastAsia="바탕"/>
          <w:b w:val="0"/>
          <w:i/>
          <w:sz w:val="24"/>
        </w:rPr>
        <w:t>The Journal of the Acoustical Society of America</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128</w:t>
      </w:r>
      <w:r>
        <w:rPr>
          <w:rFonts w:ascii="Times New Roman" w:hAnsi="Times New Roman" w:cs="Times New Roman" w:eastAsia="바탕"/>
          <w:b w:val="0"/>
          <w:i w:val="0"/>
          <w:sz w:val="24"/>
        </w:rPr>
        <w:t>(5), 2836-2846. https://doi.org/10.1121/1.3493436</w:t>
      </w:r>
    </w:p>
    <w:p>
      <w:pPr>
        <w:spacing w:after="0" w:before="0"/>
        <w:ind w:firstLine="288"/>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after="0" w:before="0"/>
        <w:ind w:firstLine="288"/>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after="0" w:before="0"/>
        <w:ind w:firstLine="288"/>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after="0" w:before="0"/>
        <w:ind w:firstLine="288"/>
      </w:pPr>
      <w:r>
        <w:rPr>
          <w:rFonts w:ascii="Times New Roman" w:hAnsi="Times New Roman" w:cs="Times New Roman" w:eastAsia="바탕"/>
          <w:b w:val="0"/>
          <w:i w:val="0"/>
          <w:sz w:val="24"/>
        </w:rPr>
        <w:t xml:space="preserve">Basner, M., Babisch, W., Davis, A., Brink, M., Clark, C., Janssen, S., &amp; Stansfeld, S. (2014). Auditory and non-auditory effects of noise on health. </w:t>
      </w:r>
      <w:r>
        <w:rPr>
          <w:rFonts w:ascii="Times New Roman" w:hAnsi="Times New Roman" w:cs="Times New Roman" w:eastAsia="바탕"/>
          <w:b w:val="0"/>
          <w:i/>
          <w:sz w:val="24"/>
        </w:rPr>
        <w:t>The Lancet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383</w:t>
      </w:r>
      <w:r>
        <w:rPr>
          <w:rFonts w:ascii="Times New Roman" w:hAnsi="Times New Roman" w:cs="Times New Roman" w:eastAsia="바탕"/>
          <w:b w:val="0"/>
          <w:i w:val="0"/>
          <w:sz w:val="24"/>
        </w:rPr>
        <w:t>(9925), 1325-1332. https://doi.org/10.1016/s0140-6736(13)61613-x</w:t>
      </w:r>
    </w:p>
    <w:p>
      <w:pPr>
        <w:spacing w:after="0" w:before="0"/>
        <w:ind w:firstLine="288"/>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after="0" w:before="0"/>
        <w:ind w:firstLine="288"/>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after="0" w:before="0"/>
        <w:ind w:firstLine="288"/>
      </w:pPr>
      <w:r>
        <w:rPr>
          <w:rFonts w:ascii="Times New Roman" w:hAnsi="Times New Roman" w:cs="Times New Roman" w:eastAsia="바탕"/>
          <w:b w:val="0"/>
          <w:i w:val="0"/>
          <w:sz w:val="24"/>
        </w:rPr>
        <w:t xml:space="preserve">Buxton, R. T., Pearson, A. L., Allou, C., Fristrup, K., &amp; Wittemyer, G. (2021). A synthesis of health benefits of natural sounds and their distribution in national parks. </w:t>
      </w:r>
      <w:r>
        <w:rPr>
          <w:rFonts w:ascii="Times New Roman" w:hAnsi="Times New Roman" w:cs="Times New Roman" w:eastAsia="바탕"/>
          <w:b w:val="0"/>
          <w:i/>
          <w:sz w:val="24"/>
        </w:rPr>
        <w:t>Proceedings of the National Academy of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118</w:t>
      </w:r>
      <w:r>
        <w:rPr>
          <w:rFonts w:ascii="Times New Roman" w:hAnsi="Times New Roman" w:cs="Times New Roman" w:eastAsia="바탕"/>
          <w:b w:val="0"/>
          <w:i w:val="0"/>
          <w:sz w:val="24"/>
        </w:rPr>
        <w:t>(14). https://doi.org/10.1073/pnas.2013097118</w:t>
      </w:r>
    </w:p>
    <w:p>
      <w:pPr>
        <w:spacing w:after="0" w:before="0"/>
        <w:ind w:firstLine="288"/>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after="0" w:before="0"/>
        <w:ind w:firstLine="288"/>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after="0" w:before="0"/>
        <w:ind w:firstLine="288"/>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after="0" w:before="0"/>
        <w:ind w:firstLine="288"/>
      </w:pPr>
      <w:r>
        <w:rPr>
          <w:rFonts w:ascii="Times New Roman" w:hAnsi="Times New Roman" w:cs="Times New Roman" w:eastAsia="바탕"/>
          <w:b w:val="0"/>
          <w:i w:val="0"/>
          <w:sz w:val="24"/>
        </w:rPr>
        <w:t xml:space="preserve">Chinn, S. (2000). A simple method for converting an odds ratio to effect size for use in meta-analysis. </w:t>
      </w:r>
      <w:r>
        <w:rPr>
          <w:rFonts w:ascii="Times New Roman" w:hAnsi="Times New Roman" w:cs="Times New Roman" w:eastAsia="바탕"/>
          <w:b w:val="0"/>
          <w:i/>
          <w:sz w:val="24"/>
        </w:rPr>
        <w:t>Statistics in Medicine</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19</w:t>
      </w:r>
      <w:r>
        <w:rPr>
          <w:rFonts w:ascii="Times New Roman" w:hAnsi="Times New Roman" w:cs="Times New Roman" w:eastAsia="바탕"/>
          <w:b w:val="0"/>
          <w:i w:val="0"/>
          <w:sz w:val="24"/>
        </w:rPr>
        <w:t>(22), 3127-3131. https://doi.org/10.1002/1097-0258(20001130)19:22&lt;3127::aid-sim784&gt;3.0.co;2-m</w:t>
      </w:r>
    </w:p>
    <w:p>
      <w:pPr>
        <w:spacing w:after="0" w:before="0"/>
        <w:ind w:firstLine="288"/>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after="0" w:before="0"/>
        <w:ind w:firstLine="288"/>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after="0" w:before="0"/>
        <w:ind w:firstLine="288"/>
      </w:pPr>
      <w:r>
        <w:rPr>
          <w:rFonts w:ascii="Times New Roman" w:hAnsi="Times New Roman" w:cs="Times New Roman" w:eastAsia="바탕"/>
          <w:b w:val="0"/>
          <w:i w:val="0"/>
          <w:sz w:val="24"/>
        </w:rPr>
        <w:t xml:space="preserve">Franěk, M., Režný, L., Šefara, D., &amp; Cabal, J. (2018). Effect of Traffic Noise and Relaxations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after="0" w:before="0"/>
        <w:ind w:firstLine="288"/>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after="0" w:before="0"/>
        <w:ind w:firstLine="288"/>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https://doi.org/10.3389/fpsyg.2014.01361</w:t>
      </w:r>
    </w:p>
    <w:p>
      <w:pPr>
        <w:spacing w:after="0" w:before="0"/>
        <w:ind w:firstLine="288"/>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after="0" w:before="0"/>
        <w:ind w:firstLine="288"/>
      </w:pPr>
      <w:r>
        <w:rPr>
          <w:rFonts w:ascii="Times New Roman" w:hAnsi="Times New Roman" w:cs="Times New Roman" w:eastAsia="바탕"/>
          <w:b w:val="0"/>
          <w:i w:val="0"/>
          <w:sz w:val="24"/>
        </w:rPr>
        <w:t xml:space="preserve">Gehl, J. (2011). </w:t>
      </w:r>
      <w:r>
        <w:rPr>
          <w:rFonts w:ascii="Times New Roman" w:hAnsi="Times New Roman" w:cs="Times New Roman" w:eastAsia="바탕"/>
          <w:b w:val="0"/>
          <w:i/>
          <w:sz w:val="24"/>
        </w:rPr>
        <w:t>Life between buildings: Using public space</w:t>
      </w:r>
      <w:r>
        <w:rPr>
          <w:rFonts w:ascii="Times New Roman" w:hAnsi="Times New Roman" w:cs="Times New Roman" w:eastAsia="바탕"/>
          <w:b w:val="0"/>
          <w:i w:val="0"/>
          <w:sz w:val="24"/>
        </w:rPr>
        <w:t xml:space="preserve"> (J. Koch, Trans.). Island Press. (Original work published 1971)</w:t>
      </w:r>
    </w:p>
    <w:p>
      <w:pPr>
        <w:spacing w:after="0" w:before="0"/>
        <w:ind w:firstLine="288"/>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after="0" w:before="0"/>
        <w:ind w:firstLine="288"/>
      </w:pPr>
      <w:r>
        <w:rPr>
          <w:rFonts w:ascii="Times New Roman" w:hAnsi="Times New Roman" w:cs="Times New Roman" w:eastAsia="바탕"/>
          <w:b w:val="0"/>
          <w:i w:val="0"/>
          <w:sz w:val="24"/>
        </w:rPr>
        <w:t xml:space="preserve">Hartung, J., &amp; Knapp, G. (2001). On tests of the overall treatment effect in meta‐analysis with normally distributed responses. </w:t>
      </w:r>
      <w:r>
        <w:rPr>
          <w:rFonts w:ascii="Times New Roman" w:hAnsi="Times New Roman" w:cs="Times New Roman" w:eastAsia="바탕"/>
          <w:b w:val="0"/>
          <w:i/>
          <w:sz w:val="24"/>
        </w:rPr>
        <w:t>Statistics in Medicine</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20</w:t>
      </w:r>
      <w:r>
        <w:rPr>
          <w:rFonts w:ascii="Times New Roman" w:hAnsi="Times New Roman" w:cs="Times New Roman" w:eastAsia="바탕"/>
          <w:b w:val="0"/>
          <w:i w:val="0"/>
          <w:sz w:val="24"/>
        </w:rPr>
        <w:t>(12), 1771-1782. https://doi.org/10.1002/sim.791</w:t>
      </w:r>
    </w:p>
    <w:p>
      <w:pPr>
        <w:spacing w:after="0" w:before="0"/>
        <w:ind w:firstLine="288"/>
      </w:pPr>
      <w:r>
        <w:rPr>
          <w:rFonts w:ascii="Times New Roman" w:hAnsi="Times New Roman" w:cs="Times New Roman" w:eastAsia="바탕"/>
          <w:b w:val="0"/>
          <w:i w:val="0"/>
          <w:sz w:val="24"/>
        </w:rPr>
        <w:t xml:space="preserve">Hedges, L. V. (1981). Distribution Theory for Glass's Estimator of Effect size and Related Estimators. </w:t>
      </w:r>
      <w:r>
        <w:rPr>
          <w:rFonts w:ascii="Times New Roman" w:hAnsi="Times New Roman" w:cs="Times New Roman" w:eastAsia="바탕"/>
          <w:b w:val="0"/>
          <w:i/>
          <w:sz w:val="24"/>
        </w:rPr>
        <w:t>Journal of Educational Statistics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(2), 107-128. https://doi.org/10.3102/10769986006002107</w:t>
      </w:r>
    </w:p>
    <w:p>
      <w:pPr>
        <w:spacing w:after="0" w:before="0"/>
        <w:ind w:firstLine="288"/>
      </w:pPr>
      <w:r>
        <w:rPr>
          <w:rFonts w:ascii="Times New Roman" w:hAnsi="Times New Roman" w:cs="Times New Roman" w:eastAsia="바탕"/>
          <w:b w:val="0"/>
          <w:i w:val="0"/>
          <w:sz w:val="24"/>
        </w:rPr>
        <w:t xml:space="preserve">Higgins, J. P. T., Thompson, S. G., &amp; Spiegelhalter, D. J. (2009). A Re-Evaluation of Random-Effects Meta-Analysis. </w:t>
      </w:r>
      <w:r>
        <w:rPr>
          <w:rFonts w:ascii="Times New Roman" w:hAnsi="Times New Roman" w:cs="Times New Roman" w:eastAsia="바탕"/>
          <w:b w:val="0"/>
          <w:i/>
          <w:sz w:val="24"/>
        </w:rPr>
        <w:t>Journal of the Royal Statistical Society Series A: Statistics in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172</w:t>
      </w:r>
      <w:r>
        <w:rPr>
          <w:rFonts w:ascii="Times New Roman" w:hAnsi="Times New Roman" w:cs="Times New Roman" w:eastAsia="바탕"/>
          <w:b w:val="0"/>
          <w:i w:val="0"/>
          <w:sz w:val="24"/>
        </w:rPr>
        <w:t>(1), 137-159. https://doi.org/10.1111/j.1467-985x.2008.00552.x</w:t>
      </w:r>
    </w:p>
    <w:p>
      <w:pPr>
        <w:spacing w:after="0" w:before="0"/>
        <w:ind w:firstLine="288"/>
      </w:pPr>
      <w:r>
        <w:rPr>
          <w:rFonts w:ascii="Times New Roman" w:hAnsi="Times New Roman" w:cs="Times New Roman" w:eastAsia="바탕"/>
          <w:b w:val="0"/>
          <w:i w:val="0"/>
          <w:sz w:val="24"/>
        </w:rPr>
        <w:t xml:space="preserve">Hong, Q. N., Fàbregues, S., Bartlett, G., Boardman, F., Cargo, M., Dagenais, P., Gagnon, M. P., Griffiths, F., Nicolau, B., O’Cathain, A., Rousseau, M. C., Vedel, I., &amp; Pluye, P. (2018). The Mixed Methods Appraisal Tool (MMAT) version 2018 for information professionals and researchers. </w:t>
      </w:r>
      <w:r>
        <w:rPr>
          <w:rFonts w:ascii="Times New Roman" w:hAnsi="Times New Roman" w:cs="Times New Roman" w:eastAsia="바탕"/>
          <w:b w:val="0"/>
          <w:i/>
          <w:sz w:val="24"/>
        </w:rPr>
        <w:t>Education for Information</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34</w:t>
      </w:r>
      <w:r>
        <w:rPr>
          <w:rFonts w:ascii="Times New Roman" w:hAnsi="Times New Roman" w:cs="Times New Roman" w:eastAsia="바탕"/>
          <w:b w:val="0"/>
          <w:i w:val="0"/>
          <w:sz w:val="24"/>
        </w:rPr>
        <w:t>(4), 285-291. https://doi.org/10.3233/efi-180221</w:t>
      </w:r>
    </w:p>
    <w:p>
      <w:pPr>
        <w:spacing w:after="0" w:before="0"/>
        <w:ind w:firstLine="288"/>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after="0" w:before="0"/>
        <w:ind w:firstLine="288"/>
      </w:pPr>
      <w:r>
        <w:rPr>
          <w:rFonts w:ascii="Times New Roman" w:hAnsi="Times New Roman" w:cs="Times New Roman" w:eastAsia="바탕"/>
          <w:b w:val="0"/>
          <w:i w:val="0"/>
          <w:sz w:val="24"/>
        </w:rPr>
        <w:t xml:space="preserve">International Organization for Standardization. (2014). </w:t>
      </w:r>
      <w:r>
        <w:rPr>
          <w:rFonts w:ascii="Times New Roman" w:hAnsi="Times New Roman" w:cs="Times New Roman" w:eastAsia="바탕"/>
          <w:b w:val="0"/>
          <w:i/>
          <w:sz w:val="24"/>
        </w:rPr>
        <w:t>ISO 12913-1:2014 Acoustics — Soundscape — Part 1: Definition and conceptual framework</w:t>
      </w:r>
      <w:r>
        <w:rPr>
          <w:rFonts w:ascii="Times New Roman" w:hAnsi="Times New Roman" w:cs="Times New Roman" w:eastAsia="바탕"/>
          <w:b w:val="0"/>
          <w:i w:val="0"/>
          <w:sz w:val="24"/>
        </w:rPr>
        <w:t>. ISO.</w:t>
      </w:r>
    </w:p>
    <w:p>
      <w:pPr>
        <w:spacing w:after="0" w:before="0"/>
        <w:ind w:firstLine="288"/>
      </w:pPr>
      <w:r>
        <w:rPr>
          <w:rFonts w:ascii="Times New Roman" w:hAnsi="Times New Roman" w:cs="Times New Roman" w:eastAsia="바탕"/>
          <w:b w:val="0"/>
          <w:i w:val="0"/>
          <w:sz w:val="24"/>
        </w:rPr>
        <w:t xml:space="preserve">Kang, J., Aletta, F., Gjestland, T. T., Brown, L. A., Botteldooren, D., Schulte-Fortkamp, B., Lercher, P., van Kamp, I., Genuit, K., Fiebig, A., Bento Coelho, J. L., Maffei, L., &amp; Lavia, L. (2016). Ten questions on the soundscapes of the built environment.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108</w:t>
      </w:r>
      <w:r>
        <w:rPr>
          <w:rFonts w:ascii="Times New Roman" w:hAnsi="Times New Roman" w:cs="Times New Roman" w:eastAsia="바탕"/>
          <w:b w:val="0"/>
          <w:i w:val="0"/>
          <w:sz w:val="24"/>
        </w:rPr>
        <w:t>, 284-294. https://doi.org/10.1016/j.buildenv.2016.08.011</w:t>
      </w:r>
    </w:p>
    <w:p>
      <w:pPr>
        <w:spacing w:after="0" w:before="0"/>
        <w:ind w:firstLine="288"/>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after="0" w:before="0"/>
        <w:ind w:firstLine="288"/>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after="0" w:before="0"/>
        <w:ind w:firstLine="288"/>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after="0" w:before="0"/>
        <w:ind w:firstLine="288"/>
      </w:pPr>
      <w:r>
        <w:rPr>
          <w:rFonts w:ascii="Times New Roman" w:hAnsi="Times New Roman" w:cs="Times New Roman" w:eastAsia="바탕"/>
          <w:b w:val="0"/>
          <w:i w:val="0"/>
          <w:sz w:val="24"/>
        </w:rPr>
        <w:t xml:space="preserve">Miedema, H. M., &amp; Oudshoorn, C. G. (2001). Annoyance from transportation noise: relationships with exposure metrics DNL and DENL and their confidence intervals. </w:t>
      </w:r>
      <w:r>
        <w:rPr>
          <w:rFonts w:ascii="Times New Roman" w:hAnsi="Times New Roman" w:cs="Times New Roman" w:eastAsia="바탕"/>
          <w:b w:val="0"/>
          <w:i/>
          <w:sz w:val="24"/>
        </w:rPr>
        <w:t>Environmental Health Perspectives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109</w:t>
      </w:r>
      <w:r>
        <w:rPr>
          <w:rFonts w:ascii="Times New Roman" w:hAnsi="Times New Roman" w:cs="Times New Roman" w:eastAsia="바탕"/>
          <w:b w:val="0"/>
          <w:i w:val="0"/>
          <w:sz w:val="24"/>
        </w:rPr>
        <w:t>(4), 409-416. https://doi.org/10.1289/ehp.01109409</w:t>
      </w:r>
    </w:p>
    <w:p>
      <w:pPr>
        <w:spacing w:after="0" w:before="0"/>
        <w:ind w:firstLine="288"/>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after="0" w:before="0"/>
        <w:ind w:firstLine="288"/>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after="0" w:before="0"/>
        <w:ind w:firstLine="288"/>
      </w:pPr>
      <w:r>
        <w:rPr>
          <w:rFonts w:ascii="Times New Roman" w:hAnsi="Times New Roman" w:cs="Times New Roman" w:eastAsia="바탕"/>
          <w:b w:val="0"/>
          <w:i w:val="0"/>
          <w:sz w:val="24"/>
        </w:rPr>
        <w:t xml:space="preserve">Page, M. J., McKenzie, J. E., Bossuyt, P. M., Boutron, I., Hoffmann, T. C., Mulrow, C. D., Shamseer, L., Tetzlaff, J. M., Akl, E. A., Brennan, S. E., Chou, R., Glanville, J., Grimshaw, J. M., Hróbjartsson, A., Lalu, M. M., Li, T., Loder, E. W., Mayo-Wilson, E., McDonald, S., McGuinness, L. A., Stewart, L. A., Thomas, J., Tricco, A. C., Welch, V. A., Whiting, P., &amp; Moher, D. (2021). The PRISMA 2020 statement: an updated guideline for reporting systematic reviews. </w:t>
      </w:r>
      <w:r>
        <w:rPr>
          <w:rFonts w:ascii="Times New Roman" w:hAnsi="Times New Roman" w:cs="Times New Roman" w:eastAsia="바탕"/>
          <w:b w:val="0"/>
          <w:i/>
          <w:sz w:val="24"/>
        </w:rPr>
        <w:t>BMJ</w:t>
      </w:r>
      <w:r>
        <w:rPr>
          <w:rFonts w:ascii="Times New Roman" w:hAnsi="Times New Roman" w:cs="Times New Roman" w:eastAsia="바탕"/>
          <w:b w:val="0"/>
          <w:i w:val="0"/>
          <w:sz w:val="24"/>
        </w:rPr>
        <w:t>, n71. https://doi.org/10.1136/bmj.n71</w:t>
      </w:r>
    </w:p>
    <w:p>
      <w:pPr>
        <w:spacing w:after="0" w:before="0"/>
        <w:ind w:firstLine="288"/>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after="0" w:before="0"/>
        <w:ind w:firstLine="288"/>
      </w:pPr>
      <w:r>
        <w:rPr>
          <w:rFonts w:ascii="Times New Roman" w:hAnsi="Times New Roman" w:cs="Times New Roman" w:eastAsia="바탕"/>
          <w:b w:val="0"/>
          <w:i w:val="0"/>
          <w:sz w:val="24"/>
        </w:rPr>
        <w:t xml:space="preserve">Schafer, R. M. (1994). </w:t>
      </w:r>
      <w:r>
        <w:rPr>
          <w:rFonts w:ascii="Times New Roman" w:hAnsi="Times New Roman" w:cs="Times New Roman" w:eastAsia="바탕"/>
          <w:b w:val="0"/>
          <w:i/>
          <w:sz w:val="24"/>
        </w:rPr>
        <w:t>The soundscape: Our sonic environment and the tuning of the world</w:t>
      </w:r>
      <w:r>
        <w:rPr>
          <w:rFonts w:ascii="Times New Roman" w:hAnsi="Times New Roman" w:cs="Times New Roman" w:eastAsia="바탕"/>
          <w:b w:val="0"/>
          <w:i w:val="0"/>
          <w:sz w:val="24"/>
        </w:rPr>
        <w:t>. Destiny Books. (Original work published 1977)</w:t>
      </w:r>
    </w:p>
    <w:p>
      <w:pPr>
        <w:spacing w:after="0" w:before="0"/>
        <w:ind w:firstLine="288"/>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after="0" w:before="0"/>
        <w:ind w:firstLine="288"/>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after="0" w:before="0"/>
        <w:ind w:firstLine="288"/>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after="0" w:before="0"/>
        <w:ind w:firstLine="288"/>
      </w:pPr>
      <w:r>
        <w:rPr>
          <w:rFonts w:ascii="Times New Roman" w:hAnsi="Times New Roman" w:cs="Times New Roman" w:eastAsia="바탕"/>
          <w:b w:val="0"/>
          <w:i w:val="0"/>
          <w:sz w:val="24"/>
        </w:rPr>
        <w:t xml:space="preserve">Wang, Y., Wu, Y., Qin, T., Van de Weghe, N., &amp; Huang, H. (2026). Assessing the impact of urban soundscapes on physical activity: insights from a systematic review. </w:t>
      </w:r>
      <w:r>
        <w:rPr>
          <w:rFonts w:ascii="Times New Roman" w:hAnsi="Times New Roman" w:cs="Times New Roman" w:eastAsia="바탕"/>
          <w:b w:val="0"/>
          <w:i/>
          <w:sz w:val="24"/>
        </w:rPr>
        <w:t>Cities &amp; Health</w:t>
      </w:r>
      <w:r>
        <w:rPr>
          <w:rFonts w:ascii="Times New Roman" w:hAnsi="Times New Roman" w:cs="Times New Roman" w:eastAsia="바탕"/>
          <w:b w:val="0"/>
          <w:i w:val="0"/>
          <w:sz w:val="24"/>
        </w:rPr>
        <w:t>, 1-26. https://doi.org/10.1080/23748834.2026.2683259</w:t>
      </w:r>
    </w:p>
    <w:p>
      <w:pPr>
        <w:spacing w:after="0" w:before="0"/>
        <w:ind w:firstLine="288"/>
      </w:pPr>
      <w:r>
        <w:rPr>
          <w:rFonts w:ascii="Times New Roman" w:hAnsi="Times New Roman" w:cs="Times New Roman" w:eastAsia="바탕"/>
          <w:b w:val="0"/>
          <w:i w:val="0"/>
          <w:sz w:val="24"/>
        </w:rPr>
        <w:t xml:space="preserve">Whyte, W. H. (1980). </w:t>
      </w:r>
      <w:r>
        <w:rPr>
          <w:rFonts w:ascii="Times New Roman" w:hAnsi="Times New Roman" w:cs="Times New Roman" w:eastAsia="바탕"/>
          <w:b w:val="0"/>
          <w:i/>
          <w:sz w:val="24"/>
        </w:rPr>
        <w:t>The social life of small urban spaces</w:t>
      </w:r>
      <w:r>
        <w:rPr>
          <w:rFonts w:ascii="Times New Roman" w:hAnsi="Times New Roman" w:cs="Times New Roman" w:eastAsia="바탕"/>
          <w:b w:val="0"/>
          <w:i w:val="0"/>
          <w:sz w:val="24"/>
        </w:rPr>
        <w:t>. Conservation Foundation.</w:t>
      </w:r>
    </w:p>
    <w:p>
      <w:pPr>
        <w:spacing w:after="0" w:before="0"/>
        <w:ind w:firstLine="288"/>
      </w:pPr>
      <w:r>
        <w:rPr>
          <w:rFonts w:ascii="Times New Roman" w:hAnsi="Times New Roman" w:cs="Times New Roman" w:eastAsia="바탕"/>
          <w:b w:val="0"/>
          <w:i w:val="0"/>
          <w:sz w:val="24"/>
        </w:rPr>
        <w:t xml:space="preserve">Zhang, R., Ma, H., Wang, C., Zhang, Y., &amp; Kang, J. (2025). The associations between landscape elements and soundscape perception: A meta-analysis.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263</w:t>
      </w:r>
      <w:r>
        <w:rPr>
          <w:rFonts w:ascii="Times New Roman" w:hAnsi="Times New Roman" w:cs="Times New Roman" w:eastAsia="바탕"/>
          <w:b w:val="0"/>
          <w:i w:val="0"/>
          <w:sz w:val="24"/>
        </w:rPr>
        <w:t>, 105463. https://doi.org/10.1016/j.landurbplan.2025.105463</w:t>
      </w:r>
    </w:p>
    <w:p>
      <w:pPr>
        <w:spacing w:after="0" w:before="0"/>
        <w:ind w:firstLine="288"/>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