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spacing w:line="360" w:lineRule="auto" w:after="120" w:before="320"/>
        <w:jc w:val="left"/>
      </w:pPr>
      <w:r>
        <w:rPr>
          <w:rFonts w:ascii="Times New Roman" w:hAnsi="Times New Roman" w:cs="Times New Roman" w:eastAsia="바탕"/>
          <w:b/>
          <w:i w:val="0"/>
          <w:sz w:val="24"/>
        </w:rPr>
        <w:t>Author information</w:t>
      </w:r>
    </w:p>
    <w:p>
      <w:pPr>
        <w:spacing w:line="480" w:lineRule="auto"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line="480" w:lineRule="auto" w:after="80" w:before="0"/>
      </w:pPr>
      <w:r>
        <w:rPr>
          <w:rFonts w:ascii="Times New Roman" w:hAnsi="Times New Roman" w:cs="Times New Roman" w:eastAsia="바탕"/>
          <w:b w:val="0"/>
          <w:i w:val="0"/>
          <w:sz w:val="24"/>
        </w:rPr>
        <w:t>¹ [소속, 도시, 국가] · ² [소속, 도시, 국가]</w:t>
      </w:r>
    </w:p>
    <w:p>
      <w:pPr>
        <w:spacing w:line="480" w:lineRule="auto" w:after="80" w:before="0"/>
      </w:pPr>
      <w:r>
        <w:rPr>
          <w:rFonts w:ascii="Times New Roman" w:hAnsi="Times New Roman" w:cs="Times New Roman" w:eastAsia="바탕"/>
          <w:b w:val="0"/>
          <w:i w:val="0"/>
          <w:sz w:val="24"/>
        </w:rPr>
        <w:t>* 교신저자: [성명], [우편 주소], [이메일]</w:t>
      </w:r>
    </w:p>
    <w:p>
      <w:pPr>
        <w:spacing w:line="480" w:lineRule="auto"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line="480" w:lineRule="auto"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line="480" w:lineRule="auto"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line="480" w:lineRule="auto"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line="480" w:lineRule="auto"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line="480" w:lineRule="auto"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line="480" w:lineRule="auto"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line="480" w:lineRule="auto" w:after="80" w:before="0"/>
      </w:pPr>
      <w:r>
        <w:rPr>
          <w:rFonts w:ascii="Times New Roman" w:hAnsi="Times New Roman" w:cs="Times New Roman" w:eastAsia="바탕"/>
          <w:b w:val="0"/>
          <w:i w:val="0"/>
          <w:sz w:val="24"/>
        </w:rPr>
        <w:t>---</w:t>
      </w:r>
    </w:p>
    <w:p>
      <w:pPr>
        <w:spacing w:line="360" w:lineRule="auto" w:after="120" w:before="320"/>
        <w:jc w:val="left"/>
      </w:pPr>
      <w:r>
        <w:rPr>
          <w:rFonts w:ascii="Times New Roman" w:hAnsi="Times New Roman" w:cs="Times New Roman" w:eastAsia="바탕"/>
          <w:b/>
          <w:i w:val="0"/>
          <w:sz w:val="24"/>
        </w:rPr>
        <w:t>Abstract</w:t>
      </w:r>
    </w:p>
    <w:p>
      <w:pPr>
        <w:spacing w:line="480" w:lineRule="auto" w:after="0" w:before="0"/>
        <w:ind w:firstLine="288"/>
      </w:pPr>
      <w:r>
        <w:rPr>
          <w:rFonts w:ascii="Times New Roman" w:hAnsi="Times New Roman" w:cs="Times New Roman" w:eastAsia="바탕"/>
          <w:b w:val="0"/>
          <w:i w:val="0"/>
          <w:sz w:val="24"/>
        </w:rPr>
        <w:t xml:space="preserve">사운드스케이프 연구는 사람들이 음환경을 </w:t>
      </w:r>
      <w:r>
        <w:rPr>
          <w:rFonts w:ascii="Times New Roman" w:hAnsi="Times New Roman" w:cs="Times New Roman" w:eastAsia="바탕"/>
          <w:b w:val="0"/>
          <w:i/>
          <w:sz w:val="24"/>
        </w:rPr>
        <w:t>어떻게 평가하는가</w:t>
      </w:r>
      <w:r>
        <w:rPr>
          <w:rFonts w:ascii="Times New Roman" w:hAnsi="Times New Roman" w:cs="Times New Roman" w:eastAsia="바탕"/>
          <w:b w:val="0"/>
          <w:i w:val="0"/>
          <w:sz w:val="24"/>
        </w:rPr>
        <w:t xml:space="preserve">를 정립해 왔으나, 그 안에서 </w:t>
      </w:r>
      <w:r>
        <w:rPr>
          <w:rFonts w:ascii="Times New Roman" w:hAnsi="Times New Roman" w:cs="Times New Roman" w:eastAsia="바탕"/>
          <w:b w:val="0"/>
          <w:i/>
          <w:sz w:val="24"/>
        </w:rPr>
        <w:t>무엇을 하는가</w:t>
      </w:r>
      <w:r>
        <w:rPr>
          <w:rFonts w:ascii="Times New Roman" w:hAnsi="Times New Roman" w:cs="Times New Roman" w:eastAsia="바탕"/>
          <w:b w:val="0"/>
          <w:i w:val="0"/>
          <w:sz w:val="24"/>
        </w:rPr>
        <w:t>는 종합된 적이 없다. 본 연구는 도시 옥외공간에서 음환경과 관찰 가능한 행태의 관계를 양방향으로 놓고 체계적으로 고찰·메타분석했다. 3개 데이터베이스를 검색하고(2026년 8월 2일), 등록한 대로 포함 문헌 전건의 인용 추적과 제4의 색인을 보조 경로로 병행했으며, 프로토콜은 스크리닝 착수 전에 등록했다(osf.io/7ew8q). 98편이 적격했다. 품질은 MMAT 2018로 평가하고, 효과는 Hartung–Knapp 보정을 적용한 REML 랜덤효과 모형으로 합성했다. 네 클러스터 모두 이론적으로 예측된 방향을 가리켰으나 평균 효과가 0을 배제한 것은 둘뿐이었다 —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 +1.16)과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 +0.61). 예측구간은 네 클러스터 전부 0을 포함했고,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불가능했다. 따라서 모든 합성 추정치는 상한으로 읽어야 한다. 사회적 상호작용 결과는 서로 다른 소음원을 쓴 두 현장실험이 13년 간격으로 같은 부호를 낸 데서 나왔다. 다만 자연음을 정온과 대비한 연구가 코퍼스에 한 편도 없으므로, 좋은 소리를 더하는 것과 나쁜 소리를 없애는 것은 분리되지 않는다. 가장 널리 인용되는 보행속도 효과는 전부 저품질 연구에 의존하며, 공간의 소리가 아니라 헤드폰을 조작한 것이 대부분이고, 대체로 한 연구 프로그램이 한 경로에서 얻은 것이다. 추출된 방향성 레코드 187건 중 40%가 역방향으로 — 활동이 사운드스케이프를 만드는 방향 — 공간이용·활동·사회적 행태에서는 두 방향이 대등하다. 행태 측정 세대는 교체되지 않고 누적된다. 열 개의 계획 레버를 근거 강도와 함께 도출했으나 high에 도달한 것은 하나도 없고, 가장 잘 지지되는 조치는 사람들이 상호작용하도록 의도된 곳에서 운영 소음을 통제하는 것이다.</w:t>
      </w:r>
    </w:p>
    <w:p>
      <w:pPr>
        <w:spacing w:line="480" w:lineRule="auto"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spacing w:line="360" w:lineRule="auto" w:after="120" w:before="320"/>
        <w:jc w:val="left"/>
      </w:pPr>
      <w:r>
        <w:rPr>
          <w:rFonts w:ascii="Times New Roman" w:hAnsi="Times New Roman" w:cs="Times New Roman" w:eastAsia="바탕"/>
          <w:b/>
          <w:i w:val="0"/>
          <w:sz w:val="24"/>
        </w:rPr>
        <w:t>1. Introduction</w:t>
      </w:r>
    </w:p>
    <w:p>
      <w:pPr>
        <w:spacing w:line="360" w:lineRule="auto" w:after="80" w:before="240"/>
        <w:jc w:val="left"/>
      </w:pPr>
      <w:r>
        <w:rPr>
          <w:rFonts w:ascii="Times New Roman" w:hAnsi="Times New Roman" w:cs="Times New Roman" w:eastAsia="바탕"/>
          <w:b/>
          <w:i w:val="0"/>
          <w:sz w:val="24"/>
        </w:rPr>
        <w:t>1.1 Sound as a planning variable</w:t>
      </w:r>
    </w:p>
    <w:p>
      <w:pPr>
        <w:spacing w:line="480" w:lineRule="auto"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line="480" w:lineRule="auto"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등가소음도라는 단일 지표와 용도지역별 기준치를 중심으로 구축돼 있고, 그 목적은 건강 피해와 민원의 억제다. 이 틀은 도로변 방음벽의 높이를 정하거나 야간 공사 시간을 제한하는 데에는 유효하지만, "이 광장을 사람들이 쓰게 하려면 소리를 어떻게 해야 하는가"라는 설계 질문에는 거의 답하지 못한다. 기준치 이하라는 것과 그 공간이 잘 쓰인다는 것은 서로 다른 이야기이기 때문이다.</w:t>
      </w:r>
    </w:p>
    <w:p>
      <w:pPr>
        <w:spacing w:line="480" w:lineRule="auto" w:after="0" w:before="0"/>
        <w:ind w:firstLine="288"/>
      </w:pPr>
      <w:r>
        <w:rPr>
          <w:rFonts w:ascii="Times New Roman" w:hAnsi="Times New Roman" w:cs="Times New Roman" w:eastAsia="바탕"/>
          <w:b/>
          <w:i w:val="0"/>
          <w:sz w:val="24"/>
        </w:rPr>
        <w:t>사운드스케이프</w:t>
      </w:r>
      <w:r>
        <w:rPr>
          <w:rFonts w:ascii="Times New Roman" w:hAnsi="Times New Roman" w:cs="Times New Roman" w:eastAsia="바탕"/>
          <w:b w:val="0"/>
          <w:i w:val="0"/>
          <w:sz w:val="24"/>
        </w:rPr>
        <w:t>라는 개념은 바로 이 간극에서 출발했다. 소음을 제거해야 할 물리량으로 보는 대신, 특정 맥락에서 사람이 지각하고 경험하는 음환경 전체를 다루자는 제안이다. ISO 12913이 이 개념을 표준화하면서 쾌적성(pleasantness)과 사건성(eventfulness)이라는 두 축이 기술 언어로 자리 잡았고, 지난 이십여 년 동안 방대한 문헌이 축적됐다. 어떤 소리가 어떤 맥락에서 쾌적하게 지각되는가, 시각 경관과 음환경이 어긋날 때 평가가 어떻게 달라지는가, 문화와 개인 특성이 그 평가를 얼마나 좌우하는가에 대해 우리는 이제 상당히 많이 알고 있다.</w:t>
      </w:r>
    </w:p>
    <w:p>
      <w:pPr>
        <w:spacing w:line="360" w:lineRule="auto" w:after="80" w:before="240"/>
        <w:jc w:val="left"/>
      </w:pPr>
      <w:r>
        <w:rPr>
          <w:rFonts w:ascii="Times New Roman" w:hAnsi="Times New Roman" w:cs="Times New Roman" w:eastAsia="바탕"/>
          <w:b/>
          <w:i w:val="0"/>
          <w:sz w:val="24"/>
        </w:rPr>
        <w:t>1.2 What the field has established, and what it has not</w:t>
      </w:r>
    </w:p>
    <w:p>
      <w:pPr>
        <w:spacing w:line="480" w:lineRule="auto" w:after="0" w:before="0"/>
        <w:ind w:firstLine="288"/>
      </w:pPr>
      <w:r>
        <w:rPr>
          <w:rFonts w:ascii="Times New Roman" w:hAnsi="Times New Roman" w:cs="Times New Roman" w:eastAsia="바탕"/>
          <w:b w:val="0"/>
          <w:i w:val="0"/>
          <w:sz w:val="24"/>
        </w:rPr>
        <w:t xml:space="preserve">그러나 이 축적에는 뚜렷한 편중이 있다. </w:t>
      </w:r>
      <w:r>
        <w:rPr>
          <w:rFonts w:ascii="Times New Roman" w:hAnsi="Times New Roman" w:cs="Times New Roman" w:eastAsia="바탕"/>
          <w:b/>
          <w:i w:val="0"/>
          <w:sz w:val="24"/>
        </w:rPr>
        <w:t>사운드스케이프 연구는 사람들이 음환경을 어떻게 *평가하는가*에 관한 학문으로 성장했다.</w:t>
      </w:r>
      <w:r>
        <w:rPr>
          <w:rFonts w:ascii="Times New Roman" w:hAnsi="Times New Roman" w:cs="Times New Roman" w:eastAsia="바탕"/>
          <w:b w:val="0"/>
          <w:i w:val="0"/>
          <w:sz w:val="24"/>
        </w:rPr>
        <w:t xml:space="preserve"> 결과변수는 압도적으로 평정 척도다. 쾌적함, 조화로움, 적합성, 회복감, 짜증도, 선호도 — 모두 사람이 설문지에 표시한 값이다.</w:t>
      </w:r>
    </w:p>
    <w:p>
      <w:pPr>
        <w:spacing w:line="480" w:lineRule="auto"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 xml:space="preserve">다. 그 공간이 쓰이는가. 사람들이 머무는가, 아니면 통과하는가. 낯선 사람에게 말을 거는가. 아이들이 놀 만한 곳이라고 판단하는가. 평정값과 행태 사이에 연결이 있으리라는 가정은 널리 공유되지만, 그 연결 자체를 측정한 연구는 훨씬 적고 </w:t>
      </w:r>
      <w:r>
        <w:rPr>
          <w:rFonts w:ascii="Times New Roman" w:hAnsi="Times New Roman" w:cs="Times New Roman" w:eastAsia="바탕"/>
          <w:b/>
          <w:i w:val="0"/>
          <w:sz w:val="24"/>
        </w:rPr>
        <w:t>한 번도 체계적으로 종합된 적이 없다.</w:t>
      </w:r>
    </w:p>
    <w:p>
      <w:pPr>
        <w:spacing w:line="480" w:lineRule="auto"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spacing w:line="360" w:lineRule="auto" w:after="80" w:before="240"/>
        <w:jc w:val="left"/>
      </w:pPr>
      <w:r>
        <w:rPr>
          <w:rFonts w:ascii="Times New Roman" w:hAnsi="Times New Roman" w:cs="Times New Roman" w:eastAsia="바탕"/>
          <w:b/>
          <w:i w:val="0"/>
          <w:sz w:val="24"/>
        </w:rPr>
        <w:t>1.3 Why now: a measurement threshold has been crossed</w:t>
      </w:r>
    </w:p>
    <w:p>
      <w:pPr>
        <w:spacing w:line="480" w:lineRule="auto" w:after="0" w:before="0"/>
        <w:ind w:firstLine="288"/>
      </w:pPr>
      <w:r>
        <w:rPr>
          <w:rFonts w:ascii="Times New Roman" w:hAnsi="Times New Roman" w:cs="Times New Roman" w:eastAsia="바탕"/>
          <w:b w:val="0"/>
          <w:i w:val="0"/>
          <w:sz w:val="24"/>
        </w:rPr>
        <w:t xml:space="preserve">이 종합이 지금 가능해진 데에는 이유가 있다.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line="480" w:lineRule="auto"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데이터, 크라우드소싱 운동 기록, 영상 분석, 웨어러블 센서가 같은 일을 몇 자릿수 큰 규모로 해낸다. 본 코퍼스에도 자전거 통행 81,403건이나 가로 구간 13,322개를 다룬 연구가 들어 있다.</w:t>
      </w:r>
    </w:p>
    <w:p>
      <w:pPr>
        <w:spacing w:line="480" w:lineRule="auto" w:after="0" w:before="0"/>
        <w:ind w:firstLine="288"/>
      </w:pPr>
      <w:r>
        <w:rPr>
          <w:rFonts w:ascii="Times New Roman" w:hAnsi="Times New Roman" w:cs="Times New Roman" w:eastAsia="바탕"/>
          <w:b w:val="0"/>
          <w:i w:val="0"/>
          <w:sz w:val="24"/>
        </w:rPr>
        <w:t xml:space="preserve">동시에 음환경 측정도 저렴해졌다. 저가 IoT 소음 센서망, 스트리트뷰 이미지에서 음환경을 추정하는 기계학습 모형, 스마트폰 기반 사운드워크가 확산되면서 </w:t>
      </w:r>
      <w:r>
        <w:rPr>
          <w:rFonts w:ascii="Times New Roman" w:hAnsi="Times New Roman" w:cs="Times New Roman" w:eastAsia="바탕"/>
          <w:b/>
          <w:i w:val="0"/>
          <w:sz w:val="24"/>
        </w:rPr>
        <w:t>소리와 행태를 같은 공간·같은 시간에 함께 기록하는 것</w:t>
      </w:r>
      <w:r>
        <w:rPr>
          <w:rFonts w:ascii="Times New Roman" w:hAnsi="Times New Roman" w:cs="Times New Roman" w:eastAsia="바탕"/>
          <w:b w:val="0"/>
          <w:i w:val="0"/>
          <w:sz w:val="24"/>
        </w:rPr>
        <w:t>이 실현 가능해졌다. 두 측정의 비용이 동시에 떨어진 결과가 지난 5년의 문헌 급증이다.</w:t>
      </w:r>
    </w:p>
    <w:p>
      <w:pPr>
        <w:spacing w:line="480" w:lineRule="auto"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보이겠지만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데이터는 많아졌으나 조작은 그만큼 늘지 않았다는 것이 지금 이 분야의 상태다.</w:t>
      </w:r>
    </w:p>
    <w:p>
      <w:pPr>
        <w:spacing w:line="360" w:lineRule="auto" w:after="80" w:before="240"/>
        <w:jc w:val="left"/>
      </w:pPr>
      <w:r>
        <w:rPr>
          <w:rFonts w:ascii="Times New Roman" w:hAnsi="Times New Roman" w:cs="Times New Roman" w:eastAsia="바탕"/>
          <w:b/>
          <w:i w:val="0"/>
          <w:sz w:val="24"/>
        </w:rPr>
        <w:t>1.4 The pathway that runs the other way</w:t>
      </w:r>
    </w:p>
    <w:p>
      <w:pPr>
        <w:spacing w:line="480" w:lineRule="auto"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로 놓는다 — 소음이 사람을 어떻게 움직이게 하는가.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line="480" w:lineRule="auto" w:after="0" w:before="0"/>
        <w:ind w:firstLine="288"/>
      </w:pPr>
      <w:r>
        <w:rPr>
          <w:rFonts w:ascii="Times New Roman" w:hAnsi="Times New Roman" w:cs="Times New Roman" w:eastAsia="바탕"/>
          <w:b w:val="0"/>
          <w:i w:val="0"/>
          <w:sz w:val="24"/>
        </w:rPr>
        <w:t xml:space="preserve">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로, 사람의 활동을 </w:t>
      </w:r>
      <w:r>
        <w:rPr>
          <w:rFonts w:ascii="Times New Roman" w:hAnsi="Times New Roman" w:cs="Times New Roman" w:eastAsia="바탕"/>
          <w:b/>
          <w:i w:val="0"/>
          <w:sz w:val="24"/>
        </w:rPr>
        <w:t>원인</w:t>
      </w:r>
      <w:r>
        <w:rPr>
          <w:rFonts w:ascii="Times New Roman" w:hAnsi="Times New Roman" w:cs="Times New Roman" w:eastAsia="바탕"/>
          <w:b w:val="0"/>
          <w:i w:val="0"/>
          <w:sz w:val="24"/>
        </w:rPr>
        <w:t>으로 놓는 연구다.</w:t>
      </w:r>
    </w:p>
    <w:p>
      <w:pPr>
        <w:spacing w:line="480" w:lineRule="auto"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공간이용·활동·사회적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w:t>
      </w:r>
    </w:p>
    <w:p>
      <w:pPr>
        <w:spacing w:line="480" w:lineRule="auto" w:after="0" w:before="0"/>
        <w:ind w:firstLine="288"/>
      </w:pPr>
      <w:r>
        <w:rPr>
          <w:rFonts w:ascii="Times New Roman" w:hAnsi="Times New Roman" w:cs="Times New Roman" w:eastAsia="바탕"/>
          <w:b w:val="0"/>
          <w:i w:val="0"/>
          <w:sz w:val="24"/>
        </w:rPr>
        <w:t xml:space="preserve">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w:t>
      </w:r>
      <w:r>
        <w:rPr>
          <w:rFonts w:ascii="Times New Roman" w:hAnsi="Times New Roman" w:cs="Times New Roman" w:eastAsia="바탕"/>
          <w:b/>
          <w:i w:val="0"/>
          <w:sz w:val="24"/>
        </w:rPr>
        <w:t>이 문헌이 측정한 것의 절반가량을 처음부터 시야 밖에 두게 된다.</w:t>
      </w:r>
      <w:r>
        <w:rPr>
          <w:rFonts w:ascii="Times New Roman" w:hAnsi="Times New Roman" w:cs="Times New Roman" w:eastAsia="바탕"/>
          <w:b w:val="0"/>
          <w:i w:val="0"/>
          <w:sz w:val="24"/>
        </w:rPr>
        <w:t xml:space="preserve"> 본 리뷰가 관계를 양방향으로 놓고 시작하는 이유가 여기 있다.</w:t>
      </w:r>
    </w:p>
    <w:p>
      <w:pPr>
        <w:spacing w:line="360" w:lineRule="auto" w:after="80" w:before="240"/>
        <w:jc w:val="left"/>
      </w:pPr>
      <w:r>
        <w:rPr>
          <w:rFonts w:ascii="Times New Roman" w:hAnsi="Times New Roman" w:cs="Times New Roman" w:eastAsia="바탕"/>
          <w:b/>
          <w:i w:val="0"/>
          <w:sz w:val="24"/>
        </w:rPr>
        <w:t>1.5 Positioning against adjacent syntheses</w:t>
      </w:r>
    </w:p>
    <w:p>
      <w:pPr>
        <w:spacing w:line="480" w:lineRule="auto" w:after="0" w:before="0"/>
        <w:ind w:firstLine="288"/>
      </w:pPr>
      <w:r>
        <w:rPr>
          <w:rFonts w:ascii="Times New Roman" w:hAnsi="Times New Roman" w:cs="Times New Roman" w:eastAsia="바탕"/>
          <w:b w:val="0"/>
          <w:i w:val="0"/>
          <w:sz w:val="24"/>
        </w:rPr>
        <w:t xml:space="preserve">인접한 종합이 없지는 않다. 가장 가까운 것은 신체활동만을 다룬 최근 리뷰(Cities &amp; Health, 2026)인데, 행태 도메인 하나에 한정되므로 본 리뷰의 부분집합이다. Zhang 등(2025,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)은 경관 특성이 지각에 미치는 영향을 메타분석했다. 본 리뷰는 그 다음 고리 — </w:t>
      </w:r>
      <w:r>
        <w:rPr>
          <w:rFonts w:ascii="Times New Roman" w:hAnsi="Times New Roman" w:cs="Times New Roman" w:eastAsia="바탕"/>
          <w:b/>
          <w:i w:val="0"/>
          <w:sz w:val="24"/>
        </w:rPr>
        <w:t>지각과 노출에서 행태로 이어지는 연결</w:t>
      </w:r>
      <w:r>
        <w:rPr>
          <w:rFonts w:ascii="Times New Roman" w:hAnsi="Times New Roman" w:cs="Times New Roman" w:eastAsia="바탕"/>
          <w:b w:val="0"/>
          <w:i w:val="0"/>
          <w:sz w:val="24"/>
        </w:rPr>
        <w:t xml:space="preserve"> — 을 다룬다.</w:t>
      </w:r>
    </w:p>
    <w:p>
      <w:pPr>
        <w:spacing w:line="480" w:lineRule="auto" w:after="0" w:before="0"/>
        <w:ind w:firstLine="288"/>
      </w:pPr>
      <w:r>
        <w:rPr>
          <w:rFonts w:ascii="Times New Roman" w:hAnsi="Times New Roman" w:cs="Times New Roman" w:eastAsia="바탕"/>
          <w:b w:val="0"/>
          <w:i w:val="0"/>
          <w:sz w:val="24"/>
        </w:rPr>
        <w:t xml:space="preserve">그리고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spacing w:line="360" w:lineRule="auto" w:after="80" w:before="240"/>
        <w:jc w:val="left"/>
      </w:pPr>
      <w:r>
        <w:rPr>
          <w:rFonts w:ascii="Times New Roman" w:hAnsi="Times New Roman" w:cs="Times New Roman" w:eastAsia="바탕"/>
          <w:b/>
          <w:i w:val="0"/>
          <w:sz w:val="24"/>
        </w:rPr>
        <w:t>1.6 Research questions</w:t>
      </w:r>
    </w:p>
    <w:p>
      <w:pPr>
        <w:spacing w:line="480" w:lineRule="auto" w:after="0" w:before="0"/>
        <w:ind w:firstLine="288"/>
      </w:pPr>
      <w:r>
        <w:rPr>
          <w:rFonts w:ascii="Times New Roman" w:hAnsi="Times New Roman" w:cs="Times New Roman" w:eastAsia="바탕"/>
          <w:b w:val="0"/>
          <w:i w:val="0"/>
          <w:sz w:val="24"/>
        </w:rPr>
        <w:t>이상의 배경에서 네 개의 질문을 세웠다.</w:t>
      </w:r>
    </w:p>
    <w:p>
      <w:pPr>
        <w:spacing w:line="480" w:lineRule="auto"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 도시 옥외공간에서 음환경과 관찰 가능한 행태의 연관은 어느 크기·어느 방향이며, 행태 도메인에 따라 달라지는가?</w:t>
      </w:r>
    </w:p>
    <w:p>
      <w:pPr>
        <w:spacing w:line="480" w:lineRule="auto"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 증거의 얼마가 역방향(행태 → 사운드스케이프)이며, 어느 도메인에서 그러한가?</w:t>
      </w:r>
    </w:p>
    <w:p>
      <w:pPr>
        <w:spacing w:line="480" w:lineRule="auto"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 행태 측정은 어떻게 변해 왔으며, 새 계측은 옛 방법을 대체하는가 누적되는가?</w:t>
      </w:r>
    </w:p>
    <w:p>
      <w:pPr>
        <w:spacing w:line="480" w:lineRule="auto"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 이 증거로 조경·도시계획이 실제로 처방할 수 있는 것은 무엇이며, 그 확신 수준은 어느 정도인가?</w:t>
      </w:r>
    </w:p>
    <w:p>
      <w:pPr>
        <w:spacing w:line="480" w:lineRule="auto" w:after="0" w:before="0"/>
        <w:ind w:firstLine="288"/>
      </w:pPr>
      <w:r>
        <w:rPr>
          <w:rFonts w:ascii="Times New Roman" w:hAnsi="Times New Roman" w:cs="Times New Roman" w:eastAsia="바탕"/>
          <w:b w:val="0"/>
          <w:i w:val="0"/>
          <w:sz w:val="24"/>
        </w:rPr>
        <w:t xml:space="preserve">앞의 세 질문은 문헌을 기술하는 것이고 마지막 질문은 그 기술을 실무 언어로 옮기는 것이다. 마지막 질문에 답하면서 우리는 </w:t>
      </w:r>
      <w:r>
        <w:rPr>
          <w:rFonts w:ascii="Times New Roman" w:hAnsi="Times New Roman" w:cs="Times New Roman" w:eastAsia="바탕"/>
          <w:b/>
          <w:i w:val="0"/>
          <w:sz w:val="24"/>
        </w:rPr>
        <w:t>근거의 강도를 처방의 강도로 그대로 옮기는 원칙</w:t>
      </w:r>
      <w:r>
        <w:rPr>
          <w:rFonts w:ascii="Times New Roman" w:hAnsi="Times New Roman" w:cs="Times New Roman" w:eastAsia="바탕"/>
          <w:b w:val="0"/>
          <w:i w:val="0"/>
          <w:sz w:val="24"/>
        </w:rPr>
        <w:t>을 지켰다. 뒤에 보이겠지만 그 결과는 겸손하다.</w:t>
      </w:r>
    </w:p>
    <w:p>
      <w:pPr>
        <w:spacing w:line="360" w:lineRule="auto" w:after="120" w:before="320"/>
        <w:jc w:val="left"/>
      </w:pPr>
      <w:r>
        <w:rPr>
          <w:rFonts w:ascii="Times New Roman" w:hAnsi="Times New Roman" w:cs="Times New Roman" w:eastAsia="바탕"/>
          <w:b/>
          <w:i w:val="0"/>
          <w:sz w:val="24"/>
        </w:rPr>
        <w:t>2. Methods</w:t>
      </w:r>
    </w:p>
    <w:p>
      <w:pPr>
        <w:spacing w:line="360" w:lineRule="auto" w:after="80" w:before="240"/>
        <w:jc w:val="left"/>
      </w:pPr>
      <w:r>
        <w:rPr>
          <w:rFonts w:ascii="Times New Roman" w:hAnsi="Times New Roman" w:cs="Times New Roman" w:eastAsia="바탕"/>
          <w:b/>
          <w:i w:val="0"/>
          <w:sz w:val="24"/>
        </w:rPr>
        <w:t>2.1 Registration and reporting</w:t>
      </w:r>
    </w:p>
    <w:p>
      <w:pPr>
        <w:spacing w:line="480" w:lineRule="auto"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PRISMA 2020에 따라 보고한다.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spacing w:line="360" w:lineRule="auto" w:after="80" w:before="240"/>
        <w:jc w:val="left"/>
      </w:pPr>
      <w:r>
        <w:rPr>
          <w:rFonts w:ascii="Times New Roman" w:hAnsi="Times New Roman" w:cs="Times New Roman" w:eastAsia="바탕"/>
          <w:b/>
          <w:i w:val="0"/>
          <w:sz w:val="24"/>
        </w:rPr>
        <w:t>2.2 Eligibility criteria</w:t>
      </w:r>
    </w:p>
    <w:p>
      <w:pPr>
        <w:spacing w:line="480" w:lineRule="auto" w:after="0" w:before="0"/>
        <w:ind w:firstLine="288"/>
      </w:pPr>
      <w:r>
        <w:rPr>
          <w:rFonts w:ascii="Times New Roman" w:hAnsi="Times New Roman" w:cs="Times New Roman" w:eastAsia="바탕"/>
          <w:b w:val="0"/>
          <w:i w:val="0"/>
          <w:sz w:val="24"/>
        </w:rPr>
        <w:t>적격 기준은 다섯 가지이며 모두 충족해야 포함했다.</w:t>
      </w:r>
    </w:p>
    <w:p>
      <w:pPr>
        <w:spacing w:line="480" w:lineRule="auto"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line="480" w:lineRule="auto" w:after="0" w:before="0"/>
        <w:ind w:firstLine="288"/>
      </w:pPr>
      <w:r>
        <w:rPr>
          <w:rFonts w:ascii="Times New Roman" w:hAnsi="Times New Roman" w:cs="Times New Roman" w:eastAsia="바탕"/>
          <w:b w:val="0"/>
          <w:i w:val="0"/>
          <w:sz w:val="24"/>
        </w:rPr>
        <w:t>세팅은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line="480" w:lineRule="auto"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line="480" w:lineRule="auto"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 예컨대 "이 공원을 다시 방문하겠습니까" — 는 배제하지 않고 민감도 분석 전용으로 분리했다.</w:t>
      </w:r>
    </w:p>
    <w:p>
      <w:pPr>
        <w:spacing w:line="480" w:lineRule="auto"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spacing w:line="360" w:lineRule="auto" w:after="80" w:before="240"/>
        <w:jc w:val="left"/>
      </w:pPr>
      <w:r>
        <w:rPr>
          <w:rFonts w:ascii="Times New Roman" w:hAnsi="Times New Roman" w:cs="Times New Roman" w:eastAsia="바탕"/>
          <w:b/>
          <w:i w:val="0"/>
          <w:sz w:val="24"/>
        </w:rPr>
        <w:t>2.3 Information sources and search</w:t>
      </w:r>
    </w:p>
    <w:p>
      <w:pPr>
        <w:spacing w:line="480" w:lineRule="auto"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 음환경 × 행태 × 도시 옥외 세팅. 전체 문자열은 Supplementary S3에 있다. 검색 전략은 실행에 앞서 적격임이 이미 알려진 벤치마크 논문 5편으로 검증했고 5편 모두 회수됐다.</w:t>
      </w:r>
    </w:p>
    <w:p>
      <w:pPr>
        <w:spacing w:line="480" w:lineRule="auto"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spacing w:line="360" w:lineRule="auto" w:after="80" w:before="240"/>
        <w:jc w:val="left"/>
      </w:pPr>
      <w:r>
        <w:rPr>
          <w:rFonts w:ascii="Times New Roman" w:hAnsi="Times New Roman" w:cs="Times New Roman" w:eastAsia="바탕"/>
          <w:b/>
          <w:i w:val="0"/>
          <w:sz w:val="24"/>
        </w:rPr>
        <w:t>2.4 Selection process</w:t>
      </w:r>
    </w:p>
    <w:p>
      <w:pPr>
        <w:spacing w:line="480" w:lineRule="auto" w:after="0" w:before="0"/>
        <w:ind w:firstLine="288"/>
      </w:pPr>
      <w:r>
        <w:rPr>
          <w:rFonts w:ascii="Times New Roman" w:hAnsi="Times New Roman" w:cs="Times New Roman" w:eastAsia="바탕"/>
          <w:b w:val="0"/>
          <w:i w:val="0"/>
          <w:sz w:val="24"/>
        </w:rPr>
        <w:t>세 경로의 전체 흐름은 Fig. 1에 있다.</w:t>
      </w:r>
    </w:p>
    <w:p>
      <w:pPr>
        <w:spacing w:line="48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line="480" w:lineRule="auto"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사전분류에 인간 검증을 결합했다. 이 단계에서 한 가지 결정이 결과에 크게 영향을 줬다 —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line="480" w:lineRule="auto"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line="480" w:lineRule="auto"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line="480" w:lineRule="auto"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spacing w:line="360" w:lineRule="auto" w:after="80" w:before="240"/>
        <w:jc w:val="left"/>
      </w:pPr>
      <w:r>
        <w:rPr>
          <w:rFonts w:ascii="Times New Roman" w:hAnsi="Times New Roman" w:cs="Times New Roman" w:eastAsia="바탕"/>
          <w:b/>
          <w:i w:val="0"/>
          <w:sz w:val="24"/>
        </w:rPr>
        <w:t>2.5 Data collection and quality appraisal</w:t>
      </w:r>
    </w:p>
    <w:p>
      <w:pPr>
        <w:spacing w:line="480" w:lineRule="auto"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line="480" w:lineRule="auto"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로 평가했다. 등록서는 무작위 배정 연구 하위집합에 RoB 2를 병행하도록 계획했으나, 코퍼스의 무작위 배정 연구 2편이 무작위화 절차도 눈가림도 보고하지 않아 별도 도구를 적용해도 새로운 정보가 생기지 않았다. 수행하지 않았고 이탈로 기록했다(S1, D2-2).</w:t>
      </w:r>
    </w:p>
    <w:p>
      <w:pPr>
        <w:spacing w:line="480" w:lineRule="auto"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spacing w:line="360" w:lineRule="auto" w:after="80" w:before="240"/>
        <w:jc w:val="left"/>
      </w:pPr>
      <w:r>
        <w:rPr>
          <w:rFonts w:ascii="Times New Roman" w:hAnsi="Times New Roman" w:cs="Times New Roman" w:eastAsia="바탕"/>
          <w:b/>
          <w:i w:val="0"/>
          <w:sz w:val="24"/>
        </w:rPr>
        <w:t>2.6 Synthesis</w:t>
      </w:r>
    </w:p>
    <w:p>
      <w:pPr>
        <w:spacing w:line="480" w:lineRule="auto" w:after="0" w:before="0"/>
        <w:ind w:firstLine="288"/>
      </w:pPr>
      <w:r>
        <w:rPr>
          <w:rFonts w:ascii="Times New Roman" w:hAnsi="Times New Roman" w:cs="Times New Roman" w:eastAsia="바탕"/>
          <w:b w:val="0"/>
          <w:i w:val="0"/>
          <w:sz w:val="24"/>
        </w:rPr>
        <w:t xml:space="preserve">행태 결과와 대비 프레임을 공유하는 독립 추정치가 3개 이상일 때 합성했다. 표준화 평균차는 소표본 보정을 적용한 Hedges' </w:t>
      </w:r>
      <w:r>
        <w:rPr>
          <w:rFonts w:ascii="Times New Roman" w:hAnsi="Times New Roman" w:cs="Times New Roman" w:eastAsia="바탕"/>
          <w:b w:val="0"/>
          <w:i/>
          <w:sz w:val="24"/>
        </w:rPr>
        <w:t>g</w:t>
      </w:r>
      <w:r>
        <w:rPr>
          <w:rFonts w:ascii="Times New Roman" w:hAnsi="Times New Roman" w:cs="Times New Roman" w:eastAsia="바탕"/>
          <w:b w:val="0"/>
          <w:i w:val="0"/>
          <w:sz w:val="24"/>
        </w:rPr>
        <w:t>로 표현했고, 2 × 2 빈도는 오즈비를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상관은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합성한 뒤 역변환했다. 합성에는 </w:t>
      </w:r>
      <w:r>
        <w:rPr>
          <w:rFonts w:ascii="Times New Roman" w:hAnsi="Times New Roman" w:cs="Times New Roman" w:eastAsia="바탕"/>
          <w:b/>
          <w:i w:val="0"/>
          <w:sz w:val="24"/>
        </w:rPr>
        <w:t>Hartung–Knapp 보정을 적용한 REML 랜덤효과 모형</w:t>
      </w:r>
      <w:r>
        <w:rPr>
          <w:rFonts w:ascii="Times New Roman" w:hAnsi="Times New Roman" w:cs="Times New Roman" w:eastAsia="바탕"/>
          <w:b w:val="0"/>
          <w:i w:val="0"/>
          <w:sz w:val="24"/>
        </w:rPr>
        <w:t xml:space="preserve">을 썼다. 이 조합은 연구 수가 적을 때 구간이 지나치게 좁아지는 것을 막아 주며 여기서 다루는 규모에 적합하다. 이질성은 τ², </w:t>
      </w:r>
      <w:r>
        <w:rPr>
          <w:rFonts w:ascii="Times New Roman" w:hAnsi="Times New Roman" w:cs="Times New Roman" w:eastAsia="바탕"/>
          <w:b w:val="0"/>
          <w:i/>
          <w:sz w:val="24"/>
        </w:rPr>
        <w:t>I</w:t>
      </w:r>
      <w:r>
        <w:rPr>
          <w:rFonts w:ascii="Times New Roman" w:hAnsi="Times New Roman" w:cs="Times New Roman" w:eastAsia="바탕"/>
          <w:b w:val="0"/>
          <w:i w:val="0"/>
          <w:sz w:val="24"/>
        </w:rPr>
        <w:t>², Q로 보고한다.</w:t>
      </w:r>
    </w:p>
    <w:p>
      <w:pPr>
        <w:spacing w:line="480" w:lineRule="auto"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line="480" w:lineRule="auto" w:after="0" w:before="0"/>
        <w:ind w:firstLine="288"/>
      </w:pPr>
      <w:r>
        <w:rPr>
          <w:rFonts w:ascii="Times New Roman" w:hAnsi="Times New Roman" w:cs="Times New Roman" w:eastAsia="바탕"/>
          <w:b w:val="0"/>
          <w:i w:val="0"/>
          <w:sz w:val="24"/>
        </w:rPr>
        <w:t xml:space="preserve">두 클러스터에서 이질성이 컸으므로 신뢰구간과 함께 </w:t>
      </w:r>
      <w:r>
        <w:rPr>
          <w:rFonts w:ascii="Times New Roman" w:hAnsi="Times New Roman" w:cs="Times New Roman" w:eastAsia="바탕"/>
          <w:b/>
          <w:i w:val="0"/>
          <w:sz w:val="24"/>
        </w:rPr>
        <w:t>95% 예측구간</w:t>
      </w:r>
      <w:r>
        <w:rPr>
          <w:rFonts w:ascii="Times New Roman" w:hAnsi="Times New Roman" w:cs="Times New Roman" w:eastAsia="바탕"/>
          <w:b w:val="0"/>
          <w:i w:val="0"/>
          <w:sz w:val="24"/>
        </w:rPr>
        <w:t xml:space="preserve">(Higgins–Thompson–Spiegelhalter)을 보고한다. 이 구분은 결론 해석에 결정적이므로 명시해 둔다. 신뢰구간은 </w:t>
      </w:r>
      <w:r>
        <w:rPr>
          <w:rFonts w:ascii="Times New Roman" w:hAnsi="Times New Roman" w:cs="Times New Roman" w:eastAsia="바탕"/>
          <w:b/>
          <w:i w:val="0"/>
          <w:sz w:val="24"/>
        </w:rPr>
        <w:t>평균의 정밀도</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새로운 연구의 효과가 놓일 것으로 기대되는 범위</w:t>
      </w:r>
      <w:r>
        <w:rPr>
          <w:rFonts w:ascii="Times New Roman" w:hAnsi="Times New Roman" w:cs="Times New Roman" w:eastAsia="바탕"/>
          <w:b w:val="0"/>
          <w:i w:val="0"/>
          <w:sz w:val="24"/>
        </w:rPr>
        <w:t>를 말한다. 계획 의사결정이 기대는 것은 후자다. 설계자가 알고 싶은 것은 "지금까지의 평균이 0과 다른가"가 아니라 "내가 이 처방을 적용하면 어떻게 될 것인가"이기 때문이다.</w:t>
      </w:r>
    </w:p>
    <w:p>
      <w:pPr>
        <w:spacing w:line="480" w:lineRule="auto"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line="480" w:lineRule="auto" w:after="0" w:before="0"/>
        <w:ind w:firstLine="288"/>
      </w:pPr>
      <w:r>
        <w:rPr>
          <w:rFonts w:ascii="Times New Roman" w:hAnsi="Times New Roman" w:cs="Times New Roman" w:eastAsia="바탕"/>
          <w:b/>
          <w:i w:val="0"/>
          <w:sz w:val="24"/>
        </w:rPr>
        <w:t>하위그룹 분석은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line="480" w:lineRule="auto" w:after="0" w:before="0"/>
        <w:ind w:firstLine="288"/>
      </w:pPr>
      <w:r>
        <w:rPr>
          <w:rFonts w:ascii="Times New Roman" w:hAnsi="Times New Roman" w:cs="Times New Roman" w:eastAsia="바탕"/>
          <w:b w:val="0"/>
          <w:i w:val="0"/>
          <w:sz w:val="24"/>
        </w:rPr>
        <w:t xml:space="preserve">여덟 개의 민감도 분석을 수행했다.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spacing w:line="360" w:lineRule="auto" w:after="80" w:before="240"/>
        <w:jc w:val="left"/>
      </w:pPr>
      <w:r>
        <w:rPr>
          <w:rFonts w:ascii="Times New Roman" w:hAnsi="Times New Roman" w:cs="Times New Roman" w:eastAsia="바탕"/>
          <w:b/>
          <w:i w:val="0"/>
          <w:sz w:val="24"/>
        </w:rPr>
        <w:t>2.7 Departures from the registered protocol</w:t>
      </w:r>
    </w:p>
    <w:p>
      <w:pPr>
        <w:spacing w:line="480" w:lineRule="auto"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line="480" w:lineRule="auto"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line="480" w:lineRule="auto"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line="480" w:lineRule="auto"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Moser(1988)의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line="480" w:lineRule="auto"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line="480" w:lineRule="auto"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line="480" w:lineRule="auto"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line="480" w:lineRule="auto"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line="480" w:lineRule="auto"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line="480" w:lineRule="auto"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있었고 — 원문에 그 조합이 존재하지 않는다 —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spacing w:line="360" w:lineRule="auto" w:after="120" w:before="320"/>
        <w:jc w:val="left"/>
      </w:pPr>
      <w:r>
        <w:rPr>
          <w:rFonts w:ascii="Times New Roman" w:hAnsi="Times New Roman" w:cs="Times New Roman" w:eastAsia="바탕"/>
          <w:b/>
          <w:i w:val="0"/>
          <w:sz w:val="24"/>
        </w:rPr>
        <w:t>3. Results</w:t>
      </w:r>
    </w:p>
    <w:p>
      <w:pPr>
        <w:spacing w:line="360" w:lineRule="auto" w:after="80" w:before="240"/>
        <w:jc w:val="left"/>
      </w:pPr>
      <w:r>
        <w:rPr>
          <w:rFonts w:ascii="Times New Roman" w:hAnsi="Times New Roman" w:cs="Times New Roman" w:eastAsia="바탕"/>
          <w:b/>
          <w:i w:val="0"/>
          <w:sz w:val="24"/>
        </w:rPr>
        <w:t>3.1 Study selection</w:t>
      </w:r>
    </w:p>
    <w:p>
      <w:pPr>
        <w:spacing w:line="480" w:lineRule="auto"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line="480" w:lineRule="auto"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 데이터베이스 산출의 19%다.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line="480" w:lineRule="auto"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line="480" w:lineRule="auto"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line="480" w:lineRule="auto"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spacing w:line="360" w:lineRule="auto" w:after="80" w:before="240"/>
        <w:jc w:val="left"/>
      </w:pPr>
      <w:r>
        <w:rPr>
          <w:rFonts w:ascii="Times New Roman" w:hAnsi="Times New Roman" w:cs="Times New Roman" w:eastAsia="바탕"/>
          <w:b/>
          <w:i w:val="0"/>
          <w:sz w:val="24"/>
        </w:rPr>
        <w:t>3.2 Study characteristics</w:t>
      </w:r>
    </w:p>
    <w:p>
      <w:pPr>
        <w:spacing w:line="480" w:lineRule="auto"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 가로 구간, GPS 궤적, 스트리트뷰 표본점 — 를 보고하며 그중 최대는 자전거 통행 81,403건이다. 표본 크기의 단위가 이렇게 갈리는 것 자체가 이 문헌이 지금 겪고 있는 전환의 표시다.</w:t>
      </w:r>
    </w:p>
    <w:p>
      <w:pPr>
        <w:spacing w:line="480" w:lineRule="auto"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line="480" w:lineRule="auto"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line="480" w:lineRule="auto"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480" w:lineRule="auto" w:before="200" w:after="80"/>
        <w:jc w:val="center"/>
      </w:pPr>
      <w:r>
        <w:drawing>
          <wp:inline xmlns:a="http://schemas.openxmlformats.org/drawingml/2006/main" xmlns:pic="http://schemas.openxmlformats.org/drawingml/2006/picture">
            <wp:extent cx="4572000" cy="4494758"/>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49475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line="480" w:lineRule="auto"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line="480" w:lineRule="auto"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spacing w:line="360" w:lineRule="auto" w:after="80" w:before="240"/>
        <w:jc w:val="left"/>
      </w:pPr>
      <w:r>
        <w:rPr>
          <w:rFonts w:ascii="Times New Roman" w:hAnsi="Times New Roman" w:cs="Times New Roman" w:eastAsia="바탕"/>
          <w:b/>
          <w:i w:val="0"/>
          <w:sz w:val="24"/>
        </w:rPr>
        <w:t>3.3 Methodological quality</w:t>
      </w:r>
    </w:p>
    <w:p>
      <w:pPr>
        <w:spacing w:line="480" w:lineRule="auto" w:after="0" w:before="0"/>
        <w:ind w:firstLine="288"/>
      </w:pPr>
      <w:r>
        <w:rPr>
          <w:rFonts w:ascii="Times New Roman" w:hAnsi="Times New Roman" w:cs="Times New Roman" w:eastAsia="바탕"/>
          <w:b w:val="0"/>
          <w:i w:val="0"/>
          <w:sz w:val="24"/>
        </w:rPr>
        <w:t>포함 98편 중 MMAT 등급은 high 22편, moderate 40편, low 36편이다. 그러나 등급 분포보다 문항 수준의 패턴 두 가지가 훨씬 중요하다(Fig. 3).</w:t>
      </w:r>
    </w:p>
    <w:p>
      <w:pPr>
        <w:spacing w:line="480" w:lineRule="auto" w:before="200" w:after="80"/>
        <w:jc w:val="center"/>
      </w:pPr>
      <w:r>
        <w:drawing>
          <wp:inline xmlns:a="http://schemas.openxmlformats.org/drawingml/2006/main" xmlns:pic="http://schemas.openxmlformats.org/drawingml/2006/picture">
            <wp:extent cx="5394960" cy="4659830"/>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6598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Two findings drive the Discussion. First, the two randomised studies score among the lowest rather than the highest: their reports omit the randomisation procedure, baseline comparability and blinding entirely, so the design cannot be credited. Second, the largest deficits are deficits of reporting — sample representativeness (item 4.2, clearly met in 10 of 51), low non-response bias (4.4, 16 of 51) and control of confounding (3.4, 9 of 22) fail mostly because the information is absent, not because the studies are known to be biased.</w:t>
      </w:r>
    </w:p>
    <w:p>
      <w:pPr>
        <w:spacing w:line="480" w:lineRule="auto"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 어떤 기준도 충족하지 못한 연구가 4편 따로 있다.</w:t>
      </w:r>
    </w:p>
    <w:p>
      <w:pPr>
        <w:spacing w:line="480" w:lineRule="auto"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w:t>
      </w:r>
    </w:p>
    <w:p>
      <w:pPr>
        <w:spacing w:line="480" w:lineRule="auto"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spacing w:line="360" w:lineRule="auto" w:after="80" w:before="240"/>
        <w:jc w:val="left"/>
      </w:pPr>
      <w:r>
        <w:rPr>
          <w:rFonts w:ascii="Times New Roman" w:hAnsi="Times New Roman" w:cs="Times New Roman" w:eastAsia="바탕"/>
          <w:b/>
          <w:i w:val="0"/>
          <w:sz w:val="24"/>
        </w:rPr>
        <w:t>3.4 Meta-analyses</w:t>
      </w:r>
    </w:p>
    <w:p>
      <w:pPr>
        <w:spacing w:line="480" w:lineRule="auto" w:after="0" w:before="0"/>
        <w:ind w:firstLine="288"/>
      </w:pPr>
      <w:r>
        <w:rPr>
          <w:rFonts w:ascii="Times New Roman" w:hAnsi="Times New Roman" w:cs="Times New Roman" w:eastAsia="바탕"/>
          <w:b w:val="0"/>
          <w:i w:val="0"/>
          <w:sz w:val="24"/>
        </w:rPr>
        <w:t>네 클러스터가 합성 요건을 충족했다.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480" w:lineRule="auto" w:before="200" w:after="80"/>
        <w:jc w:val="center"/>
      </w:pPr>
      <w:r>
        <w:drawing>
          <wp:inline xmlns:a="http://schemas.openxmlformats.org/drawingml/2006/main" xmlns:pic="http://schemas.openxmlformats.org/drawingml/2006/picture">
            <wp:extent cx="5120640" cy="5391573"/>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3915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line="480" w:lineRule="auto"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line="480" w:lineRule="auto"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Canon(1975)에서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Moser(1988)는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line="480" w:lineRule="auto"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Kang(2023)을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등(2024)을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Moser(1988)를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Canon(1975)을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line="480" w:lineRule="auto"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line="480" w:lineRule="auto"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line="480" w:lineRule="auto"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조작했고(Franěk 등, 2014), 하나는 소음 대 속도를 직접 검정하지 않았으며(Franěk &amp; Režný, 2021), 하나는 헤드폰으로 전달된 증강 발소리를 다뤘다(Schrapel 등, 2022). </w:t>
      </w:r>
      <w:r>
        <w:rPr>
          <w:rFonts w:ascii="Times New Roman" w:hAnsi="Times New Roman" w:cs="Times New Roman" w:eastAsia="바탕"/>
          <w:b/>
          <w:i w:val="0"/>
          <w:sz w:val="24"/>
        </w:rPr>
        <w:t>이 문헌에서 가장 자주 인용되는 주장 — 소음이 사람을 빨리 걷게 한다 — 이 그 안에서 가장 불안정한 근거 위에 서 있다.</w:t>
      </w:r>
    </w:p>
    <w:p>
      <w:pPr>
        <w:spacing w:line="360" w:lineRule="auto" w:after="80" w:before="240"/>
        <w:jc w:val="left"/>
      </w:pPr>
      <w:r>
        <w:rPr>
          <w:rFonts w:ascii="Times New Roman" w:hAnsi="Times New Roman" w:cs="Times New Roman" w:eastAsia="바탕"/>
          <w:b/>
          <w:i w:val="0"/>
          <w:sz w:val="24"/>
        </w:rPr>
        <w:t>3.5 Direction of the relationship (RQ2)</w:t>
      </w:r>
    </w:p>
    <w:p>
      <w:pPr>
        <w:spacing w:line="480" w:lineRule="auto"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 순방향 또는 역방향 187건 중 74건이며, 양방향을 분모에 넣으면 35%가 된다. 여기서 단위는 연구 × 행태 도메인 레코드이지 연구 편수가 아니다.</w:t>
      </w:r>
    </w:p>
    <w:p>
      <w:pPr>
        <w:spacing w:line="480" w:lineRule="auto" w:before="200" w:after="80"/>
        <w:jc w:val="center"/>
      </w:pPr>
      <w:r>
        <w:drawing>
          <wp:inline xmlns:a="http://schemas.openxmlformats.org/drawingml/2006/main" xmlns:pic="http://schemas.openxmlformats.org/drawingml/2006/picture">
            <wp:extent cx="5212080" cy="1986783"/>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678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line="480" w:lineRule="auto"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line="480" w:lineRule="auto"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spacing w:line="360" w:lineRule="auto" w:after="80" w:before="240"/>
        <w:jc w:val="left"/>
      </w:pPr>
      <w:r>
        <w:rPr>
          <w:rFonts w:ascii="Times New Roman" w:hAnsi="Times New Roman" w:cs="Times New Roman" w:eastAsia="바탕"/>
          <w:b/>
          <w:i w:val="0"/>
          <w:sz w:val="24"/>
        </w:rPr>
        <w:t>3.6 Measurement generations (RQ3)</w:t>
      </w:r>
    </w:p>
    <w:p>
      <w:pPr>
        <w:spacing w:line="480" w:lineRule="auto"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480" w:lineRule="auto" w:before="200" w:after="80"/>
        <w:jc w:val="center"/>
      </w:pPr>
      <w:r>
        <w:drawing>
          <wp:inline xmlns:a="http://schemas.openxmlformats.org/drawingml/2006/main" xmlns:pic="http://schemas.openxmlformats.org/drawingml/2006/picture">
            <wp:extent cx="5212080" cy="198265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265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line="480" w:lineRule="auto"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line="480" w:lineRule="auto"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spacing w:line="360" w:lineRule="auto" w:after="80" w:before="240"/>
        <w:jc w:val="left"/>
      </w:pPr>
      <w:r>
        <w:rPr>
          <w:rFonts w:ascii="Times New Roman" w:hAnsi="Times New Roman" w:cs="Times New Roman" w:eastAsia="바탕"/>
          <w:b/>
          <w:i w:val="0"/>
          <w:sz w:val="24"/>
        </w:rPr>
        <w:t>3.7 Coverage and gaps</w:t>
      </w:r>
    </w:p>
    <w:p>
      <w:pPr>
        <w:spacing w:line="480" w:lineRule="auto"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480" w:lineRule="auto" w:before="200" w:after="80"/>
        <w:jc w:val="center"/>
      </w:pPr>
      <w:r>
        <w:drawing>
          <wp:inline xmlns:a="http://schemas.openxmlformats.org/drawingml/2006/main" xmlns:pic="http://schemas.openxmlformats.org/drawingml/2006/picture">
            <wp:extent cx="5212080" cy="2413522"/>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352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line="480" w:lineRule="auto"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spacing w:line="360" w:lineRule="auto" w:after="120" w:before="320"/>
        <w:jc w:val="left"/>
      </w:pPr>
      <w:r>
        <w:rPr>
          <w:rFonts w:ascii="Times New Roman" w:hAnsi="Times New Roman" w:cs="Times New Roman" w:eastAsia="바탕"/>
          <w:b/>
          <w:i w:val="0"/>
          <w:sz w:val="24"/>
        </w:rPr>
        <w:t>4. Discussion</w:t>
      </w:r>
    </w:p>
    <w:p>
      <w:pPr>
        <w:spacing w:line="360" w:lineRule="auto" w:after="80" w:before="240"/>
        <w:jc w:val="left"/>
      </w:pPr>
      <w:r>
        <w:rPr>
          <w:rFonts w:ascii="Times New Roman" w:hAnsi="Times New Roman" w:cs="Times New Roman" w:eastAsia="바탕"/>
          <w:b/>
          <w:i w:val="0"/>
          <w:sz w:val="24"/>
        </w:rPr>
        <w:t>4.1 A bidirectional framework for soundscape and behaviour</w:t>
      </w:r>
    </w:p>
    <w:p>
      <w:pPr>
        <w:spacing w:line="480" w:lineRule="auto" w:after="0" w:before="0"/>
        <w:ind w:firstLine="288"/>
      </w:pPr>
      <w:r>
        <w:rPr>
          <w:rFonts w:ascii="Times New Roman" w:hAnsi="Times New Roman" w:cs="Times New Roman" w:eastAsia="바탕"/>
          <w:b w:val="0"/>
          <w:i w:val="0"/>
          <w:sz w:val="24"/>
        </w:rPr>
        <w:t>본 리뷰가 도달한 개념 틀을 Fig. 8에 제시한다.</w:t>
      </w:r>
    </w:p>
    <w:p>
      <w:pPr>
        <w:spacing w:line="480" w:lineRule="auto" w:before="200" w:after="80"/>
        <w:jc w:val="center"/>
      </w:pPr>
      <w:r>
        <w:drawing>
          <wp:inline xmlns:a="http://schemas.openxmlformats.org/drawingml/2006/main" xmlns:pic="http://schemas.openxmlformats.org/drawingml/2006/picture">
            <wp:extent cx="4937760" cy="4660772"/>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466077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Behaviour is unfolded as an engagement gradient and each band carries the quantitative evidence attached to it. The framework's diagnostic value is visible in the leftmost band — the avoidance and walking-speed evidence, the most frequently cited claim in this literature, comes entirely from studies that MMAT rates low.</w:t>
      </w:r>
    </w:p>
    <w:p>
      <w:pPr>
        <w:spacing w:line="480" w:lineRule="auto"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요인들이 놓인다 — 세팅 유형, 시각–청각 정합성, 체류 목적, 문화적 맥락.</w:t>
      </w:r>
    </w:p>
    <w:p>
      <w:pPr>
        <w:spacing w:line="480" w:lineRule="auto"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w:t>
      </w:r>
      <w:r>
        <w:rPr>
          <w:rFonts w:ascii="Times New Roman" w:hAnsi="Times New Roman" w:cs="Times New Roman" w:eastAsia="바탕"/>
          <w:b w:val="0"/>
          <w:i w:val="0"/>
          <w:sz w:val="24"/>
        </w:rPr>
        <w:t xml:space="preserve">다. 회피하기, 통과하기, 머무르기, 상호작용하기, 전유하기가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 </w:t>
      </w:r>
      <w:r>
        <w:rPr>
          <w:rFonts w:ascii="Times New Roman" w:hAnsi="Times New Roman" w:cs="Times New Roman" w:eastAsia="바탕"/>
          <w:b/>
          <w:i w:val="0"/>
          <w:sz w:val="24"/>
        </w:rPr>
        <w:t>양 끝은 근거가 약하고, 가장 강한 정량 신호는 '상호작용하기'에 있다.</w:t>
      </w:r>
    </w:p>
    <w:p>
      <w:pPr>
        <w:spacing w:line="480" w:lineRule="auto"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spacing w:line="360" w:lineRule="auto" w:after="80" w:before="240"/>
        <w:jc w:val="left"/>
      </w:pPr>
      <w:r>
        <w:rPr>
          <w:rFonts w:ascii="Times New Roman" w:hAnsi="Times New Roman" w:cs="Times New Roman" w:eastAsia="바탕"/>
          <w:b/>
          <w:i w:val="0"/>
          <w:sz w:val="24"/>
        </w:rPr>
        <w:t>4.2 What the evidence supports, and how strongly (RQ4)</w:t>
      </w:r>
    </w:p>
    <w:p>
      <w:pPr>
        <w:spacing w:line="480" w:lineRule="auto"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w:t>
      </w:r>
      <w:r>
        <w:rPr>
          <w:rFonts w:ascii="Times New Roman" w:hAnsi="Times New Roman" w:cs="Times New Roman" w:eastAsia="바탕"/>
          <w:b w:val="0"/>
          <w:i w:val="0"/>
          <w:sz w:val="24"/>
        </w:rPr>
        <w:t>로 번역했다. 레버란 설계자나 운영자가 실제로 바꿀 수 있는 것을 말한다. "소음이 크다"는 레버가 아니고 "환기팬을 옮긴다"가 레버다. 각 레버에 연구 수, MMAT 품질 구성, 구간의 0 배제 여부, 세팅 다양성, 민감도 하에서의 거동을 함께 본 확신 등급을 부여했다.</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line="480" w:lineRule="auto"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line="480" w:lineRule="auto"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 </w:t>
      </w:r>
      <w:r>
        <w:rPr>
          <w:rFonts w:ascii="Times New Roman" w:hAnsi="Times New Roman" w:cs="Times New Roman" w:eastAsia="바탕"/>
          <w:b/>
          <w:i w:val="0"/>
          <w:sz w:val="24"/>
        </w:rPr>
        <w:t>이 분야는 현재 설계 기준이 아니라 모니터링으로 검증할 가설을 지지할 수 있을 뿐이다.</w:t>
      </w:r>
    </w:p>
    <w:p>
      <w:pPr>
        <w:spacing w:line="480" w:lineRule="auto"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line="480" w:lineRule="auto" w:after="0" w:before="0"/>
        <w:ind w:firstLine="288"/>
      </w:pPr>
      <w:r>
        <w:rPr>
          <w:rFonts w:ascii="Times New Roman" w:hAnsi="Times New Roman" w:cs="Times New Roman" w:eastAsia="바탕"/>
          <w:b/>
          <w:i w:val="0"/>
          <w:sz w:val="24"/>
        </w:rPr>
        <w:t>첫째, 사회적 상호작용 결과는 자연음을 더한 것으로도 소음을 없앤 것으로도 귀속되지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line="480" w:lineRule="auto"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나오고(Franěk 등, 2018, 2019),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관찰이다(Berkouk 등, 2020).</w:t>
      </w:r>
    </w:p>
    <w:p>
      <w:pPr>
        <w:spacing w:line="480" w:lineRule="auto" w:after="0" w:before="0"/>
        <w:ind w:firstLine="288"/>
      </w:pPr>
      <w:r>
        <w:rPr>
          <w:rFonts w:ascii="Times New Roman" w:hAnsi="Times New Roman" w:cs="Times New Roman" w:eastAsia="바탕"/>
          <w:b w:val="0"/>
          <w:i w:val="0"/>
          <w:sz w:val="24"/>
        </w:rPr>
        <w:t xml:space="preserve">풀 바깥에서 실제 가로의 소리를 바꾼 연구가 한 편 있다. Ba 등(2024)은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spacing w:line="360" w:lineRule="auto" w:after="80" w:before="240"/>
        <w:jc w:val="left"/>
      </w:pPr>
      <w:r>
        <w:rPr>
          <w:rFonts w:ascii="Times New Roman" w:hAnsi="Times New Roman" w:cs="Times New Roman" w:eastAsia="바탕"/>
          <w:b/>
          <w:i w:val="0"/>
          <w:sz w:val="24"/>
        </w:rPr>
        <w:t>4.3 Implications for landscape planning</w:t>
      </w:r>
    </w:p>
    <w:p>
      <w:pPr>
        <w:spacing w:line="480" w:lineRule="auto" w:after="0" w:before="0"/>
        <w:ind w:firstLine="288"/>
      </w:pPr>
      <w:r>
        <w:rPr>
          <w:rFonts w:ascii="Times New Roman" w:hAnsi="Times New Roman" w:cs="Times New Roman" w:eastAsia="바탕"/>
          <w:b w:val="0"/>
          <w:i w:val="0"/>
          <w:sz w:val="24"/>
        </w:rPr>
        <w:t>Table 3의 실무적 독해를 방어 가능성 순으로 정리한다.</w:t>
      </w:r>
    </w:p>
    <w:p>
      <w:pPr>
        <w:spacing w:line="480" w:lineRule="auto"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line="480" w:lineRule="auto"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연구(Aletta 등, 2016)는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line="480" w:lineRule="auto"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 벤치 클러스터, 테라스, 만남의 장소 — 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다. 증거는 절단값이 아니라 연속 기울기를 지지한다. 1 데시벨당 자기보고 발성 증대가 약 0.25점이다(Montes González 등, 2023).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line="480" w:lineRule="auto"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line="480" w:lineRule="auto"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지각 연구에서 빌려온 믿음이며, 지각이 개선된다는 것과 이용이 는다는 것은 다른 명제다.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보고하는데(Dzhambov 등, 2026; Huang 등, 2023), 활동이 도시의 시끄러운 곳에 집중되기 때문이다. 정온한 곳이 활동을 늘리는 것이 아니라 활동이 있는 곳이 시끄러운 것이다.</w:t>
      </w:r>
    </w:p>
    <w:p>
      <w:pPr>
        <w:spacing w:line="360" w:lineRule="auto" w:after="80" w:before="240"/>
        <w:jc w:val="left"/>
      </w:pPr>
      <w:r>
        <w:rPr>
          <w:rFonts w:ascii="Times New Roman" w:hAnsi="Times New Roman" w:cs="Times New Roman" w:eastAsia="바탕"/>
          <w:b/>
          <w:i w:val="0"/>
          <w:sz w:val="24"/>
        </w:rPr>
        <w:t>4.4 Methodological implications</w:t>
      </w:r>
    </w:p>
    <w:p>
      <w:pPr>
        <w:spacing w:line="480" w:lineRule="auto"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line="480" w:lineRule="auto"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line="480" w:lineRule="auto"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line="480" w:lineRule="auto"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line="480" w:lineRule="auto"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line="480" w:lineRule="auto"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spacing w:line="360" w:lineRule="auto" w:after="80" w:before="240"/>
        <w:jc w:val="left"/>
      </w:pPr>
      <w:r>
        <w:rPr>
          <w:rFonts w:ascii="Times New Roman" w:hAnsi="Times New Roman" w:cs="Times New Roman" w:eastAsia="바탕"/>
          <w:b/>
          <w:i w:val="0"/>
          <w:sz w:val="24"/>
        </w:rPr>
        <w:t>4.5 Research agenda</w:t>
      </w:r>
    </w:p>
    <w:p>
      <w:pPr>
        <w:spacing w:line="480" w:lineRule="auto"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line="480" w:lineRule="auto"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line="480" w:lineRule="auto"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공항 주변 연구가 건강과 짜증도 프레임 안에 머물렀기 때문이며, 필요한 것은 공항 주변 옥외공간의 이용·경로·체류를 짜증 척도가 아니라 행태로 측정하는 설계다.</w:t>
      </w:r>
    </w:p>
    <w:p>
      <w:pPr>
        <w:spacing w:line="480" w:lineRule="auto"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line="480" w:lineRule="auto"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line="480" w:lineRule="auto"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line="480" w:lineRule="auto"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spacing w:line="360" w:lineRule="auto" w:after="80" w:before="240"/>
        <w:jc w:val="left"/>
      </w:pPr>
      <w:r>
        <w:rPr>
          <w:rFonts w:ascii="Times New Roman" w:hAnsi="Times New Roman" w:cs="Times New Roman" w:eastAsia="바탕"/>
          <w:b/>
          <w:i w:val="0"/>
          <w:sz w:val="24"/>
        </w:rPr>
        <w:t>4.6 Limitations</w:t>
      </w:r>
    </w:p>
    <w:p>
      <w:pPr>
        <w:spacing w:line="480" w:lineRule="auto"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line="480" w:lineRule="auto"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line="480" w:lineRule="auto"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line="480" w:lineRule="auto"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spacing w:line="360" w:lineRule="auto" w:after="120" w:before="320"/>
        <w:jc w:val="left"/>
      </w:pPr>
      <w:r>
        <w:rPr>
          <w:rFonts w:ascii="Times New Roman" w:hAnsi="Times New Roman" w:cs="Times New Roman" w:eastAsia="바탕"/>
          <w:b/>
          <w:i w:val="0"/>
          <w:sz w:val="24"/>
        </w:rPr>
        <w:t>5. Conclusions</w:t>
      </w:r>
    </w:p>
    <w:p>
      <w:pPr>
        <w:spacing w:line="480" w:lineRule="auto"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line="480" w:lineRule="auto"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line="480" w:lineRule="auto"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line="480" w:lineRule="auto"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line="480" w:lineRule="auto"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spacing w:line="360" w:lineRule="auto" w:after="120" w:before="320"/>
        <w:jc w:val="left"/>
      </w:pPr>
      <w:r>
        <w:rPr>
          <w:rFonts w:ascii="Times New Roman" w:hAnsi="Times New Roman" w:cs="Times New Roman" w:eastAsia="바탕"/>
          <w:b/>
          <w:i w:val="0"/>
          <w:sz w:val="24"/>
        </w:rPr>
        <w:t>References</w:t>
      </w:r>
    </w:p>
    <w:p>
      <w:pPr>
        <w:spacing w:line="276" w:lineRule="auto" w:after="120" w:before="0"/>
        <w:ind w:left="432"/>
      </w:pPr>
      <w:r>
        <w:rPr>
          <w:rFonts w:ascii="Times New Roman" w:hAnsi="Times New Roman" w:cs="Times New Roman" w:eastAsia="바탕"/>
          <w:b w:val="0"/>
          <w:i w:val="0"/>
          <w:sz w:val="22"/>
        </w:rPr>
        <w:t xml:space="preserve">본문에서 저자·연도로 인용한 포함 연구를 여기 싣는다. 포함 98편 전건 목록은 Supplementary S5에, 전문 단계에서 배제된 문헌과 그 사유는 S6에 있다. 코퍼스 밖 배경 인용(ISO 12913, 선행 사운드스케이프 프레임워크, MMAT·Hedges' </w:t>
      </w:r>
      <w:r>
        <w:rPr>
          <w:rFonts w:ascii="Times New Roman" w:hAnsi="Times New Roman" w:cs="Times New Roman" w:eastAsia="바탕"/>
          <w:b w:val="0"/>
          <w:i/>
          <w:sz w:val="22"/>
        </w:rPr>
        <w:t>g</w:t>
      </w:r>
      <w:r>
        <w:rPr>
          <w:rFonts w:ascii="Times New Roman" w:hAnsi="Times New Roman" w:cs="Times New Roman" w:eastAsia="바탕"/>
          <w:b w:val="0"/>
          <w:i w:val="0"/>
          <w:sz w:val="22"/>
        </w:rPr>
        <w:t>·Chinn 변환·Hartung–Knapp·Higgins–Thompson–Spiegelhalter의 방법론 출처)은 투고 시 추가한다.</w:t>
      </w:r>
    </w:p>
    <w:p>
      <w:pPr>
        <w:spacing w:line="480" w:lineRule="auto" w:after="0" w:before="0"/>
        <w:ind w:firstLine="288"/>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line="480" w:lineRule="auto" w:after="0" w:before="0"/>
        <w:ind w:firstLine="288"/>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line="480" w:lineRule="auto" w:after="0" w:before="0"/>
        <w:ind w:firstLine="288"/>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line="480" w:lineRule="auto" w:after="0" w:before="0"/>
        <w:ind w:firstLine="288"/>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line="480" w:lineRule="auto" w:after="0" w:before="0"/>
        <w:ind w:firstLine="288"/>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line="480" w:lineRule="auto" w:after="0" w:before="0"/>
        <w:ind w:firstLine="288"/>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line="480" w:lineRule="auto" w:after="0" w:before="0"/>
        <w:ind w:firstLine="288"/>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line="480" w:lineRule="auto" w:after="0" w:before="0"/>
        <w:ind w:firstLine="288"/>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line="480" w:lineRule="auto" w:after="0" w:before="0"/>
        <w:ind w:firstLine="288"/>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line="480" w:lineRule="auto" w:after="0" w:before="0"/>
        <w:ind w:firstLine="288"/>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line="480" w:lineRule="auto" w:after="0" w:before="0"/>
        <w:ind w:firstLine="288"/>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https://doi.org/10.3389/fpsyg.2014.01361</w:t>
      </w:r>
    </w:p>
    <w:p>
      <w:pPr>
        <w:spacing w:line="480" w:lineRule="auto" w:after="0" w:before="0"/>
        <w:ind w:firstLine="288"/>
      </w:pPr>
      <w:r>
        <w:rPr>
          <w:rFonts w:ascii="Times New Roman" w:hAnsi="Times New Roman" w:cs="Times New Roman" w:eastAsia="바탕"/>
          <w:b w:val="0"/>
          <w:i w:val="0"/>
          <w:sz w:val="24"/>
        </w:rPr>
        <w:t xml:space="preserve">Franěk, M., Režný, L., Šefara, D., &amp; Cabal, J. (2018). Effect of Traffic Noise and Relaxations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line="480" w:lineRule="auto" w:after="0" w:before="0"/>
        <w:ind w:firstLine="288"/>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line="480" w:lineRule="auto" w:after="0" w:before="0"/>
        <w:ind w:firstLine="288"/>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line="480" w:lineRule="auto" w:after="0" w:before="0"/>
        <w:ind w:firstLine="288"/>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line="480" w:lineRule="auto" w:after="0" w:before="0"/>
        <w:ind w:firstLine="288"/>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line="480" w:lineRule="auto" w:after="0" w:before="0"/>
        <w:ind w:firstLine="288"/>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line="480" w:lineRule="auto" w:after="0" w:before="0"/>
        <w:ind w:firstLine="288"/>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line="480" w:lineRule="auto" w:after="0" w:before="0"/>
        <w:ind w:firstLine="288"/>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line="480" w:lineRule="auto" w:after="0" w:before="0"/>
        <w:ind w:firstLine="288"/>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line="480" w:lineRule="auto" w:after="0" w:before="0"/>
        <w:ind w:firstLine="288"/>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line="480" w:lineRule="auto" w:after="0" w:before="0"/>
        <w:ind w:firstLine="288"/>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line="480" w:lineRule="auto" w:after="0" w:before="0"/>
        <w:ind w:firstLine="288"/>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line="480" w:lineRule="auto" w:after="0" w:before="0"/>
        <w:ind w:firstLine="288"/>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line="480" w:lineRule="auto" w:after="0" w:before="0"/>
        <w:ind w:firstLine="288"/>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line="480" w:lineRule="auto" w:after="0" w:before="0"/>
        <w:ind w:firstLine="288"/>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line="480" w:lineRule="auto" w:after="0" w:before="0"/>
        <w:ind w:firstLine="288"/>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spacing w:line="360" w:lineRule="auto" w:after="120" w:before="320"/>
        <w:jc w:val="left"/>
      </w:pPr>
      <w:r>
        <w:rPr>
          <w:rFonts w:ascii="Times New Roman" w:hAnsi="Times New Roman" w:cs="Times New Roman" w:eastAsia="바탕"/>
          <w:b/>
          <w:i w:val="0"/>
          <w:sz w:val="24"/>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