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04443392" w14:textId="1259A832" w:rsidR="002610F5" w:rsidRPr="002610F5" w:rsidRDefault="00387A29" w:rsidP="002610F5">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002610F5" w:rsidRPr="002610F5">
        <w:rPr>
          <w:rFonts w:ascii="Times New Roman" w:eastAsiaTheme="minorEastAsia" w:hint="eastAsia"/>
          <w:color w:val="000000"/>
          <w:kern w:val="0"/>
          <w:sz w:val="24"/>
          <w:szCs w:val="20"/>
          <w:vertAlign w:val="superscript"/>
        </w:rPr>
        <w:t>1</w:t>
      </w:r>
      <w:r w:rsidR="002610F5">
        <w:rPr>
          <w:rFonts w:ascii="Times New Roman" w:eastAsia="맑은 고딕" w:hint="eastAsia"/>
          <w:color w:val="000000"/>
          <w:kern w:val="0"/>
          <w:sz w:val="24"/>
          <w:szCs w:val="20"/>
        </w:rPr>
        <w:t xml:space="preserve">, </w:t>
      </w:r>
      <w:r w:rsidR="002610F5" w:rsidRPr="002610F5">
        <w:rPr>
          <w:rFonts w:ascii="Times New Roman" w:eastAsia="맑은 고딕" w:hint="eastAsia"/>
          <w:color w:val="000000"/>
          <w:kern w:val="0"/>
          <w:sz w:val="24"/>
          <w:szCs w:val="20"/>
        </w:rPr>
        <w:t>Kyung-Tae Lee</w:t>
      </w:r>
      <w:r w:rsidR="002610F5" w:rsidRPr="002610F5">
        <w:rPr>
          <w:rFonts w:ascii="Times New Roman" w:eastAsia="맑은 고딕" w:hint="eastAsia"/>
          <w:color w:val="000000"/>
          <w:kern w:val="0"/>
          <w:sz w:val="24"/>
          <w:szCs w:val="20"/>
          <w:vertAlign w:val="superscript"/>
        </w:rPr>
        <w:t>2</w:t>
      </w:r>
      <w:r w:rsidR="002610F5" w:rsidRPr="00387A29">
        <w:rPr>
          <w:rFonts w:ascii="Times New Roman" w:eastAsia="맑은 고딕"/>
          <w:color w:val="000000"/>
          <w:kern w:val="0"/>
          <w:sz w:val="24"/>
          <w:szCs w:val="20"/>
        </w:rPr>
        <w:t>*</w:t>
      </w:r>
    </w:p>
    <w:p w14:paraId="13A3234F" w14:textId="6BF826F8" w:rsidR="00387A29" w:rsidRPr="008B3494" w:rsidRDefault="002610F5" w:rsidP="002610F5">
      <w:pPr>
        <w:widowControl/>
        <w:wordWrap/>
        <w:autoSpaceDE/>
        <w:autoSpaceDN/>
        <w:spacing w:line="360" w:lineRule="auto"/>
        <w:jc w:val="left"/>
        <w:rPr>
          <w:rFonts w:ascii="Times New Roman" w:eastAsiaTheme="minorEastAsia"/>
          <w:kern w:val="0"/>
          <w:sz w:val="24"/>
          <w:szCs w:val="22"/>
        </w:rPr>
      </w:pPr>
      <w:r w:rsidRPr="002610F5">
        <w:rPr>
          <w:rFonts w:ascii="Times New Roman" w:eastAsiaTheme="minorEastAsia" w:hint="eastAsia"/>
          <w:kern w:val="0"/>
          <w:sz w:val="24"/>
          <w:szCs w:val="22"/>
          <w:vertAlign w:val="superscript"/>
        </w:rPr>
        <w:t>1</w:t>
      </w:r>
      <w:r>
        <w:rPr>
          <w:rFonts w:ascii="Times New Roman" w:eastAsiaTheme="minorEastAsia" w:hint="eastAsia"/>
          <w:kern w:val="0"/>
          <w:sz w:val="24"/>
          <w:szCs w:val="22"/>
        </w:rPr>
        <w:t xml:space="preserve"> </w:t>
      </w:r>
      <w:r w:rsidR="00387A29" w:rsidRPr="00387A29">
        <w:rPr>
          <w:rFonts w:ascii="Times New Roman" w:eastAsia="MS Mincho"/>
          <w:kern w:val="0"/>
          <w:sz w:val="24"/>
          <w:szCs w:val="22"/>
          <w:lang w:eastAsia="en-US"/>
        </w:rPr>
        <w:t>Department of Architectural Engineering, Hanyang University, Seoul 04763, Korea</w:t>
      </w:r>
    </w:p>
    <w:p w14:paraId="748E36FB" w14:textId="00150AB2" w:rsidR="00387A29" w:rsidRDefault="002610F5" w:rsidP="002610F5">
      <w:pPr>
        <w:widowControl/>
        <w:wordWrap/>
        <w:autoSpaceDE/>
        <w:autoSpaceDN/>
        <w:spacing w:line="360" w:lineRule="auto"/>
        <w:jc w:val="left"/>
        <w:rPr>
          <w:rFonts w:ascii="Times New Roman" w:eastAsia="맑은 고딕"/>
          <w:color w:val="000000"/>
          <w:kern w:val="0"/>
          <w:sz w:val="24"/>
          <w:szCs w:val="20"/>
        </w:rPr>
      </w:pPr>
      <w:r w:rsidRPr="002610F5">
        <w:rPr>
          <w:rFonts w:ascii="Times New Roman" w:eastAsia="맑은 고딕" w:hint="eastAsia"/>
          <w:kern w:val="0"/>
          <w:sz w:val="24"/>
          <w:szCs w:val="22"/>
          <w:vertAlign w:val="superscript"/>
        </w:rPr>
        <w:t>2</w:t>
      </w:r>
      <w:r w:rsidRPr="002610F5">
        <w:rPr>
          <w:rFonts w:ascii="Times New Roman" w:eastAsia="맑은 고딕"/>
          <w:color w:val="000000"/>
          <w:kern w:val="0"/>
          <w:sz w:val="24"/>
          <w:szCs w:val="20"/>
        </w:rPr>
        <w:t xml:space="preserve"> </w:t>
      </w:r>
      <w:r w:rsidRPr="00387A29">
        <w:rPr>
          <w:rFonts w:ascii="Times New Roman" w:eastAsia="MS Mincho"/>
          <w:kern w:val="0"/>
          <w:sz w:val="24"/>
          <w:szCs w:val="22"/>
          <w:lang w:eastAsia="en-US"/>
        </w:rPr>
        <w:t>Department of Architectural Engineering</w:t>
      </w:r>
      <w:r w:rsidRPr="002610F5">
        <w:rPr>
          <w:rFonts w:ascii="Times New Roman" w:eastAsia="맑은 고딕"/>
          <w:color w:val="000000"/>
          <w:kern w:val="0"/>
          <w:sz w:val="24"/>
          <w:szCs w:val="20"/>
        </w:rPr>
        <w:t>, Kangwon National University,</w:t>
      </w:r>
      <w:r>
        <w:rPr>
          <w:rFonts w:ascii="Times New Roman" w:eastAsia="맑은 고딕" w:hint="eastAsia"/>
          <w:color w:val="000000"/>
          <w:kern w:val="0"/>
          <w:sz w:val="24"/>
          <w:szCs w:val="20"/>
        </w:rPr>
        <w:t xml:space="preserve"> </w:t>
      </w:r>
      <w:r w:rsidRPr="002610F5">
        <w:rPr>
          <w:rFonts w:ascii="Times New Roman" w:eastAsia="맑은 고딕"/>
          <w:color w:val="000000"/>
          <w:kern w:val="0"/>
          <w:sz w:val="24"/>
          <w:szCs w:val="20"/>
        </w:rPr>
        <w:t>Gangwon-do, 24341</w:t>
      </w:r>
      <w:r>
        <w:rPr>
          <w:rFonts w:ascii="Times New Roman" w:eastAsia="맑은 고딕" w:hint="eastAsia"/>
          <w:color w:val="000000"/>
          <w:kern w:val="0"/>
          <w:sz w:val="24"/>
          <w:szCs w:val="20"/>
        </w:rPr>
        <w:t>, Korea</w:t>
      </w:r>
    </w:p>
    <w:p w14:paraId="317761DA" w14:textId="77777777" w:rsidR="002610F5" w:rsidRPr="008B3494" w:rsidRDefault="002610F5" w:rsidP="002610F5">
      <w:pPr>
        <w:widowControl/>
        <w:wordWrap/>
        <w:autoSpaceDE/>
        <w:autoSpaceDN/>
        <w:spacing w:line="360" w:lineRule="auto"/>
        <w:jc w:val="left"/>
        <w:rPr>
          <w:rFonts w:ascii="Times New Roman" w:eastAsia="맑은 고딕"/>
          <w:color w:val="000000"/>
          <w:kern w:val="0"/>
          <w:sz w:val="24"/>
          <w:szCs w:val="20"/>
        </w:rPr>
      </w:pPr>
    </w:p>
    <w:p w14:paraId="3E90C27F" w14:textId="77777777" w:rsidR="00D812B4" w:rsidRPr="00D812B4" w:rsidRDefault="00D812B4" w:rsidP="002610F5">
      <w:pPr>
        <w:spacing w:line="360" w:lineRule="auto"/>
        <w:jc w:val="left"/>
        <w:rPr>
          <w:rFonts w:ascii="Times New Roman" w:eastAsiaTheme="minorEastAsia"/>
          <w:b/>
          <w:bCs/>
          <w:kern w:val="0"/>
          <w:sz w:val="24"/>
          <w:szCs w:val="22"/>
        </w:rPr>
      </w:pPr>
      <w:r w:rsidRPr="00D812B4">
        <w:rPr>
          <w:rFonts w:ascii="Times New Roman" w:eastAsia="MS Mincho"/>
          <w:b/>
          <w:bCs/>
          <w:kern w:val="0"/>
          <w:sz w:val="24"/>
          <w:szCs w:val="22"/>
          <w:lang w:eastAsia="en-US"/>
        </w:rPr>
        <w:t>[Corresponding author]</w:t>
      </w:r>
    </w:p>
    <w:p w14:paraId="4BCEB13A" w14:textId="0D85FDB9" w:rsidR="00387A29" w:rsidRPr="00387A29" w:rsidRDefault="00D812B4" w:rsidP="002610F5">
      <w:pPr>
        <w:spacing w:line="360" w:lineRule="auto"/>
        <w:jc w:val="left"/>
        <w:rPr>
          <w:rFonts w:ascii="Times New Roman" w:eastAsia="맑은 고딕"/>
          <w:sz w:val="24"/>
          <w:szCs w:val="22"/>
        </w:rPr>
      </w:pPr>
      <w:r w:rsidRPr="00BF1DC2">
        <w:rPr>
          <w:rFonts w:ascii="Times New Roman"/>
          <w:color w:val="000000" w:themeColor="text1"/>
          <w:sz w:val="24"/>
          <w:szCs w:val="20"/>
        </w:rPr>
        <w:t>*Send correspondence to:</w:t>
      </w:r>
      <w:r>
        <w:rPr>
          <w:rFonts w:ascii="Times New Roman" w:hint="eastAsia"/>
          <w:color w:val="000000" w:themeColor="text1"/>
          <w:sz w:val="24"/>
          <w:szCs w:val="20"/>
        </w:rPr>
        <w:t xml:space="preserve"> </w:t>
      </w:r>
      <w:r w:rsidR="002610F5" w:rsidRPr="002610F5">
        <w:rPr>
          <w:rFonts w:ascii="Times New Roman" w:eastAsia="맑은 고딕" w:hint="eastAsia"/>
          <w:color w:val="000000"/>
          <w:kern w:val="0"/>
          <w:sz w:val="24"/>
          <w:szCs w:val="20"/>
        </w:rPr>
        <w:t>Kyung-Tae Lee</w:t>
      </w:r>
      <w:r w:rsidR="00387A29" w:rsidRPr="00387A29">
        <w:rPr>
          <w:rFonts w:ascii="Times New Roman" w:eastAsia="맑은 고딕"/>
          <w:sz w:val="24"/>
          <w:szCs w:val="22"/>
        </w:rPr>
        <w:t xml:space="preserve"> (</w:t>
      </w:r>
      <w:r w:rsidR="002610F5">
        <w:rPr>
          <w:rFonts w:ascii="Times New Roman" w:eastAsia="맑은 고딕" w:hint="eastAsia"/>
          <w:sz w:val="24"/>
          <w:szCs w:val="22"/>
        </w:rPr>
        <w:t>ktlee@kangwon.ac.kr</w:t>
      </w:r>
      <w:r w:rsidR="00387A29" w:rsidRPr="00387A29">
        <w:rPr>
          <w:rFonts w:ascii="Times New Roman" w:eastAsia="맑은 고딕"/>
          <w:sz w:val="24"/>
          <w:szCs w:val="22"/>
        </w:rPr>
        <w:t>)</w:t>
      </w:r>
    </w:p>
    <w:p w14:paraId="4FEB0909" w14:textId="77777777" w:rsidR="00387A29" w:rsidRPr="00387A29" w:rsidRDefault="00387A29" w:rsidP="00D812B4">
      <w:pPr>
        <w:spacing w:line="360" w:lineRule="auto"/>
        <w:ind w:leftChars="1270" w:left="2540"/>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662633D6"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color w:val="000000"/>
          <w:kern w:val="0"/>
          <w:sz w:val="24"/>
          <w:szCs w:val="20"/>
        </w:rPr>
        <w:t>Kangwon National University</w:t>
      </w:r>
    </w:p>
    <w:p w14:paraId="05488F60" w14:textId="6D0245BD"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sz w:val="24"/>
          <w:szCs w:val="22"/>
        </w:rPr>
        <w:t xml:space="preserve">Gangwon-do, 24341, </w:t>
      </w:r>
      <w:r>
        <w:rPr>
          <w:rFonts w:ascii="Times New Roman" w:eastAsia="맑은 고딕" w:hint="eastAsia"/>
          <w:sz w:val="24"/>
          <w:szCs w:val="22"/>
        </w:rPr>
        <w:t>Republic of</w:t>
      </w:r>
      <w:r w:rsidR="005B3D7C">
        <w:rPr>
          <w:rFonts w:ascii="Times New Roman" w:eastAsia="맑은 고딕" w:hint="eastAsia"/>
          <w:sz w:val="24"/>
          <w:szCs w:val="22"/>
        </w:rPr>
        <w:t xml:space="preserve"> Korea</w:t>
      </w:r>
    </w:p>
    <w:p w14:paraId="6E04400D" w14:textId="77777777" w:rsidR="00387A29" w:rsidRPr="00387A29" w:rsidRDefault="00387A29" w:rsidP="005B3D7C">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identifies it as a leading cause of disease burden in European cities and estimates that more than one million healthy life-years are lost to traffic noise every year in western Europe alone [1,2]. The health effects go beyond annoyance. Night-time noise fragments sleep [3], chronic exposure raises the risk of hypertension and ischaemic heart disease through autonomic and endocrine stress pathways [4,5], and daytime exposure causes annoyance and impairs cognitive performance [6,7].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Managing noise, however, requires an answer to a basic question. The lever that sustainability policy actually holds is not the vehicle fleet itself but the volume and placement of travel and activity. How sensitively, then, does urban noise respond to that lever, to human activity and mobility? This responsiveness is the starting point for judging any mobility- or land-use-based noise policy, and it has rarely been quantified.</w:t>
      </w: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There are clear physical grounds for expecting such responsiveness. Road traffic is the dominant source of urban noise, and sound levels rise with traffic volume [17]. But policy acts on more than traffic counts; it acts on the whole of human activity and movement, and the relationship between citywide activity and noise has almost never been estimated as a causal slope. The obstacle is identification. In a normally functioning city, mobility does not vary exogenously. It is bound up with land use, time of day, day of week and weather, the same factors that drive noise. Simple correlations between observed mobility and noise are therefore confounded, and they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likewise reported changes in the sound environment during lockdowns. Air quality shifted at the same time, with sharp drops in nitrogen dioxide and carbon dioxide [30,31,32], evidence of how broadly confinement reshaped the urban environment. The pandemic itself has ended, but the episode retains a methodological value that ordinary urban conditions rarely supply: mobility moved in large, graded and reversible steps for reasons unrelated to the sound environment, so the noise response to mobility can be separated from the everyday factors that move both together.</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of them at once (Table 1), and none brings all four together in a dense East Asian city. This study addresses that gap.</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 xml:space="preserve">Two recent developments in urban data make the first three requirements attainable. The first is de-facto population estimated from mobile-network signals, which records where people actually are at a given moment, at fine spatial and temporal resolution, rather than where they reside [35,36,37,38,39]. The second is the low-cost acoustic sensor network. SONYC [40], low-cost monitoring devices [41], wireless acoustic sensor networks [42,43], </w:t>
      </w:r>
      <w:r>
        <w:rPr>
          <w:rFonts w:ascii="Times New Roman"/>
          <w:sz w:val="24"/>
        </w:rPr>
        <w:lastRenderedPageBreak/>
        <w:t>the participatory NoiseCapture platform [44] and smart-city sensing programmes [45,46] now sustain continuous observation of urban sound at hundreds to thousands of points. Korea's graded distancing, the citywide S-DoT noise network in Seoul (about 1,100 sensors) and dong-level de-facto population provide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Low-cost noise networks, however, carry a structural problem that the COVID noise literature has largely ignored: each sensor has its own calibration offset, and readings drift slowly with age and environmental exposure. The same problem is well documented for low-cost air-quality networks [47]. These devices are simply not calibrated to measure absolute sound pressure levels. Ignoring this and comparing absolute levels over time or across space produces spurious patterns or spurious conclusions, and this study demonstrates a concrete case. What remains is the fourth requirement: removing this contamination at the design stage of identification rather than at the stage of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 xml:space="preserve">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that identifies the slope only from within-sensor changes and from variation across dong within the same date, never from absolute levels, and we check the drift and resolution limits of the low-cost network against official monitoring stations. In doing so we extend the descriptive work on the spatiotemporal variation of Seoul's sound environment [16] towards quantitative, quasi-experimental estimation; the position of this study relative to prior work is summarised in the last row of Table 1. We ask three questions, and answering </w:t>
      </w:r>
      <w:r>
        <w:rPr>
          <w:rFonts w:ascii="Times New Roman"/>
          <w:sz w:val="24"/>
        </w:rPr>
        <w:lastRenderedPageBreak/>
        <w:t>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kern w:val="0"/>
          <w:sz w:val="24"/>
          <w:szCs w:val="22"/>
        </w:rPr>
      </w:pPr>
      <w:r>
        <w:rPr>
          <w:rFonts w:ascii="Times New Roman"/>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L</w:t>
      </w:r>
      <w:r>
        <w:rPr>
          <w:rFonts w:ascii="Times New Roman"/>
          <w:sz w:val="24"/>
          <w:vertAlign w:val="subscript"/>
        </w:rPr>
        <w:t>eq,24h</w:t>
      </w:r>
      <w:r>
        <w:rPr>
          <w:rFonts w:ascii="Times New Roman"/>
          <w:sz w:val="24"/>
        </w:rPr>
        <w:t>, the daytime L</w:t>
      </w:r>
      <w:r>
        <w:rPr>
          <w:rFonts w:ascii="Times New Roman"/>
          <w:sz w:val="24"/>
          <w:vertAlign w:val="subscript"/>
        </w:rPr>
        <w:t>day</w:t>
      </w:r>
      <w:r>
        <w:rPr>
          <w:rFonts w:ascii="Times New Roman"/>
          <w:sz w:val="24"/>
        </w:rPr>
        <w:t xml:space="preserve"> (06-21 h) and the night-time L</w:t>
      </w:r>
      <w:r>
        <w:rPr>
          <w:rFonts w:ascii="Times New Roman"/>
          <w:sz w:val="24"/>
          <w:vertAlign w:val="subscript"/>
        </w:rPr>
        <w:t>night</w:t>
      </w:r>
      <w:r>
        <w:rPr>
          <w:rFonts w:ascii="Times New Roman"/>
          <w:sz w:val="24"/>
        </w:rPr>
        <w:t xml:space="preserve"> (22-05 h) as 10·log10 of the mean of 10^(L/10), and retain only sensor-days with at least 12 observed hours and values in a physically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(the values carry no A-weighted L</w:t>
      </w:r>
      <w:r>
        <w:rPr>
          <w:rFonts w:ascii="Times New Roman"/>
          <w:sz w:val="24"/>
          <w:vertAlign w:val="subscript"/>
        </w:rPr>
        <w:t>Aeq</w:t>
      </w:r>
      <w:r>
        <w:rPr>
          <w:rFonts w:ascii="Times New Roman"/>
          <w:sz w:val="24"/>
        </w:rPr>
        <w:t xml:space="preserve"> label, and the microphone specification, the frequency and time weighting, and the rule aggregating 2-minute raw records into hourly values are not documented in the public specification), so absolute readings cannot be compared across sensors. Day and night windows follow the calendar date; L</w:t>
      </w:r>
      <w:r>
        <w:rPr>
          <w:rFonts w:ascii="Times New Roman"/>
          <w:sz w:val="24"/>
          <w:vertAlign w:val="subscript"/>
        </w:rPr>
        <w:t>night</w:t>
      </w:r>
      <w:r>
        <w:rPr>
          <w:rFonts w:ascii="Times New Roman"/>
          <w:sz w:val="24"/>
        </w:rPr>
        <w:t xml:space="preserve"> combines the 00-05 h and 22-23 h records of the same calendar day. We therefore use only within-sensor changes over time, and we check their reliability against the official calibrated L</w:t>
      </w:r>
      <w:r>
        <w:rPr>
          <w:rFonts w:ascii="Times New Roman"/>
          <w:sz w:val="24"/>
          <w:vertAlign w:val="subscript"/>
        </w:rPr>
        <w:t>Aeq</w:t>
      </w:r>
      <w:r>
        <w:rPr>
          <w:rFonts w:ascii="Times New Roman"/>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Mobility exposure is measured with Seoul's de-facto ('living') population: the number of people actually present in each dong at a given time, estimated from mobile-network signals rather than from residence records (Table 2). Aggregating the hourly stock to daily means </w:t>
      </w:r>
      <w:r>
        <w:rPr>
          <w:rFonts w:ascii="Times New Roman"/>
          <w:sz w:val="24"/>
        </w:rPr>
        <w:lastRenderedPageBreak/>
        <w:t>(daytime 06-21 h and night-time 22-05 h averages) yields 424 dong × 1,461 days = 619,464 dong-days with no missing values, of which the 421 dong hosting S-DoT sensors enter the analysis. One feature of these data shapes the dose definition.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so that it captures how far a dong departs from its own normal and is unaffected by level differences across dong or sensors. Two clarifications are in order. First, de-facto population is a stock of presence, not a flow of movement, so 'mobility' in this paper is an operational term for changes in activity presence. Second, the baseline period is 2022-07 to 2023-12, chosen to exclude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 xml:space="preserve">Sensor metadata contain street addresses but no administrative-neighbourhood name, so each sensor was assigned to a dong by point-in-polygon matching of its coordinates against public boundary data (the vuski/admdongkor GeoJSON, 2022-01 vintage). The de-facto population data and the boundary file use slightly different dong-code systems in a few reorganised areas of Gangbuk and Gangdong; these were reconciled by name matching. In the result, 1,165 of 1,170 sensors (99.6%) were assigned to a dong, and the assigned dong </w:t>
      </w:r>
      <w:r>
        <w:rPr>
          <w:rFonts w:ascii="Times New Roman"/>
          <w:sz w:val="24"/>
        </w:rPr>
        <w:lastRenderedPageBreak/>
        <w:t>agreed with the district recorded in the street address in 99.6% of cases. After the noise quality filters (at least 12 h per day, 20-95 dB)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two concrete enforceable components, the business closing hour and the private-gathering cap (Table 3). This index remains auxiliary; the primary exposure throughout is measured mobility (de-facto population). Weather comes from the Open-Meteo ERA5 daily reanalysis (temperature, precipitation, wind). The calendar controls entering M1 are weekend and Korean public-holiday indicators; day-of-week and season are available in the data, but under M2 the date fixed effects absorb all calendar effects, so separate terms are unnecessary.</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A low-cost S-DoT sensor is not precision-calibrated: presented with the same sound, each unit records a level that is systematically high or low by its own constant amount. Because this offset differs across sensors and is unknown, comparing absolute decibels between two sensors is meaningless. If we look only at how a sensor changes over time, however, for instance how today compares with that sensor's own average, the constant offset cancels in the subtraction. Every analysis in this paper therefore rests on within-sensor relative change rather than on absolute levels. Statistically this takes the form of a fixed-effects model: subtracting each sensor's mean removes its idiosyncratic offset (we use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Several auxiliary analyses sit on top of these two models. (M3) Segmented estimation: M2 is re-estimated by outcome (daytime, night-time, day-night gap), by activity type (commercial, mixed and residential terciles of each dong's daytime-to-night-time population ratio; Supplementary Fig. S3; the classification uses only post-lifting level information rather than the daily exposure variation, which limits circularity, and although it is in </w:t>
      </w:r>
      <w:r>
        <w:rPr>
          <w:rFonts w:ascii="Times New Roman"/>
          <w:sz w:val="24"/>
        </w:rPr>
        <w:lastRenderedPageBreak/>
        <w:t>substance an activity-profile grouping we call it 'land use' for brevity),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L</w:t>
      </w:r>
      <w:r>
        <w:rPr>
          <w:rFonts w:ascii="Times New Roman"/>
          <w:sz w:val="24"/>
          <w:vertAlign w:val="subscript"/>
        </w:rPr>
        <w:t>Aeq</w:t>
      </w:r>
      <w:r>
        <w:rPr>
          <w:rFonts w:ascii="Times New Roman"/>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to confirm that sensor-rich dong do not dominate; a quadratic term, to probe nonlinearity; and Benjamini-Hochberg FDR adjustment over the segmented tests of M3. Finally, all dong-level spatial analyses use outlier-robust statistics (Theil-Sen regression, Spearman rank correlation) and are restricted to dong with at least two sensors, so that no small set of extreme neighbourhoods drives the results. All computations use Python 3.13 (pandas, NumPy, SciPy, statsmodels); the two-way fixed effects are absorbed by iterated demeaning, and the robust estimators come from SciPy.</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Table 4 reports descriptive statistics. In the sensor fixed-effects model (M1, Table 5), a dong's daytime mobility and the daytime noise of its sensors move together (β=+1.130 dB per log-unit, SE 0.292, p&lt;0.001; standard errors are clustered at the dong level, where the dose is assigned).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(weather, trends, drift), shrinks the response: in the core model (M2, Table 5) the daytime slope is β=+0.648 dB per log-unit (95% CI 0.17-1.13, p=0.008) and the full-day slope is β=+0.628 (p=0.038). In concrete terms,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lastRenderedPageBreak/>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w:t>
      </w:r>
      <w:r>
        <w:rPr>
          <w:rFonts w:ascii="Times New Roman"/>
          <w:sz w:val="24"/>
        </w:rPr>
        <w:lastRenderedPageBreak/>
        <w:t>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which indicates that much of the apparent night-time response reflected time-varying confounding shared across the city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which also fits daytime and night-time noise moving together in similar measure with daytime activity. Individually detectable signals are thus confined to the daytime outcome, while the day-night difference itself remains statistically unresolved; Section 4.3 weighs three candidate explanations for the night-time null.</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How the exposure moved through time and space is central to the design (Fig. 4). The citywide total of de-facto population barely changes (staying home still counts as presence), but where that population sits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590F8DE7" wp14:editId="72C93CDE">
            <wp:extent cx="5521935" cy="5975287"/>
            <wp:effectExtent l="0" t="0" r="317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533202" cy="5987479"/>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same functional contrast is visible over time (Fig. 5, RQ3). Weekly daytime mobility in commercial dong stayed below baseline throughout the restriction era while residential 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Fig. 6; the groups are defined ex post from realised mobility and both series are normalised to the post-lifting window, so this is not a formal event study).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By contrast, the long-run spatial cross-section, which treats each dong as a single point and compares distancing-era averages, shows no robust association between mobility loss and noise change (Fig. 7). Across all analysable dong (those with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on the same dong leave almost nothing (Spearman ρ=+0.08, Theil-Sen slope near zero; Fig. 7c, detail in Supplementary Fig. S1). The mobility-noise signal, in other words,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Plotting each sensor's change from its own post-lifting norm (ΔL</w:t>
      </w:r>
      <w:r>
        <w:rPr>
          <w:rFonts w:ascii="Times New Roman"/>
          <w:sz w:val="24"/>
          <w:vertAlign w:val="subscript"/>
        </w:rPr>
        <w:t>day</w:t>
      </w:r>
      <w:r>
        <w:rPr>
          <w:rFonts w:ascii="Times New Roman"/>
          <w:sz w:val="24"/>
        </w:rPr>
        <w:t xml:space="preserve">) produces an apparent paradox: daytime noise during the strictest restrictions comes out higher than in the normal </w:t>
      </w:r>
      <w:r>
        <w:rPr>
          <w:rFonts w:ascii="Times New Roman"/>
          <w:sz w:val="24"/>
        </w:rPr>
        <w:lastRenderedPageBreak/>
        <w:t>period (+0.85 in the strictest phases versus -0.04 after lifting). The diagnosis is not a COVID effect but multi-year movement of absolute levels (Fig. 8a). Among the 842 sensors operating through all four years, the annual mean L</w:t>
      </w:r>
      <w:r>
        <w:rPr>
          <w:rFonts w:ascii="Times New Roman"/>
          <w:sz w:val="24"/>
          <w:vertAlign w:val="subscript"/>
        </w:rPr>
        <w:t>eq,24h</w:t>
      </w:r>
      <w:r>
        <w:rPr>
          <w:rFonts w:ascii="Times New Roman"/>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We checked this decline against the calibrated official environmental-noise network (the national noise information system). Absolute levels disagree substantially: near official stations, S-DoT reads on average 11.7 dB below the standard daytime L</w:t>
      </w:r>
      <w:r>
        <w:rPr>
          <w:rFonts w:ascii="Times New Roman"/>
          <w:sz w:val="24"/>
          <w:vertAlign w:val="subscript"/>
        </w:rPr>
        <w:t>Aeq</w:t>
      </w:r>
      <w:r>
        <w:rPr>
          <w:rFonts w:ascii="Times New Roman"/>
          <w:sz w:val="24"/>
        </w:rPr>
        <w:t>,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L</w:t>
      </w:r>
      <w:r>
        <w:rPr>
          <w:rFonts w:ascii="Times New Roman"/>
          <w:sz w:val="24"/>
          <w:vertAlign w:val="subscript"/>
        </w:rPr>
        <w:t>Aeq</w:t>
      </w:r>
      <w:r>
        <w:rPr>
          <w:rFonts w:ascii="Times New Roman"/>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matching the direction of our dose-response. The networks that can be trusted in multi-year absolute terms thus support the sign of our estimate; the series that moves the other way is the drift-contaminated S-DoT </w:t>
      </w:r>
      <w:r>
        <w:rPr>
          <w:rFonts w:ascii="Times New Roman"/>
          <w:sz w:val="24"/>
        </w:rPr>
        <w:lastRenderedPageBreak/>
        <w:t>trend. Above all, our dose-response is identified from same-day differences across dong, with date fixed effects absorbing all multi-year and seasonal variation, and makes no use of the S-DoT multi-year trend. This is precisely why the analysis relies on within-sensor change and same-day comparison (M2) instead of absolute or time-series contrasts.</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 xml:space="preserve">Five sensitivity checks establish that the headline estimate is not a mechanical artefact (Fig. 9, Table 7). First, reshuffling the dong-level dose across dong within each date (300 shuffles, applied identically to all sensors of a dong) yields placebo coefficients tightly distributed around zero (mean -0.001, SD 0.023); the actual estimate of +0.65 lies entirely outside that distribution (two-sided p=(B+1)/(N+1)=0.003). Because the date-by-date </w:t>
      </w:r>
      <w:r>
        <w:rPr>
          <w:rFonts w:ascii="Times New Roman"/>
          <w:sz w:val="24"/>
        </w:rPr>
        <w:lastRenderedPageBreak/>
        <w:t>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7FEB7E4C">
            <wp:extent cx="5160475" cy="7257132"/>
            <wp:effectExtent l="0" t="0" r="254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170728" cy="7271551"/>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18811B65" w14:textId="5A8C7A9B" w:rsidR="00FA4E52" w:rsidRPr="00084DA0" w:rsidRDefault="00000000" w:rsidP="00E76E2A">
      <w:pPr>
        <w:spacing w:line="48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L</w:t>
      </w:r>
      <w:r>
        <w:rPr>
          <w:rFonts w:ascii="Times New Roman"/>
          <w:sz w:val="24"/>
          <w:vertAlign w:val="subscript"/>
        </w:rPr>
        <w:t>eq,24h</w:t>
      </w:r>
      <w:r>
        <w:rPr>
          <w:rFonts w:ascii="Times New Roman"/>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w:t>
      </w:r>
      <w:r>
        <w:rPr>
          <w:rFonts w:ascii="Times New Roman"/>
          <w:sz w:val="24"/>
        </w:rPr>
        <w:lastRenderedPageBreak/>
        <w:t>vanishes in the long-run spatial cross-section. Fourth, the multi-year absolute levels of the low-cost network are contaminated by sensor drift and uneven recovery, so neither time-series nor absolute comparisons can be trusted; only designs built on within-sensor change and cross-neighbourhood comparison remain valid. The upward multi-year trend of the calibrated networks, which tracks recovering activity, independently supports the direction of the estimated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Our estimate stands in contrast to the several-decibel reductions reported for lockdowns [19,20,21,22,23,24]. Those studies mostly compare absolute noise at particular busy locations before and during confinement, an approach that readily generalises the extreme changes of the loudest, most-emptied spots to the whole city. Here the marginal association (the average noise change per unit change in mobility) is estimated across roughly 1,100 locations, from within-sensor changes, along the whole range of mobility, over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lastRenderedPageBreak/>
        <w:t>The two kinds of estimate answer different questions, so rather than comparing them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when date fixed effects are added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In perceptual terms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w:t>
      </w:r>
      <w:r>
        <w:rPr>
          <w:rFonts w:ascii="Times New Roman"/>
          <w:sz w:val="24"/>
        </w:rPr>
        <w:lastRenderedPageBreak/>
        <w:t>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deserves emphasis. It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Indeed the briefly positive correlation among commercial dong turned out to be an artefact of a few extreme neighbourhoods under Pearson correlation, and it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so a night-time response equal in size to the daytime one would go undetected in these data. A second is exposure variation. Because the practical instruments of distancing were closing hours and gathering caps, the relative variation of night-time presence across dong may be narrower than in the daytime, and a smaller dose variance estimates the same true slope less precisely. A third is measurement error. The daily quality filter imposes no minimum on within-window hours, so some L</w:t>
      </w:r>
      <w:r>
        <w:rPr>
          <w:rFonts w:ascii="Times New Roman"/>
          <w:sz w:val="24"/>
          <w:vertAlign w:val="subscript"/>
        </w:rPr>
        <w:t>night</w:t>
      </w:r>
      <w:r>
        <w:rPr>
          <w:rFonts w:ascii="Times New Roman"/>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w:t>
      </w:r>
      <w:r>
        <w:rPr>
          <w:rFonts w:ascii="Times New Roman"/>
          <w:sz w:val="24"/>
        </w:rPr>
        <w:lastRenderedPageBreak/>
        <w:t>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The methodological lessons matter as much as the estimates. Attempts to measure urban environmental effects with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and low-cost devices generally [41], and to policy uses of smart-city sensor data at large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Although the distancing era has passed, the graded mobility variation it produced remains a rare empirical benchmark for judging how future changes in urban activity, including travel-demand management, are likely to move neighbourhood noise. Whether these results generalise to Tokyo, Hong Kong, Singapore and other dense East Asian cities remains a hypothesis to be tested.</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this is why we read the estimate as a conditional association. Linking stop-level transit boardings to dong [35,37] would sharpen interpretation. (3) The exact effective dates in the stringency coding warrant further checking against KDCA source records. (4) Weather comes from reanalysis (ERA5) and could be replaced with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w:t>
      </w:r>
      <w:r>
        <w:rPr>
          <w:rFonts w:ascii="Times New Roman"/>
          <w:sz w:val="24"/>
        </w:rPr>
        <w:lastRenderedPageBreak/>
        <w:t>some L</w:t>
      </w:r>
      <w:r>
        <w:rPr>
          <w:rFonts w:ascii="Times New Roman"/>
          <w:sz w:val="24"/>
          <w:vertAlign w:val="subscript"/>
        </w:rPr>
        <w:t>night</w:t>
      </w:r>
      <w:r>
        <w:rPr>
          <w:rFonts w:ascii="Times New Roman"/>
          <w:sz w:val="24"/>
        </w:rPr>
        <w:t xml:space="preserve"> values rest on few hours; window-specific thresholds remain to be examined. (8) The analysis window opens with S-DoT provision (2020-04) and misses the strongest mobility shock, the first wave and the first intensive distancing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cross-neighbourhood comparison; in that strict sense they are conditional associations. They also read presence as activity and average over unobserved differences in sensor installation context. The signal vanishes in long-run spatial cross-sections, and the multi-year absolute levels of the low-cost network are corrupted by drift. For policy, the spatial redistribution of mobility alone is unlikely to deliver large noise reductions: even lockdown-scale reallocation moved neighbourhood noise by well under a decibel, and noise targets will require source- and propagation-stage interventions alongside mobility measures.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original draft, Writing, review &amp; editing, Visualization.</w:t>
      </w:r>
    </w:p>
    <w:p w14:paraId="2EF889F4" w14:textId="20EDCBE3" w:rsidR="00AC2AA8" w:rsidRDefault="00AC2AA8" w:rsidP="00A040D1">
      <w:pPr>
        <w:widowControl/>
        <w:wordWrap/>
        <w:autoSpaceDE/>
        <w:autoSpaceDN/>
        <w:spacing w:line="480" w:lineRule="auto"/>
        <w:ind w:firstLine="288"/>
        <w:rPr>
          <w:rFonts w:ascii="Times New Roman"/>
          <w:sz w:val="24"/>
        </w:rPr>
      </w:pPr>
      <w:r w:rsidRPr="002610F5">
        <w:rPr>
          <w:rFonts w:ascii="Times New Roman" w:eastAsia="맑은 고딕" w:hint="eastAsia"/>
          <w:color w:val="000000"/>
          <w:kern w:val="0"/>
          <w:sz w:val="24"/>
          <w:szCs w:val="20"/>
        </w:rPr>
        <w:t>Kyung-Tae Lee</w:t>
      </w:r>
      <w:r w:rsidRPr="00AC2AA8">
        <w:rPr>
          <w:rFonts w:ascii="Times New Roman" w:eastAsia="맑은 고딕" w:hint="eastAsia"/>
          <w:color w:val="000000"/>
          <w:kern w:val="0"/>
          <w:sz w:val="24"/>
          <w:szCs w:val="20"/>
        </w:rPr>
        <w:t>:</w:t>
      </w:r>
      <w:r>
        <w:rPr>
          <w:rFonts w:ascii="Times New Roman" w:eastAsia="맑은 고딕" w:hint="eastAsia"/>
          <w:color w:val="000000"/>
          <w:kern w:val="0"/>
          <w:sz w:val="24"/>
          <w:szCs w:val="20"/>
        </w:rPr>
        <w:t xml:space="preserve"> </w:t>
      </w:r>
      <w:r>
        <w:rPr>
          <w:rFonts w:ascii="Times New Roman"/>
          <w:sz w:val="24"/>
        </w:rPr>
        <w:t>Writing, review &amp; editing.</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authors declare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All raw data are public: S-DoT noise (Seoul Open Data Plaza OA-15969), de-facto population (OA-14991), subway ridership (OA-12921), the distancing implementation history (data.go.kr 15106451), weather (Open-Meteo ERA5), administrative boundaries (vuski/admdongkor), the four roadside L</w:t>
      </w:r>
      <w:r>
        <w:rPr>
          <w:rFonts w:ascii="Times New Roman"/>
          <w:sz w:val="24"/>
          <w:vertAlign w:val="subscript"/>
        </w:rPr>
        <w:t>Aeq</w:t>
      </w:r>
      <w:r>
        <w:rPr>
          <w:rFonts w:ascii="Times New Roman"/>
          <w:sz w:val="24"/>
        </w:rPr>
        <w:t xml:space="preserve"> stations (OA-15473) and the calibrated environmental-noise networks (noiseinfo.or.kr). The subway data are distributed under KOGL Type 3 (attribution, no modification). Analysis code will be made available at [repository TBD].</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w:t>
      </w:r>
      <w:r w:rsidRPr="00387A29">
        <w:rPr>
          <w:rFonts w:ascii="Times New Roman"/>
          <w:color w:val="000000"/>
          <w:sz w:val="24"/>
        </w:rPr>
        <w:lastRenderedPageBreak/>
        <w:t xml:space="preserve">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4EC1B" w14:textId="77777777" w:rsidR="00046F64" w:rsidRDefault="00046F64">
      <w:r>
        <w:separator/>
      </w:r>
    </w:p>
  </w:endnote>
  <w:endnote w:type="continuationSeparator" w:id="0">
    <w:p w14:paraId="730B9DFA" w14:textId="77777777" w:rsidR="00046F64" w:rsidRDefault="00046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496AD" w14:textId="77777777" w:rsidR="00046F64" w:rsidRDefault="00046F64">
      <w:r>
        <w:separator/>
      </w:r>
    </w:p>
  </w:footnote>
  <w:footnote w:type="continuationSeparator" w:id="0">
    <w:p w14:paraId="5770FE70" w14:textId="77777777" w:rsidR="00046F64" w:rsidRDefault="00046F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6F64"/>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5FDD"/>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0F5"/>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EEA"/>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2F9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D7C"/>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2B0"/>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94"/>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AA8"/>
    <w:rsid w:val="00AC2B99"/>
    <w:rsid w:val="00AC2F3F"/>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12B4"/>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DC1"/>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6C1D"/>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Unresolved Mention"/>
    <w:basedOn w:val="a0"/>
    <w:uiPriority w:val="99"/>
    <w:semiHidden/>
    <w:unhideWhenUsed/>
    <w:rsid w:val="0026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customXml/itemProps2.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Pages>
  <Words>11241</Words>
  <Characters>64080</Characters>
  <Application>Microsoft Office Word</Application>
  <DocSecurity>0</DocSecurity>
  <Lines>534</Lines>
  <Paragraphs>150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23</cp:revision>
  <cp:lastPrinted>2024-07-09T12:28:00Z</cp:lastPrinted>
  <dcterms:created xsi:type="dcterms:W3CDTF">2026-06-21T14:20:00Z</dcterms:created>
  <dcterms:modified xsi:type="dcterms:W3CDTF">2026-07-26T22:17:00Z</dcterms:modified>
</cp:coreProperties>
</file>