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C04E" w14:textId="77777777" w:rsidR="006439C1" w:rsidRDefault="00000000">
      <w:r>
        <w:rPr>
          <w:rFonts w:eastAsia="바탕" w:cs="Times New Roman"/>
          <w:b/>
          <w:sz w:val="28"/>
        </w:rPr>
        <w:t>Supplementary material</w:t>
      </w:r>
    </w:p>
    <w:p w14:paraId="00E4FF77" w14:textId="77777777" w:rsidR="006439C1" w:rsidRPr="0019551F" w:rsidRDefault="00000000" w:rsidP="0019551F">
      <w:pPr>
        <w:spacing w:line="360" w:lineRule="auto"/>
        <w:rPr>
          <w:sz w:val="28"/>
          <w:szCs w:val="28"/>
        </w:rPr>
      </w:pPr>
      <w:r w:rsidRPr="0019551F">
        <w:rPr>
          <w:rFonts w:eastAsia="바탕" w:cs="Times New Roman"/>
          <w:b/>
          <w:i w:val="0"/>
          <w:sz w:val="24"/>
          <w:szCs w:val="28"/>
        </w:rPr>
        <w:t>Supplementary Methods S1. Sensor-to-neighbourhood matching</w:t>
      </w:r>
    </w:p>
    <w:p w14:paraId="00E4FF77" w14:textId="77777777" w:rsidR="006439C1" w:rsidRPr="0019551F" w:rsidRDefault="00000000" w:rsidP="0019551F">
      <w:pPr>
        <w:spacing w:line="360" w:lineRule="auto"/>
        <w:rPr>
          <w:sz w:val="28"/>
          <w:szCs w:val="28"/>
        </w:rPr>
      </w:pPr>
      <w:r w:rsidRPr="0019551F">
        <w:rPr>
          <w:rFonts w:eastAsia="바탕" w:cs="Times New Roman"/>
          <w:b w:val="0"/>
          <w:i w:val="0"/>
          <w:sz w:val="24"/>
          <w:szCs w:val="28"/>
        </w:rPr>
        <w:t>Sensor metadata contain street addresses but no administrative-neighbourhood name. Each sensor was therefore assigned to a dong by point-in-polygon matching of its coordinates against public boundary data (the vuski/admdongkor GeoJSON, 2022-01 vintage). The de-facto population data and the boundary file use slightly different dong-code systems in a few reorganised areas of Gangbuk and Gangdong; these were reconciled by name matching. In the result, 1,165 of 1,170 sensors (99.6%) were assigned to a dong, and the assigned dong agreed with the district recorded in the street address in 99.6% of cases. Sensor-days then passed the noise quality filters (at least 12 observed hours per day, values within 20-95 dB) before the merge with daily mobility.</w:t>
      </w:r>
    </w:p>
    <w:p w14:paraId="06658D29" w14:textId="77777777" w:rsidR="006439C1" w:rsidRDefault="00000000">
      <w:pPr>
        <w:jc w:val="center"/>
      </w:pPr>
      <w:r>
        <w:rPr>
          <w:noProof/>
        </w:rPr>
        <w:drawing>
          <wp:inline distT="0" distB="0" distL="0" distR="0" wp14:anchorId="3DCC0D4C" wp14:editId="4B9B9430">
            <wp:extent cx="5368705" cy="476547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S1_landuse_detai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5554" cy="477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FF77" w14:textId="77777777" w:rsidR="006439C1" w:rsidRPr="0019551F" w:rsidRDefault="00000000" w:rsidP="0019551F">
      <w:pPr>
        <w:spacing w:line="360" w:lineRule="auto"/>
        <w:rPr>
          <w:sz w:val="28"/>
          <w:szCs w:val="28"/>
        </w:rPr>
      </w:pPr>
      <w:r w:rsidRPr="0019551F">
        <w:rPr>
          <w:rFonts w:eastAsia="바탕" w:cs="Times New Roman"/>
          <w:sz w:val="24"/>
          <w:szCs w:val="28"/>
        </w:rPr>
        <w:t>Supplementary Fig. S1. Commercial versus residential detail of the long-run spatial cross-section. (a, c) Drift-removed relative noise change for commercial and residential dongs (all classified dongs mapped). (b, d) Neighbourhood-level association between distancing-era mobility reduction and relative noise change (dongs with &gt;= 2 sensors): the commercial Pearson correlation (+0.38) collapses to rho = +0.08 under rank-based statistics, and residential dongs show no association either.</w:t>
      </w:r>
    </w:p>
    <w:p w14:paraId="04A6779A" w14:textId="77777777" w:rsidR="006439C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6D1891" wp14:editId="53545834">
            <wp:extent cx="5760720" cy="3091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S2_calibration_detai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F58A" w14:textId="77777777" w:rsidR="006439C1" w:rsidRPr="0019551F" w:rsidRDefault="00000000" w:rsidP="0019551F">
      <w:pPr>
        <w:spacing w:line="360" w:lineRule="auto"/>
        <w:rPr>
          <w:sz w:val="28"/>
          <w:szCs w:val="28"/>
        </w:rPr>
      </w:pPr>
      <w:r w:rsidRPr="0019551F">
        <w:rPr>
          <w:rFonts w:eastAsia="바탕" w:cs="Times New Roman"/>
          <w:sz w:val="24"/>
          <w:szCs w:val="28"/>
        </w:rPr>
        <w:t>Supplementary Fig. S2. Absolute-level validation detail. (a) Calibrated L</w:t>
      </w:r>
      <w:r w:rsidRPr="0019551F">
        <w:rPr>
          <w:rFonts w:eastAsia="바탕" w:cs="Times New Roman"/>
          <w:sz w:val="24"/>
          <w:szCs w:val="28"/>
          <w:vertAlign w:val="subscript"/>
        </w:rPr>
        <w:t>Aeq</w:t>
      </w:r>
      <w:r w:rsidRPr="0019551F">
        <w:rPr>
          <w:rFonts w:eastAsia="바탕" w:cs="Times New Roman"/>
          <w:sz w:val="24"/>
          <w:szCs w:val="28"/>
        </w:rPr>
        <w:t xml:space="preserve"> (2024 survey) versus nearby S-DoT L</w:t>
      </w:r>
      <w:r w:rsidRPr="0019551F">
        <w:rPr>
          <w:rFonts w:eastAsia="바탕" w:cs="Times New Roman"/>
          <w:sz w:val="24"/>
          <w:szCs w:val="28"/>
          <w:vertAlign w:val="subscript"/>
        </w:rPr>
        <w:t>day</w:t>
      </w:r>
      <w:r w:rsidRPr="0019551F">
        <w:rPr>
          <w:rFonts w:eastAsia="바탕" w:cs="Times New Roman"/>
          <w:sz w:val="24"/>
          <w:szCs w:val="28"/>
        </w:rPr>
        <w:t xml:space="preserve"> (2022): no cross-sectional correlation (r = -0.04), reflecting sensor-specific calibration offsets. (b) Distribution of the S-DoT minus calibrated L</w:t>
      </w:r>
      <w:r w:rsidRPr="0019551F">
        <w:rPr>
          <w:rFonts w:eastAsia="바탕" w:cs="Times New Roman"/>
          <w:sz w:val="24"/>
          <w:szCs w:val="28"/>
          <w:vertAlign w:val="subscript"/>
        </w:rPr>
        <w:t>Aeq</w:t>
      </w:r>
      <w:r w:rsidRPr="0019551F">
        <w:rPr>
          <w:rFonts w:eastAsia="바탕" w:cs="Times New Roman"/>
          <w:sz w:val="24"/>
          <w:szCs w:val="28"/>
        </w:rPr>
        <w:t xml:space="preserve"> offset (mean -11.7 dB; n = 60 pairs within 500 m).</w:t>
      </w:r>
    </w:p>
    <w:p w14:paraId="16A40A7B" w14:textId="77777777" w:rsidR="006439C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C8A186" wp14:editId="00F942B7">
            <wp:extent cx="4798336" cy="599846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S3_landuse_classific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8336" cy="599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D056" w14:textId="77777777" w:rsidR="006439C1" w:rsidRPr="0019551F" w:rsidRDefault="00000000" w:rsidP="0019551F">
      <w:pPr>
        <w:spacing w:line="360" w:lineRule="auto"/>
        <w:rPr>
          <w:sz w:val="28"/>
          <w:szCs w:val="28"/>
        </w:rPr>
      </w:pPr>
      <w:r w:rsidRPr="0019551F">
        <w:rPr>
          <w:rFonts w:eastAsia="바탕" w:cs="Times New Roman"/>
          <w:sz w:val="24"/>
          <w:szCs w:val="28"/>
        </w:rPr>
        <w:t>Supplementary Fig. S3. Neighbourhood activity-type classification. (a) Commercial / mixed / residential terciles of the post-lifting daytime/night-time de-facto population ratio. (b) Distribution of the ratio with tercile cuts (0.88 / 1.00).</w:t>
      </w:r>
    </w:p>
    <w:p w14:paraId="6E6F458C" w14:textId="77777777" w:rsidR="006439C1" w:rsidRDefault="006439C1"/>
    <w:sectPr w:rsidR="006439C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904527">
    <w:abstractNumId w:val="8"/>
  </w:num>
  <w:num w:numId="2" w16cid:durableId="350111776">
    <w:abstractNumId w:val="6"/>
  </w:num>
  <w:num w:numId="3" w16cid:durableId="70320579">
    <w:abstractNumId w:val="5"/>
  </w:num>
  <w:num w:numId="4" w16cid:durableId="1580215880">
    <w:abstractNumId w:val="4"/>
  </w:num>
  <w:num w:numId="5" w16cid:durableId="107051047">
    <w:abstractNumId w:val="7"/>
  </w:num>
  <w:num w:numId="6" w16cid:durableId="1778475845">
    <w:abstractNumId w:val="3"/>
  </w:num>
  <w:num w:numId="7" w16cid:durableId="836580545">
    <w:abstractNumId w:val="2"/>
  </w:num>
  <w:num w:numId="8" w16cid:durableId="45376992">
    <w:abstractNumId w:val="1"/>
  </w:num>
  <w:num w:numId="9" w16cid:durableId="22984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51F"/>
    <w:rsid w:val="001B01E0"/>
    <w:rsid w:val="0029639D"/>
    <w:rsid w:val="00326F90"/>
    <w:rsid w:val="006439C1"/>
    <w:rsid w:val="00AA1D8D"/>
    <w:rsid w:val="00B41CBF"/>
    <w:rsid w:val="00B47730"/>
    <w:rsid w:val="00CB0664"/>
    <w:rsid w:val="00CE69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91C24"/>
  <w14:defaultImageDpi w14:val="300"/>
  <w15:docId w15:val="{8A9660F4-E7C9-486E-9CF8-70A633C3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조현빈</cp:lastModifiedBy>
  <cp:revision>3</cp:revision>
  <dcterms:created xsi:type="dcterms:W3CDTF">2013-12-23T23:15:00Z</dcterms:created>
  <dcterms:modified xsi:type="dcterms:W3CDTF">2026-08-02T10:28:00Z</dcterms:modified>
  <cp:category/>
</cp:coreProperties>
</file>