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after="80" w:before="0"/>
      </w:pPr>
      <w:r>
        <w:rPr>
          <w:rFonts w:ascii="Times New Roman" w:hAnsi="Times New Roman" w:cs="Times New Roman" w:eastAsia="바탕"/>
          <w:b w:val="0"/>
          <w:i w:val="0"/>
          <w:sz w:val="24"/>
        </w:rPr>
        <w:t>Hyun In Jo¹*</w:t>
      </w:r>
    </w:p>
    <w:p>
      <w:pPr>
        <w:spacing w:after="80" w:before="0"/>
      </w:pPr>
      <w:r>
        <w:rPr>
          <w:rFonts w:ascii="Times New Roman" w:hAnsi="Times New Roman" w:cs="Times New Roman" w:eastAsia="바탕"/>
          <w:b w:val="0"/>
          <w:i w:val="0"/>
          <w:sz w:val="24"/>
        </w:rPr>
        <w:t>¹ Department of Architectural Engineering, Hanyang University, Seoul 04763, Korea</w:t>
      </w:r>
    </w:p>
    <w:p>
      <w:pPr>
        <w:spacing w:after="80" w:before="0"/>
      </w:pPr>
      <w:r>
        <w:rPr>
          <w:rFonts w:ascii="Times New Roman" w:hAnsi="Times New Roman" w:cs="Times New Roman" w:eastAsia="바탕"/>
          <w:b/>
          <w:i w:val="0"/>
          <w:sz w:val="24"/>
        </w:rPr>
        <w:t>[Corresponding author]</w:t>
      </w:r>
    </w:p>
    <w:p>
      <w:pPr>
        <w:spacing w:after="80" w:before="0"/>
      </w:pPr>
      <w:r>
        <w:rPr>
          <w:rFonts w:ascii="Times New Roman" w:hAnsi="Times New Roman" w:cs="Times New Roman" w:eastAsia="바탕"/>
          <w:b w:val="0"/>
          <w:i w:val="0"/>
          <w:sz w:val="24"/>
        </w:rPr>
        <w:t>*Send correspondence to: Hyun In Jo (best2012@hanyang.ac.kr)</w:t>
      </w:r>
    </w:p>
    <w:p>
      <w:pPr>
        <w:spacing w:after="80" w:before="0"/>
      </w:pPr>
      <w:r>
        <w:rPr>
          <w:rFonts w:ascii="Times New Roman" w:hAnsi="Times New Roman" w:cs="Times New Roman" w:eastAsia="바탕"/>
          <w:b w:val="0"/>
          <w:i w:val="0"/>
          <w:sz w:val="24"/>
        </w:rPr>
        <w:t>Department of Architectural Engineering</w:t>
      </w:r>
    </w:p>
    <w:p>
      <w:pPr>
        <w:spacing w:after="80" w:before="0"/>
      </w:pPr>
      <w:r>
        <w:rPr>
          <w:rFonts w:ascii="Times New Roman" w:hAnsi="Times New Roman" w:cs="Times New Roman" w:eastAsia="바탕"/>
          <w:b w:val="0"/>
          <w:i w:val="0"/>
          <w:sz w:val="24"/>
        </w:rPr>
        <w:t>Hanyang University</w:t>
      </w:r>
    </w:p>
    <w:p>
      <w:pPr>
        <w:spacing w:after="80" w:before="0"/>
      </w:pPr>
      <w:r>
        <w:rPr>
          <w:rFonts w:ascii="Times New Roman" w:hAnsi="Times New Roman" w:cs="Times New Roman" w:eastAsia="바탕"/>
          <w:b w:val="0"/>
          <w:i w:val="0"/>
          <w:sz w:val="24"/>
        </w:rPr>
        <w:t>222 Wangsimni-ro, Seongdong-gu</w:t>
      </w:r>
    </w:p>
    <w:p>
      <w:pPr>
        <w:spacing w:after="80" w:before="0"/>
      </w:pPr>
      <w:r>
        <w:rPr>
          <w:rFonts w:ascii="Times New Roman" w:hAnsi="Times New Roman" w:cs="Times New Roman" w:eastAsia="바탕"/>
          <w:b w:val="0"/>
          <w:i w:val="0"/>
          <w:sz w:val="24"/>
        </w:rPr>
        <w:t>Seoul 04763, Republic of Korea</w:t>
      </w:r>
    </w:p>
    <w:p>
      <w:pPr>
        <w:spacing w:after="80" w:before="0"/>
      </w:pPr>
      <w:r>
        <w:rPr>
          <w:rFonts w:ascii="Times New Roman" w:hAnsi="Times New Roman" w:cs="Times New Roman" w:eastAsia="바탕"/>
          <w:b/>
          <w:i w:val="0"/>
          <w:sz w:val="24"/>
        </w:rPr>
        <w:t>CRediT authorship contribution statement</w:t>
      </w:r>
    </w:p>
    <w:p>
      <w:pPr>
        <w:spacing w:after="80" w:before="0"/>
      </w:pPr>
      <w:r>
        <w:rPr>
          <w:rFonts w:ascii="Times New Roman" w:hAnsi="Times New Roman" w:cs="Times New Roman" w:eastAsia="바탕"/>
          <w:b w:val="0"/>
          <w:i w:val="0"/>
          <w:sz w:val="24"/>
        </w:rPr>
        <w:t>Hyun In Jo: Conceptualization, Methodology, Software, Formal analysis, Data curation, Writing, original draft, Writing, review &amp; editing, Visualization.</w:t>
      </w:r>
    </w:p>
    <w:p>
      <w:pPr>
        <w:spacing w:after="80" w:before="0"/>
      </w:pPr>
      <w:r>
        <w:rPr>
          <w:rFonts w:ascii="Times New Roman" w:hAnsi="Times New Roman" w:cs="Times New Roman" w:eastAsia="바탕"/>
          <w:b/>
          <w:i w:val="0"/>
          <w:sz w:val="24"/>
        </w:rPr>
        <w:t>Declaration of competing interest</w:t>
      </w:r>
    </w:p>
    <w:p>
      <w:pPr>
        <w:spacing w:after="80" w:before="0"/>
      </w:pPr>
      <w:r>
        <w:rPr>
          <w:rFonts w:ascii="Times New Roman" w:hAnsi="Times New Roman" w:cs="Times New Roman" w:eastAsia="바탕"/>
          <w:b w:val="0"/>
          <w:i w:val="0"/>
          <w:sz w:val="24"/>
        </w:rPr>
        <w:t>The authors declare no competing financial interests or personal relationships that could have appeared to influence the work reported in this paper.</w:t>
      </w:r>
    </w:p>
    <w:p>
      <w:pPr>
        <w:spacing w:after="80" w:before="0"/>
      </w:pPr>
      <w:r>
        <w:rPr>
          <w:rFonts w:ascii="Times New Roman" w:hAnsi="Times New Roman" w:cs="Times New Roman" w:eastAsia="바탕"/>
          <w:b/>
          <w:i w:val="0"/>
          <w:sz w:val="24"/>
        </w:rPr>
        <w:t>Funding</w:t>
      </w:r>
    </w:p>
    <w:p>
      <w:pPr>
        <w:spacing w:after="80" w:before="0"/>
      </w:pPr>
      <w:r>
        <w:rPr>
          <w:rFonts w:ascii="Times New Roman" w:hAnsi="Times New Roman" w:cs="Times New Roman" w:eastAsia="바탕"/>
          <w:b w:val="0"/>
          <w:i w:val="0"/>
          <w:sz w:val="24"/>
        </w:rPr>
        <w:t>This research received no specific grant from any funding agency in the public, commercial, or not-for-profit sectors.</w:t>
      </w:r>
    </w:p>
    <w:p>
      <w:pPr>
        <w:spacing w:after="80" w:before="0"/>
      </w:pPr>
      <w:r>
        <w:rPr>
          <w:rFonts w:ascii="Times New Roman" w:hAnsi="Times New Roman" w:cs="Times New Roman" w:eastAsia="바탕"/>
          <w:b/>
          <w:i w:val="0"/>
          <w:sz w:val="24"/>
        </w:rPr>
        <w:t>Ethics</w:t>
      </w:r>
    </w:p>
    <w:p>
      <w:pPr>
        <w:spacing w:after="80" w:before="0"/>
      </w:pPr>
      <w:r>
        <w:rPr>
          <w:rFonts w:ascii="Times New Roman" w:hAnsi="Times New Roman" w:cs="Times New Roman" w:eastAsia="바탕"/>
          <w:b w:val="0"/>
          <w:i w:val="0"/>
          <w:sz w:val="24"/>
        </w:rPr>
        <w:t>This study analysed only publicly available, aggregated and de-identified data and did not involve human participants directly; institutional review board approval was therefore not required.</w:t>
      </w:r>
    </w:p>
    <w:p>
      <w:pPr>
        <w:spacing w:after="80" w:before="0"/>
      </w:pPr>
      <w:r>
        <w:rPr>
          <w:rFonts w:ascii="Times New Roman" w:hAnsi="Times New Roman" w:cs="Times New Roman" w:eastAsia="바탕"/>
          <w:b/>
          <w:i w:val="0"/>
          <w:sz w:val="24"/>
        </w:rPr>
        <w:t>Data availability</w:t>
      </w:r>
    </w:p>
    <w:p>
      <w:pPr>
        <w:spacing w:after="80" w:before="0"/>
      </w:pPr>
      <w:r>
        <w:rPr>
          <w:rFonts w:ascii="Times New Roman" w:hAnsi="Times New Roman" w:cs="Times New Roman" w:eastAsia="바탕"/>
          <w:b w:val="0"/>
          <w:i w:val="0"/>
          <w:sz w:val="24"/>
        </w:rPr>
        <w:t>All review-level materials are openly available. The registered protocol is at osf.io/7ew8q. Extraction tables, verdict tables, item-level MMAT appraisals, meta-analytic input tables, sensitivity and supplementary analyses, the protocol deviation log, and complete lists of included and full-text-excluded reports are provided as Supplementary S1–S14. Full texts of included papers are under publisher copyright and are not redistributed; each is identified by its DOI.</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Soundscape research in urban open space has accumulated for over two decades around perceptual appraisal, yet its link to the outcome that planning actually manages, </w:t>
      </w:r>
      <w:r>
        <w:rPr>
          <w:rFonts w:ascii="Times New Roman" w:hAnsi="Times New Roman" w:cs="Times New Roman" w:eastAsia="바탕"/>
          <w:b/>
          <w:i w:val="0"/>
          <w:sz w:val="24"/>
        </w:rPr>
        <w:t>observable behaviour</w:t>
      </w:r>
      <w:r>
        <w:rPr>
          <w:rFonts w:ascii="Times New Roman" w:hAnsi="Times New Roman" w:cs="Times New Roman" w:eastAsia="바탕"/>
          <w:b w:val="0"/>
          <w:i w:val="0"/>
          <w:sz w:val="24"/>
        </w:rPr>
        <w:t>, has never been synthesised systematically. Under a pre-registered protocol (osf.io/7ew8q) we systematically reviewed and meta-analysed this relationship, treating as eligible both the forward pathway (sound changes behaviour) and the reverse pathway (activity shapes the acoustic environment). Searches of Web of Science, Scopus and PubMed (2 August 2026), citation tracking and a supplementary index yielded 98 included studies. Quality was appraised with MMAT 2018; effect sizes were pooled with Hartung–Knapp-adjusted REML random-effects models. All four behavioural clusters pointed in the predicted direction, but only two mean effects excluded zero, social interaction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 to +1.16) and the perception–behaviour correlation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 to +0.61), and </w:t>
      </w:r>
      <w:r>
        <w:rPr>
          <w:rFonts w:ascii="Times New Roman" w:hAnsi="Times New Roman" w:cs="Times New Roman" w:eastAsia="바탕"/>
          <w:b/>
          <w:i w:val="0"/>
          <w:sz w:val="24"/>
        </w:rPr>
        <w:t>the 95% prediction interval included zero in all four clusters.</w:t>
      </w:r>
      <w:r>
        <w:rPr>
          <w:rFonts w:ascii="Times New Roman" w:hAnsi="Times New Roman" w:cs="Times New Roman" w:eastAsia="바탕"/>
          <w:b w:val="0"/>
          <w:i w:val="0"/>
          <w:sz w:val="24"/>
        </w:rPr>
        <w:t xml:space="preserve"> The widely cited walking-speed effect rested entirely on low-quality studies, most of which manipulated headphone audio rather than the sound of the space. Of 187 directional records, 40% ran in reverse, and the two directions were nearly balanced for space use, activity and social behaviour. Three generations of behavioural measurement (self-report, systematic observation, sensing) accumulated rather than replaced one another. None of the ten planning levers derived from the corpus reached high confidence. The best-supported action is to control operational noise where interaction is intended; the field currently supplies hypotheses to verify through monitoring, not design standards.</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Landscape architecture and urban planning have long worked with what can be seen. Site plans and bird's-eye views, visual openness and enclosure, planting form and seasonal change make up the core of the design language. The observation that urban design leans towards the visible while sound goes largely unaddressed was made half a century ago [1]. Yet when a person actually sits in a square, what makes the place bearable, or makes them hurry away, is not only what enters the field of view. The lorry passing on the adjacent road, the low-frequency hum of an underground car-park vent, the music played by the shop across the street, and whether the voice of a companion can be heard: these define the character of the place. Sound cannot be avoided by looking elsewhere, cannot be fully screened by a wall, and usually surfaces as a problem only after the design is finished.</w:t>
      </w:r>
    </w:p>
    <w:p>
      <w:pPr>
        <w:spacing w:after="0" w:before="0"/>
        <w:ind w:firstLine="288"/>
      </w:pPr>
      <w:r>
        <w:rPr>
          <w:rFonts w:ascii="Times New Roman" w:hAnsi="Times New Roman" w:cs="Times New Roman" w:eastAsia="바탕"/>
          <w:b w:val="0"/>
          <w:i w:val="0"/>
          <w:sz w:val="24"/>
        </w:rPr>
        <w:t>The claim that the quality of public space should be judged by what people do is not new. Whyte [2] filmed small plazas in New York and recorded where people sat and where they stopped; Gehl [3] divided outdoor activity into necessary, optional and social activities and observed that optional and social activities grow as the quality of a space rises. In this tradition the unit by which a space succeeds or fails is observed behaviour, not a satisfaction score. But the environmental variables this tradition examined were largely visual and physical; sound was never confronted directly.</w:t>
      </w:r>
    </w:p>
    <w:p>
      <w:pPr>
        <w:spacing w:after="0" w:before="0"/>
        <w:ind w:firstLine="288"/>
      </w:pPr>
      <w:r>
        <w:rPr>
          <w:rFonts w:ascii="Times New Roman" w:hAnsi="Times New Roman" w:cs="Times New Roman" w:eastAsia="바탕"/>
          <w:b w:val="0"/>
          <w:i w:val="0"/>
          <w:sz w:val="24"/>
        </w:rPr>
        <w:t>This is not to say that planning practice has ignored sound; rather, the way sound has been handled is narrow. Environmental noise regulation is built around a single indicator, the equivalent sound level (LAeq), and zone-specific limit values, and its purpose is to contain health damage and complaints. The evidence behind this framework is ample: the dose–response relationship between traffic-noise exposure and annoyance has been quantified in large-scale syntheses [4], and it is established that noise disturbs sleep and raises cardiovascular risk [5]. The problem is that a separate set of questions falls outside the framework. A design question such as "what should this square sound like if people are to use it" is not answered by a limit value, because being below the limit and being well used are different things.</w:t>
      </w:r>
    </w:p>
    <w:p>
      <w:pPr>
        <w:spacing w:after="0" w:before="0"/>
        <w:ind w:firstLine="288"/>
      </w:pPr>
      <w:r>
        <w:rPr>
          <w:rFonts w:ascii="Times New Roman" w:hAnsi="Times New Roman" w:cs="Times New Roman" w:eastAsia="바탕"/>
          <w:b w:val="0"/>
          <w:i w:val="0"/>
          <w:sz w:val="24"/>
        </w:rPr>
        <w:t xml:space="preserve">The concept of the </w:t>
      </w:r>
      <w:r>
        <w:rPr>
          <w:rFonts w:ascii="Times New Roman" w:hAnsi="Times New Roman" w:cs="Times New Roman" w:eastAsia="바탕"/>
          <w:b/>
          <w:i w:val="0"/>
          <w:sz w:val="24"/>
        </w:rPr>
        <w:t>soundscape</w:t>
      </w:r>
      <w:r>
        <w:rPr>
          <w:rFonts w:ascii="Times New Roman" w:hAnsi="Times New Roman" w:cs="Times New Roman" w:eastAsia="바탕"/>
          <w:b w:val="0"/>
          <w:i w:val="0"/>
          <w:sz w:val="24"/>
        </w:rPr>
        <w:t xml:space="preserve"> starts precisely from this gap. As proposed by Schafer [6], it treats sound not as a physical quantity to be removed but as the whole sonic environment as people perceive and experience it in context. ISO 12913-1 [7] standardised the concept as the acoustic environment "as perceived or experienced and/or understood by a person or people, in context", settling the language of the field.</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What has accumulated in the two decades since standardisation is mainly knowledge about </w:t>
      </w:r>
      <w:r>
        <w:rPr>
          <w:rFonts w:ascii="Times New Roman" w:hAnsi="Times New Roman" w:cs="Times New Roman" w:eastAsia="바탕"/>
          <w:b/>
          <w:i w:val="0"/>
          <w:sz w:val="24"/>
        </w:rPr>
        <w:t>perception</w:t>
      </w:r>
      <w:r>
        <w:rPr>
          <w:rFonts w:ascii="Times New Roman" w:hAnsi="Times New Roman" w:cs="Times New Roman" w:eastAsia="바탕"/>
          <w:b w:val="0"/>
          <w:i w:val="0"/>
          <w:sz w:val="24"/>
        </w:rPr>
        <w:t>. Axelsson et al. [8] showed with principal component analysis that soundscape appraisal reduces to two axes, pleasantness and eventfulness, which became the descriptive language of the ISO 12913 series. Aletta et al. [9] organised the components of models that predict these appraisals, and Kang et al. [10] set the field's agenda with ten questions for soundscape research in the built environment. Recently, the association between landscape elements and soundscape perception has even been synthesised meta-analytically [11].</w:t>
      </w:r>
    </w:p>
    <w:p>
      <w:pPr>
        <w:spacing w:after="0" w:before="0"/>
        <w:ind w:firstLine="288"/>
      </w:pPr>
      <w:r>
        <w:rPr>
          <w:rFonts w:ascii="Times New Roman" w:hAnsi="Times New Roman" w:cs="Times New Roman" w:eastAsia="바탕"/>
          <w:b w:val="0"/>
          <w:i w:val="0"/>
          <w:sz w:val="24"/>
        </w:rPr>
        <w:t xml:space="preserve">This accumulation carries a marked skew: </w:t>
      </w:r>
      <w:r>
        <w:rPr>
          <w:rFonts w:ascii="Times New Roman" w:hAnsi="Times New Roman" w:cs="Times New Roman" w:eastAsia="바탕"/>
          <w:b/>
          <w:i w:val="0"/>
          <w:sz w:val="24"/>
        </w:rPr>
        <w:t>the outcome variable is overwhelmingly a rating scale.</w:t>
      </w:r>
      <w:r>
        <w:rPr>
          <w:rFonts w:ascii="Times New Roman" w:hAnsi="Times New Roman" w:cs="Times New Roman" w:eastAsia="바탕"/>
          <w:b w:val="0"/>
          <w:i w:val="0"/>
          <w:sz w:val="24"/>
        </w:rPr>
        <w:t xml:space="preserve"> Pleasantness, harmony, appropriateness, restorativeness, annoyance and preference are all values that people mark on questionnaires.</w:t>
      </w:r>
    </w:p>
    <w:p>
      <w:pPr>
        <w:spacing w:after="0" w:before="0"/>
        <w:ind w:firstLine="288"/>
      </w:pPr>
      <w:r>
        <w:rPr>
          <w:rFonts w:ascii="Times New Roman" w:hAnsi="Times New Roman" w:cs="Times New Roman" w:eastAsia="바탕"/>
          <w:b w:val="0"/>
          <w:i w:val="0"/>
          <w:sz w:val="24"/>
        </w:rPr>
        <w:t xml:space="preserve">Planning decisions are not made about those values. When deciding whether to build a square, where to place benches, which façade should carry the ventilation plant, or in which hours to permit outdoor performance, what is actually at stake is </w:t>
      </w:r>
      <w:r>
        <w:rPr>
          <w:rFonts w:ascii="Times New Roman" w:hAnsi="Times New Roman" w:cs="Times New Roman" w:eastAsia="바탕"/>
          <w:b/>
          <w:i w:val="0"/>
          <w:sz w:val="24"/>
        </w:rPr>
        <w:t>what people do</w:t>
      </w:r>
      <w:r>
        <w:rPr>
          <w:rFonts w:ascii="Times New Roman" w:hAnsi="Times New Roman" w:cs="Times New Roman" w:eastAsia="바탕"/>
          <w:b w:val="0"/>
          <w:i w:val="0"/>
          <w:sz w:val="24"/>
        </w:rPr>
        <w:t>. Is the space used? Do people stay, or pass through? Do they speak to strangers? The assumption that ratings and behaviour are connected is widely shared, but studies measuring the connection itself are far fewer, and they have never been synthesised systematically.</w:t>
      </w:r>
    </w:p>
    <w:p>
      <w:pPr>
        <w:spacing w:after="0" w:before="0"/>
        <w:ind w:firstLine="288"/>
      </w:pPr>
      <w:r>
        <w:rPr>
          <w:rFonts w:ascii="Times New Roman" w:hAnsi="Times New Roman" w:cs="Times New Roman" w:eastAsia="바탕"/>
          <w:b w:val="0"/>
          <w:i w:val="0"/>
          <w:sz w:val="24"/>
        </w:rPr>
        <w:t>This is the gap the present review addresses. Syntheses of perception already exist in numbers; a synthesis of behaviour does not. And the two cannot substitute for each other. A poorly rated sound does not necessarily drive people out of a space, and a sound rated no worse than average can still make conversation impossible and undo the social use of a place. The strength of the perception–behaviour link is a value to be measured, not assumed.</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There is a reason this synthesis has become possible now: </w:t>
      </w:r>
      <w:r>
        <w:rPr>
          <w:rFonts w:ascii="Times New Roman" w:hAnsi="Times New Roman" w:cs="Times New Roman" w:eastAsia="바탕"/>
          <w:b/>
          <w:i w:val="0"/>
          <w:sz w:val="24"/>
        </w:rPr>
        <w:t>71% of the eligible studies in this review appeared in 2020 or later</w:t>
      </w:r>
      <w:r>
        <w:rPr>
          <w:rFonts w:ascii="Times New Roman" w:hAnsi="Times New Roman" w:cs="Times New Roman" w:eastAsia="바탕"/>
          <w:b w:val="0"/>
          <w:i w:val="0"/>
          <w:sz w:val="24"/>
        </w:rPr>
        <w:t xml:space="preserve"> (70 of 98). Five years ago this review could not have been written.</w:t>
      </w:r>
    </w:p>
    <w:p>
      <w:pPr>
        <w:spacing w:after="0" w:before="0"/>
        <w:ind w:firstLine="288"/>
      </w:pPr>
      <w:r>
        <w:rPr>
          <w:rFonts w:ascii="Times New Roman" w:hAnsi="Times New Roman" w:cs="Times New Roman" w:eastAsia="바탕"/>
          <w:b w:val="0"/>
          <w:i w:val="0"/>
          <w:sz w:val="24"/>
        </w:rPr>
        <w:t>What changed is that the cost of observing behaviour fell sharply. Recording behaviour in outdoor space used to mean observers standing in the field entering head counts into a grid, or recruiting participants for surveys. Samples were small, observation windows short, and comparisons across seasons and weekdays practically impossible. Today GPS trajectories, smartphone location data, crowdsourced exercise logs, video analytics and wearable sensors do the same work at scales several orders of magnitude larger. This corpus includes studies covering 81,403 bicycle passages and 13,322 street segments.</w:t>
      </w:r>
    </w:p>
    <w:p>
      <w:pPr>
        <w:spacing w:after="0" w:before="0"/>
        <w:ind w:firstLine="288"/>
      </w:pPr>
      <w:r>
        <w:rPr>
          <w:rFonts w:ascii="Times New Roman" w:hAnsi="Times New Roman" w:cs="Times New Roman" w:eastAsia="바탕"/>
          <w:b w:val="0"/>
          <w:i w:val="0"/>
          <w:sz w:val="24"/>
        </w:rPr>
        <w:t>Measuring the acoustic environment became cheaper at the same time. Low-cost Internet-of-Things (IoT) noise-sensor networks, machine-learning models that estimate the acoustic environment from street-view imagery, and smartphone-based soundwalks have spread, making it feasible to record sound and behaviour in the same place at the same time. The surge of literature in the past five years is the product of both measurement costs falling together.</w:t>
      </w:r>
    </w:p>
    <w:p>
      <w:pPr>
        <w:spacing w:after="0" w:before="0"/>
        <w:ind w:firstLine="288"/>
      </w:pPr>
      <w:r>
        <w:rPr>
          <w:rFonts w:ascii="Times New Roman" w:hAnsi="Times New Roman" w:cs="Times New Roman" w:eastAsia="바탕"/>
          <w:b w:val="0"/>
          <w:i w:val="0"/>
          <w:sz w:val="24"/>
        </w:rPr>
        <w:t xml:space="preserve">The surge has a price. Much of the new work is observational big data, and observation yields correlation, not causation. As will be seen, </w:t>
      </w:r>
      <w:r>
        <w:rPr>
          <w:rFonts w:ascii="Times New Roman" w:hAnsi="Times New Roman" w:cs="Times New Roman" w:eastAsia="바탕"/>
          <w:b/>
          <w:i w:val="0"/>
          <w:sz w:val="24"/>
        </w:rPr>
        <w:t>only 19% of this corpus manipulated the acoustic environment in the field.</w:t>
      </w:r>
      <w:r>
        <w:rPr>
          <w:rFonts w:ascii="Times New Roman" w:hAnsi="Times New Roman" w:cs="Times New Roman" w:eastAsia="바탕"/>
          <w:b w:val="0"/>
          <w:i w:val="0"/>
          <w:sz w:val="24"/>
        </w:rPr>
        <w:t xml:space="preserve"> Data have multiplied; manipulation has not kept pace. That is the current state of the field.</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Reading the literature, we found a structure we had not expected. The dominant research frame casts sound as </w:t>
      </w:r>
      <w:r>
        <w:rPr>
          <w:rFonts w:ascii="Times New Roman" w:hAnsi="Times New Roman" w:cs="Times New Roman" w:eastAsia="바탕"/>
          <w:b/>
          <w:i w:val="0"/>
          <w:sz w:val="24"/>
        </w:rPr>
        <w:t>exposure</w:t>
      </w:r>
      <w:r>
        <w:rPr>
          <w:rFonts w:ascii="Times New Roman" w:hAnsi="Times New Roman" w:cs="Times New Roman" w:eastAsia="바탕"/>
          <w:b w:val="0"/>
          <w:i w:val="0"/>
          <w:sz w:val="24"/>
        </w:rPr>
        <w:t xml:space="preserve"> and behaviour as </w:t>
      </w:r>
      <w:r>
        <w:rPr>
          <w:rFonts w:ascii="Times New Roman" w:hAnsi="Times New Roman" w:cs="Times New Roman" w:eastAsia="바탕"/>
          <w:b/>
          <w:i w:val="0"/>
          <w:sz w:val="24"/>
        </w:rPr>
        <w:t>outcome</w:t>
      </w:r>
      <w:r>
        <w:rPr>
          <w:rFonts w:ascii="Times New Roman" w:hAnsi="Times New Roman" w:cs="Times New Roman" w:eastAsia="바탕"/>
          <w:b w:val="0"/>
          <w:i w:val="0"/>
          <w:sz w:val="24"/>
        </w:rPr>
        <w:t xml:space="preserve">: how does noise move people? Yet of the 187 directional records extracted from this corpus, </w:t>
      </w:r>
      <w:r>
        <w:rPr>
          <w:rFonts w:ascii="Times New Roman" w:hAnsi="Times New Roman" w:cs="Times New Roman" w:eastAsia="바탕"/>
          <w:b/>
          <w:i w:val="0"/>
          <w:sz w:val="24"/>
        </w:rPr>
        <w:t>74, that is 40%, run the other way.</w:t>
      </w:r>
    </w:p>
    <w:p>
      <w:pPr>
        <w:spacing w:after="0" w:before="0"/>
        <w:ind w:firstLine="288"/>
      </w:pPr>
      <w:r>
        <w:rPr>
          <w:rFonts w:ascii="Times New Roman" w:hAnsi="Times New Roman" w:cs="Times New Roman" w:eastAsia="바탕"/>
          <w:b w:val="0"/>
          <w:i w:val="0"/>
          <w:sz w:val="24"/>
        </w:rPr>
        <w:t>Reverse-direction studies ask questions such as these. How much does sound pressure rise as crowd density grows? How does a dance gathering in a square change the acoustic environment of the adjacent housing? Do people alone and people with companions notice the same sounds differently? How should an open-air market be laid out to reduce the noise it generates? These studies treat the soundscape as the outcome and human activity as the cause.</w:t>
      </w:r>
    </w:p>
    <w:p>
      <w:pPr>
        <w:spacing w:after="0" w:before="0"/>
        <w:ind w:firstLine="288"/>
      </w:pPr>
      <w:r>
        <w:rPr>
          <w:rFonts w:ascii="Times New Roman" w:hAnsi="Times New Roman" w:cs="Times New Roman" w:eastAsia="바탕"/>
          <w:b w:val="0"/>
          <w:i w:val="0"/>
          <w:sz w:val="24"/>
        </w:rPr>
        <w:t xml:space="preserve">More important, the reverse pathway is not evenly distributed. Behaviours that are easy to manipulate experimentally, such as movement and staying, are dominated by forward designs. For </w:t>
      </w:r>
      <w:r>
        <w:rPr>
          <w:rFonts w:ascii="Times New Roman" w:hAnsi="Times New Roman" w:cs="Times New Roman" w:eastAsia="바탕"/>
          <w:b/>
          <w:i w:val="0"/>
          <w:sz w:val="24"/>
        </w:rPr>
        <w:t>space use, activity and social behaviour the two directions are nearly balanced.</w:t>
      </w:r>
      <w:r>
        <w:rPr>
          <w:rFonts w:ascii="Times New Roman" w:hAnsi="Times New Roman" w:cs="Times New Roman" w:eastAsia="바탕"/>
          <w:b w:val="0"/>
          <w:i w:val="0"/>
          <w:sz w:val="24"/>
        </w:rPr>
        <w:t xml:space="preserve"> The more collective and sustained the behaviour, the more researchers have measured how it produces the acoustic environment.</w:t>
      </w:r>
    </w:p>
    <w:p>
      <w:pPr>
        <w:spacing w:after="0" w:before="0"/>
        <w:ind w:firstLine="288"/>
      </w:pPr>
      <w:r>
        <w:rPr>
          <w:rFonts w:ascii="Times New Roman" w:hAnsi="Times New Roman" w:cs="Times New Roman" w:eastAsia="바탕"/>
          <w:b w:val="0"/>
          <w:i w:val="0"/>
          <w:sz w:val="24"/>
        </w:rPr>
        <w:t>This structure speaks directly to planning practice. What designers control is not only sources of noise: deciding which activities a space will hold is itself deciding what the space will sound like. Where benches are clustered, on which side the playground sits, on which days outdoor performance is permitted; these are acoustic design. A frame that treats sound only as exposure therefore places roughly half of what this literature has measured out of view from the start. This is why the present review sets out from a bidirectional framing.</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Adjacent syntheses exist, but none covers the scope of this review.</w:t>
      </w:r>
    </w:p>
    <w:p>
      <w:pPr>
        <w:spacing w:after="0" w:before="0"/>
        <w:ind w:firstLine="288"/>
      </w:pPr>
      <w:r>
        <w:rPr>
          <w:rFonts w:ascii="Times New Roman" w:hAnsi="Times New Roman" w:cs="Times New Roman" w:eastAsia="바탕"/>
          <w:b w:val="0"/>
          <w:i w:val="0"/>
          <w:sz w:val="24"/>
        </w:rPr>
        <w:t>The closest is the review by Wang et al. [12], a systematic review of how urban soundscapes affect physical activity. It stands in the same direction as ours in treating sound and behaviour together, but the single behaviour it covers makes it a subset of the present review; movement, staying, space use and social interaction lie outside its scope.</w:t>
      </w:r>
    </w:p>
    <w:p>
      <w:pPr>
        <w:spacing w:after="0" w:before="0"/>
        <w:ind w:firstLine="288"/>
      </w:pPr>
      <w:r>
        <w:rPr>
          <w:rFonts w:ascii="Times New Roman" w:hAnsi="Times New Roman" w:cs="Times New Roman" w:eastAsia="바탕"/>
          <w:b w:val="0"/>
          <w:i w:val="0"/>
          <w:sz w:val="24"/>
        </w:rPr>
        <w:t>Zhang et al. [11] meta-analysed the association between landscape elements and soundscape perception. That is the link immediately upstream of ours: it quantifies the connection from landscape to perception, whereas this review addresses the next link, from perception and exposure to behaviour. Placed end to end, the two syntheses connect the chain from landscape through perception to behaviour quantitatively for the first time.</w:t>
      </w:r>
    </w:p>
    <w:p>
      <w:pPr>
        <w:spacing w:after="0" w:before="0"/>
        <w:ind w:firstLine="288"/>
      </w:pPr>
      <w:r>
        <w:rPr>
          <w:rFonts w:ascii="Times New Roman" w:hAnsi="Times New Roman" w:cs="Times New Roman" w:eastAsia="바탕"/>
          <w:b w:val="0"/>
          <w:i w:val="0"/>
          <w:sz w:val="24"/>
        </w:rPr>
        <w:t>Buxton et al. [13] synthesised the effects of natural sounds, but on national-park data, with a focus on health benefits, and with psychological outcomes such as stress reduction and improved affect. Observed behaviour in urban open space is not covered.</w:t>
      </w:r>
    </w:p>
    <w:p>
      <w:pPr>
        <w:spacing w:after="0" w:before="0"/>
        <w:ind w:firstLine="288"/>
      </w:pPr>
      <w:r>
        <w:rPr>
          <w:rFonts w:ascii="Times New Roman" w:hAnsi="Times New Roman" w:cs="Times New Roman" w:eastAsia="바탕"/>
          <w:b w:val="0"/>
          <w:i w:val="0"/>
          <w:sz w:val="24"/>
        </w:rPr>
        <w:t xml:space="preserve">The present review also adds an axis absent from prior syntheses: </w:t>
      </w:r>
      <w:r>
        <w:rPr>
          <w:rFonts w:ascii="Times New Roman" w:hAnsi="Times New Roman" w:cs="Times New Roman" w:eastAsia="바탕"/>
          <w:b/>
          <w:i w:val="0"/>
          <w:sz w:val="24"/>
        </w:rPr>
        <w:t>how behaviour itself has been measured.</w:t>
      </w:r>
      <w:r>
        <w:rPr>
          <w:rFonts w:ascii="Times New Roman" w:hAnsi="Times New Roman" w:cs="Times New Roman" w:eastAsia="바탕"/>
          <w:b w:val="0"/>
          <w:i w:val="0"/>
          <w:sz w:val="24"/>
        </w:rPr>
        <w:t xml:space="preserve"> We coded three generations of behavioural measurement (self-report, systematic observation, and sensing and trajectories) and tracked them over time. This is not methodological bookkeeping; it bears directly on interpretation, because an association measured only by self-report cannot be read with the same weight as one measured on observed behaviour, and the high heterogeneity of our correlational cluster very likely contains this factor.</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Against this background we posed four questions.</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What is the size and direction of the association between the acoustic environment and observable behaviour in urban open space, and does it differ by behavioural domain?</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How much of the evidence runs in reverse (from behaviour to soundscape), and in which domains?</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How has behavioural measurement changed, and does new instrumentation replace older methods or accumulate on them?</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What can landscape and urban planning actually prescribe on this evidence, and with what confidence?</w:t>
      </w:r>
    </w:p>
    <w:p>
      <w:pPr>
        <w:spacing w:after="0" w:before="0"/>
        <w:ind w:firstLine="288"/>
      </w:pPr>
      <w:r>
        <w:rPr>
          <w:rFonts w:ascii="Times New Roman" w:hAnsi="Times New Roman" w:cs="Times New Roman" w:eastAsia="바탕"/>
          <w:b w:val="0"/>
          <w:i w:val="0"/>
          <w:sz w:val="24"/>
        </w:rPr>
        <w:t>The first three questions describe the literature; the last translates that description into the language of practice. In answering it we held to the principle that the strength of a prescription must not exceed the strength of its evidence. As will be seen, the result is modest.</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This review was pre-registered with OSF Registries (osf.io/7ew8q) on the Generalized Systematic Review Registration template before screening began, and reporting follows the PRISMA 2020 statement [14]. Every departure from the registered protocol is recorded in Supplementary S1 and summarised in §2.7, </w:t>
      </w:r>
      <w:r>
        <w:rPr>
          <w:rFonts w:ascii="Times New Roman" w:hAnsi="Times New Roman" w:cs="Times New Roman" w:eastAsia="바탕"/>
          <w:b/>
          <w:i w:val="0"/>
          <w:sz w:val="24"/>
        </w:rPr>
        <w:t>including those that changed results.</w:t>
      </w:r>
      <w:r>
        <w:rPr>
          <w:rFonts w:ascii="Times New Roman" w:hAnsi="Times New Roman" w:cs="Times New Roman" w:eastAsia="바탕"/>
          <w:b w:val="0"/>
          <w:i w:val="0"/>
          <w:sz w:val="24"/>
        </w:rPr>
        <w:t xml:space="preserve"> Analysis rules (the effect-size metric, contrast frames, the handling of multiple effects within one paper, pseudoreplication) were fixed in a separate document </w:t>
      </w:r>
      <w:r>
        <w:rPr>
          <w:rFonts w:ascii="Times New Roman" w:hAnsi="Times New Roman" w:cs="Times New Roman" w:eastAsia="바탕"/>
          <w:b/>
          <w:i w:val="0"/>
          <w:sz w:val="24"/>
        </w:rPr>
        <w:t>before any effect size was computed</w:t>
      </w:r>
      <w:r>
        <w:rPr>
          <w:rFonts w:ascii="Times New Roman" w:hAnsi="Times New Roman" w:cs="Times New Roman" w:eastAsia="바탕"/>
          <w:b w:val="0"/>
          <w:i w:val="0"/>
          <w:sz w:val="24"/>
        </w:rPr>
        <w:t xml:space="preserve"> (Supplementary S2). The reason for keeping that order is simple: rules set after seeing results follow the results.</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Eligibility required all five of the following criteria.</w:t>
      </w:r>
    </w:p>
    <w:p>
      <w:pPr>
        <w:spacing w:after="0" w:before="0"/>
        <w:ind w:firstLine="288"/>
      </w:pPr>
      <w:r>
        <w:rPr>
          <w:rFonts w:ascii="Times New Roman" w:hAnsi="Times New Roman" w:cs="Times New Roman" w:eastAsia="바탕"/>
          <w:b w:val="0"/>
          <w:i w:val="0"/>
          <w:sz w:val="24"/>
        </w:rPr>
        <w:t>The subjects are humans. Animal behaviour research was excluded, including soundscape ecology; that field shares our terminology while studying entirely different subjects, entered the search results in bulk, and became the single largest exclusion reason in the database branch.</w:t>
      </w:r>
    </w:p>
    <w:p>
      <w:pPr>
        <w:spacing w:after="0" w:before="0"/>
        <w:ind w:firstLine="288"/>
      </w:pPr>
      <w:r>
        <w:rPr>
          <w:rFonts w:ascii="Times New Roman" w:hAnsi="Times New Roman" w:cs="Times New Roman" w:eastAsia="바탕"/>
          <w:b w:val="0"/>
          <w:i w:val="0"/>
          <w:sz w:val="24"/>
        </w:rPr>
        <w:t>The setting is outdoor or semi-outdoor urban and landscape public space: parks, streets, squares, waterfronts, outdoor campuses, residential open space and recreation areas. Laboratory and virtual-reality studies were eligible only where the stimulus reproduced an outdoor scene; these entered the main analysis, with a parallel sensitivity analysis excluding them. Indoor, in-vehicle, hospital and workplace settings were excluded.</w:t>
      </w:r>
    </w:p>
    <w:p>
      <w:pPr>
        <w:spacing w:after="0" w:before="0"/>
        <w:ind w:firstLine="288"/>
      </w:pPr>
      <w:r>
        <w:rPr>
          <w:rFonts w:ascii="Times New Roman" w:hAnsi="Times New Roman" w:cs="Times New Roman" w:eastAsia="바탕"/>
          <w:b w:val="0"/>
          <w:i w:val="0"/>
          <w:sz w:val="24"/>
        </w:rPr>
        <w:t xml:space="preserve">The exposure is the acoustic environment: noise, natural sound, music, or the soundscape as a composite. For the reasons given in §1.4, </w:t>
      </w:r>
      <w:r>
        <w:rPr>
          <w:rFonts w:ascii="Times New Roman" w:hAnsi="Times New Roman" w:cs="Times New Roman" w:eastAsia="바탕"/>
          <w:b/>
          <w:i w:val="0"/>
          <w:sz w:val="24"/>
        </w:rPr>
        <w:t>the reverse pathway, in which behaviour and activity shape the acoustic environment, was also defined as eligible.</w:t>
      </w:r>
      <w:r>
        <w:rPr>
          <w:rFonts w:ascii="Times New Roman" w:hAnsi="Times New Roman" w:cs="Times New Roman" w:eastAsia="바탕"/>
          <w:b w:val="0"/>
          <w:i w:val="0"/>
          <w:sz w:val="24"/>
        </w:rPr>
        <w:t xml:space="preserve"> This decision was made at registration; it was not introduced afterwards to enlarge the corpus.</w:t>
      </w:r>
    </w:p>
    <w:p>
      <w:pPr>
        <w:spacing w:after="0" w:before="0"/>
        <w:ind w:firstLine="288"/>
      </w:pPr>
      <w:r>
        <w:rPr>
          <w:rFonts w:ascii="Times New Roman" w:hAnsi="Times New Roman" w:cs="Times New Roman" w:eastAsia="바탕"/>
          <w:b w:val="0"/>
          <w:i w:val="0"/>
          <w:sz w:val="24"/>
        </w:rPr>
        <w:t xml:space="preserve">The outcome must be </w:t>
      </w:r>
      <w:r>
        <w:rPr>
          <w:rFonts w:ascii="Times New Roman" w:hAnsi="Times New Roman" w:cs="Times New Roman" w:eastAsia="바탕"/>
          <w:b/>
          <w:i w:val="0"/>
          <w:sz w:val="24"/>
        </w:rPr>
        <w:t>observable behaviour</w:t>
      </w:r>
      <w:r>
        <w:rPr>
          <w:rFonts w:ascii="Times New Roman" w:hAnsi="Times New Roman" w:cs="Times New Roman" w:eastAsia="바탕"/>
          <w:b w:val="0"/>
          <w:i w:val="0"/>
          <w:sz w:val="24"/>
        </w:rPr>
        <w:t xml:space="preserve">: movement (walking speed, route, crossing), staying (dwell time, sitting), space use (visitation, occupancy), social interaction, and physical activity and leisure, with self-reported behaviour also accepted. Studies reporting only perception, preference, annoyance, restorativeness or physiological response were excluded. Studies whose only behavioural outcome is a stated </w:t>
      </w:r>
      <w:r>
        <w:rPr>
          <w:rFonts w:ascii="Times New Roman" w:hAnsi="Times New Roman" w:cs="Times New Roman" w:eastAsia="바탕"/>
          <w:b w:val="0"/>
          <w:i/>
          <w:sz w:val="24"/>
        </w:rPr>
        <w:t>intention</w:t>
      </w:r>
      <w:r>
        <w:rPr>
          <w:rFonts w:ascii="Times New Roman" w:hAnsi="Times New Roman" w:cs="Times New Roman" w:eastAsia="바탕"/>
          <w:b w:val="0"/>
          <w:i w:val="0"/>
          <w:sz w:val="24"/>
        </w:rPr>
        <w:t>, for example a single item asking "would you revisit this park", were not excluded but set aside for sensitivity analysis.</w:t>
      </w:r>
    </w:p>
    <w:p>
      <w:pPr>
        <w:spacing w:after="0" w:before="0"/>
        <w:ind w:firstLine="288"/>
      </w:pPr>
      <w:r>
        <w:rPr>
          <w:rFonts w:ascii="Times New Roman" w:hAnsi="Times New Roman" w:cs="Times New Roman" w:eastAsia="바탕"/>
          <w:b w:val="0"/>
          <w:i w:val="0"/>
          <w:sz w:val="24"/>
        </w:rPr>
        <w:t>Designs were restricted to empirical, peer-reviewed journal articles published in English. This restriction, together with the exclusion of the Chinese-language literature, was fixed at registration; because it bears directly on interpretation it is taken up again in Limitations.</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Web of Science Core Collection, Scopus and PubMed were searched on 2 August 2026. The search string combined three concept blocks with AND: acoustic environment, behaviour, and urban outdoor setting. Full strings are in Supplementary S3. The strategy was validated before execution against five benchmark papers already known to be eligible; all five were retrieved.</w:t>
      </w:r>
    </w:p>
    <w:p>
      <w:pPr>
        <w:spacing w:after="0" w:before="0"/>
        <w:ind w:firstLine="288"/>
      </w:pPr>
      <w:r>
        <w:rPr>
          <w:rFonts w:ascii="Times New Roman" w:hAnsi="Times New Roman" w:cs="Times New Roman" w:eastAsia="바탕"/>
          <w:b w:val="0"/>
          <w:i w:val="0"/>
          <w:sz w:val="24"/>
        </w:rPr>
        <w:t xml:space="preserve">Two supplementary identification routes were registered, and both were executed. The first is </w:t>
      </w:r>
      <w:r>
        <w:rPr>
          <w:rFonts w:ascii="Times New Roman" w:hAnsi="Times New Roman" w:cs="Times New Roman" w:eastAsia="바탕"/>
          <w:b/>
          <w:i w:val="0"/>
          <w:sz w:val="24"/>
        </w:rPr>
        <w:t>citation tracking</w:t>
      </w:r>
      <w:r>
        <w:rPr>
          <w:rFonts w:ascii="Times New Roman" w:hAnsi="Times New Roman" w:cs="Times New Roman" w:eastAsia="바탕"/>
          <w:b w:val="0"/>
          <w:i w:val="0"/>
          <w:sz w:val="24"/>
        </w:rPr>
        <w:t xml:space="preserve">: with every included study as a seed, backward references and forward citations were collected from the OpenAlex API. The second treats OpenAlex as a </w:t>
      </w:r>
      <w:r>
        <w:rPr>
          <w:rFonts w:ascii="Times New Roman" w:hAnsi="Times New Roman" w:cs="Times New Roman" w:eastAsia="바탕"/>
          <w:b/>
          <w:i w:val="0"/>
          <w:sz w:val="24"/>
        </w:rPr>
        <w:t>fourth index</w:t>
      </w:r>
      <w:r>
        <w:rPr>
          <w:rFonts w:ascii="Times New Roman" w:hAnsi="Times New Roman" w:cs="Times New Roman" w:eastAsia="바탕"/>
          <w:b w:val="0"/>
          <w:i w:val="0"/>
          <w:sz w:val="24"/>
        </w:rPr>
        <w:t>, identifying records absent from the three databases; 352 unique records were obtained and screened.</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The full flow of the three routes is shown in Fig. 1.</w:t>
      </w:r>
    </w:p>
    <w:p>
      <w:pPr>
        <w:spacing w:line="240" w:lineRule="auto" w:before="200" w:after="80"/>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532120" cy="708111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Database branch.</w:t>
      </w:r>
      <w:r>
        <w:rPr>
          <w:rFonts w:ascii="Times New Roman" w:hAnsi="Times New Roman" w:cs="Times New Roman" w:eastAsia="바탕"/>
          <w:b w:val="0"/>
          <w:i w:val="0"/>
          <w:sz w:val="24"/>
        </w:rPr>
        <w:t xml:space="preserve"> After deduplication, 1,316 records were screened at title and abstract against seven numbered exclusion criteria, combining AI pre-classification with human verification. One decision at this stage shaped the results: </w:t>
      </w:r>
      <w:r>
        <w:rPr>
          <w:rFonts w:ascii="Times New Roman" w:hAnsi="Times New Roman" w:cs="Times New Roman" w:eastAsia="바탕"/>
          <w:b/>
          <w:i w:val="0"/>
          <w:sz w:val="24"/>
        </w:rPr>
        <w:t>records that remained uncertain were carried to full-text assessment rather than excluded.</w:t>
      </w:r>
      <w:r>
        <w:rPr>
          <w:rFonts w:ascii="Times New Roman" w:hAnsi="Times New Roman" w:cs="Times New Roman" w:eastAsia="바탕"/>
          <w:b w:val="0"/>
          <w:i w:val="0"/>
          <w:sz w:val="24"/>
        </w:rPr>
        <w:t xml:space="preserve"> In this literature a behavioural outcome is often measured yet never mentioned in the abstract; papers whose abstracts report only perceptual outcomes while the behaviour appears in a table in the body are in fact numerous.</w:t>
      </w:r>
    </w:p>
    <w:p>
      <w:pPr>
        <w:spacing w:after="0" w:before="0"/>
        <w:ind w:firstLine="288"/>
      </w:pPr>
      <w:r>
        <w:rPr>
          <w:rFonts w:ascii="Times New Roman" w:hAnsi="Times New Roman" w:cs="Times New Roman" w:eastAsia="바탕"/>
          <w:b/>
          <w:i w:val="0"/>
          <w:sz w:val="24"/>
        </w:rPr>
        <w:t>Citation-tracking branch.</w:t>
      </w:r>
      <w:r>
        <w:rPr>
          <w:rFonts w:ascii="Times New Roman" w:hAnsi="Times New Roman" w:cs="Times New Roman" w:eastAsia="바탕"/>
          <w:b w:val="0"/>
          <w:i w:val="0"/>
          <w:sz w:val="24"/>
        </w:rPr>
        <w:t xml:space="preserve"> The backward references and forward citations of the 84 studies included at that point yielded 2,073 records not already in the screening pool. Citation tracking, unlike the main search, has very low topical specificity: the reference lists of included papers carry large volumes of statistics, greenspace-and-health, and general planning literature. The registered three-block search logic was therefore applied to titles as a priority filter, deprioritising 1,645 records that matched at most one block or belonged to animal acoustics. The remaining 428 were screened by title, then 146 by abstract, and full texts were sought. Because this automated prioritisation was not specified at registration, it is logged as a departure (S1, D1-3).</w:t>
      </w:r>
    </w:p>
    <w:p>
      <w:pPr>
        <w:spacing w:after="0" w:before="0"/>
        <w:ind w:firstLine="288"/>
      </w:pPr>
      <w:r>
        <w:rPr>
          <w:rFonts w:ascii="Times New Roman" w:hAnsi="Times New Roman" w:cs="Times New Roman" w:eastAsia="바탕"/>
          <w:b/>
          <w:i w:val="0"/>
          <w:sz w:val="24"/>
        </w:rPr>
        <w:t>Supplementary-index branch.</w:t>
      </w:r>
      <w:r>
        <w:rPr>
          <w:rFonts w:ascii="Times New Roman" w:hAnsi="Times New Roman" w:cs="Times New Roman" w:eastAsia="바탕"/>
          <w:b w:val="0"/>
          <w:i w:val="0"/>
          <w:sz w:val="24"/>
        </w:rPr>
        <w:t xml:space="preserve"> Of the 352 unique OpenAlex records, 23 duplicated the two pools above; 329 were screened and 2 proved eligible. The yield is small, but this branch left the review's clearest warning about index metadata: of the five full texts retrieved, </w:t>
      </w:r>
      <w:r>
        <w:rPr>
          <w:rFonts w:ascii="Times New Roman" w:hAnsi="Times New Roman" w:cs="Times New Roman" w:eastAsia="바탕"/>
          <w:b/>
          <w:i w:val="0"/>
          <w:sz w:val="24"/>
        </w:rPr>
        <w:t>two were recorded as `language=en` yet were written in Korean and Japanese</w:t>
      </w:r>
      <w:r>
        <w:rPr>
          <w:rFonts w:ascii="Times New Roman" w:hAnsi="Times New Roman" w:cs="Times New Roman" w:eastAsia="바탕"/>
          <w:b w:val="0"/>
          <w:i w:val="0"/>
          <w:sz w:val="24"/>
        </w:rPr>
        <w:t>, with only their titles and abstracts in English. Document type and language cannot be adjudicated from index metadata alone; had we trusted the metadata, we would have violated our own registered language criterion.</w:t>
      </w:r>
    </w:p>
    <w:p>
      <w:pPr>
        <w:spacing w:after="0" w:before="0"/>
        <w:ind w:firstLine="288"/>
      </w:pPr>
      <w:r>
        <w:rPr>
          <w:rFonts w:ascii="Times New Roman" w:hAnsi="Times New Roman" w:cs="Times New Roman" w:eastAsia="바탕"/>
          <w:b/>
          <w:i w:val="0"/>
          <w:sz w:val="24"/>
        </w:rPr>
        <w:t>Boundary rules.</w:t>
      </w:r>
      <w:r>
        <w:rPr>
          <w:rFonts w:ascii="Times New Roman" w:hAnsi="Times New Roman" w:cs="Times New Roman" w:eastAsia="바탕"/>
          <w:b w:val="0"/>
          <w:i w:val="0"/>
          <w:sz w:val="24"/>
        </w:rPr>
        <w:t xml:space="preserve"> Three types of boundary case that recurred at full text were fixed as rules before individual verdicts and then applied uniformly. Studies pairing residential noise exposure with non-specific physical activity were excluded; studies whose only outcome is behavioural intention were set aside for sensitivity analysis; and reverse-direction studies with rating outcomes were included, because the registered definition makes the reverse pathway eligible. A fourth rule, assigning laboratory reproductions of outdoor scenes to sensitivity-only, was introduced during the citation-tracking branch and applied only there; the cross-branch inconsistency is logged (S1, D6-1), and §3.3 shows that it has no quantitative consequence.</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A single reviewer extracted data from full texts into sixteen fixed fields: setting, design, sample, exposure, behavioural domain, measurement method, direction, key findings, and </w:t>
      </w:r>
      <w:r>
        <w:rPr>
          <w:rFonts w:ascii="Times New Roman" w:hAnsi="Times New Roman" w:cs="Times New Roman" w:eastAsia="바탕"/>
          <w:b/>
          <w:i w:val="0"/>
          <w:sz w:val="24"/>
        </w:rPr>
        <w:t>verbatim effect statistics with their location in the source.</w:t>
      </w:r>
      <w:r>
        <w:rPr>
          <w:rFonts w:ascii="Times New Roman" w:hAnsi="Times New Roman" w:cs="Times New Roman" w:eastAsia="바탕"/>
          <w:b w:val="0"/>
          <w:i w:val="0"/>
          <w:sz w:val="24"/>
        </w:rPr>
        <w:t xml:space="preserve"> Effect statistics were transcribed exactly as printed, and </w:t>
      </w:r>
      <w:r>
        <w:rPr>
          <w:rFonts w:ascii="Times New Roman" w:hAnsi="Times New Roman" w:cs="Times New Roman" w:eastAsia="바탕"/>
          <w:b/>
          <w:i w:val="0"/>
          <w:sz w:val="24"/>
        </w:rPr>
        <w:t>no conversion or estimation was performed at extraction.</w:t>
      </w:r>
      <w:r>
        <w:rPr>
          <w:rFonts w:ascii="Times New Roman" w:hAnsi="Times New Roman" w:cs="Times New Roman" w:eastAsia="바탕"/>
          <w:b w:val="0"/>
          <w:i w:val="0"/>
          <w:sz w:val="24"/>
        </w:rPr>
        <w:t xml:space="preserve"> The separation is not a formality: as §2.7 reports, when extraction and pooling pass through the same hands this boundary can blur, and in our case it did.</w:t>
      </w:r>
    </w:p>
    <w:p>
      <w:pPr>
        <w:spacing w:after="0" w:before="0"/>
        <w:ind w:firstLine="288"/>
      </w:pPr>
      <w:r>
        <w:rPr>
          <w:rFonts w:ascii="Times New Roman" w:hAnsi="Times New Roman" w:cs="Times New Roman" w:eastAsia="바탕"/>
          <w:b w:val="0"/>
          <w:i w:val="0"/>
          <w:sz w:val="24"/>
        </w:rPr>
        <w:t xml:space="preserve">Methodological quality was appraised with the </w:t>
      </w:r>
      <w:r>
        <w:rPr>
          <w:rFonts w:ascii="Times New Roman" w:hAnsi="Times New Roman" w:cs="Times New Roman" w:eastAsia="바탕"/>
          <w:b/>
          <w:i w:val="0"/>
          <w:sz w:val="24"/>
        </w:rPr>
        <w:t>Mixed Methods Appraisal Tool (MMAT) 2018</w:t>
      </w:r>
      <w:r>
        <w:rPr>
          <w:rFonts w:ascii="Times New Roman" w:hAnsi="Times New Roman" w:cs="Times New Roman" w:eastAsia="바탕"/>
          <w:b w:val="0"/>
          <w:i w:val="0"/>
          <w:sz w:val="24"/>
        </w:rPr>
        <w:t xml:space="preserve"> [15]. MMAT assigns each study to one of five categories (qualitative, randomised, non-randomised quantitative, quantitative descriptive, mixed methods) and asks five questions per category, each judged met (Yes), not met (No) or Can't tell. </w:t>
      </w:r>
      <w:r>
        <w:rPr>
          <w:rFonts w:ascii="Times New Roman" w:hAnsi="Times New Roman" w:cs="Times New Roman" w:eastAsia="바탕"/>
          <w:b/>
          <w:i w:val="0"/>
          <w:sz w:val="24"/>
        </w:rPr>
        <w:t>Can't tell means that the paper does not contain the information needed to judge, not that the study is poor</w:t>
      </w:r>
      <w:r>
        <w:rPr>
          <w:rFonts w:ascii="Times New Roman" w:hAnsi="Times New Roman" w:cs="Times New Roman" w:eastAsia="바탕"/>
          <w:b w:val="0"/>
          <w:i w:val="0"/>
          <w:sz w:val="24"/>
        </w:rPr>
        <w:t>; as will be seen, most deficits in this corpus are of this type.</w:t>
      </w:r>
    </w:p>
    <w:p>
      <w:pPr>
        <w:spacing w:after="0" w:before="0"/>
        <w:ind w:firstLine="288"/>
      </w:pPr>
      <w:r>
        <w:rPr>
          <w:rFonts w:ascii="Times New Roman" w:hAnsi="Times New Roman" w:cs="Times New Roman" w:eastAsia="바탕"/>
          <w:b w:val="0"/>
          <w:i w:val="0"/>
          <w:sz w:val="24"/>
        </w:rPr>
        <w:t>The registration planned RoB 2 in parallel for randomised studies, but the two randomised studies in the corpus report neither their randomisation procedure nor blinding, so applying a second instrument would have produced no new information. It was not applied, and the departure is logged (S1, D2-2).</w:t>
      </w:r>
    </w:p>
    <w:p>
      <w:pPr>
        <w:spacing w:after="0" w:before="0"/>
        <w:ind w:firstLine="288"/>
      </w:pPr>
      <w:r>
        <w:rPr>
          <w:rFonts w:ascii="Times New Roman" w:hAnsi="Times New Roman" w:cs="Times New Roman" w:eastAsia="바탕"/>
          <w:b/>
          <w:i w:val="0"/>
          <w:sz w:val="24"/>
        </w:rPr>
        <w:t>One caveat about the appraisal deserves emphasis.</w:t>
      </w:r>
      <w:r>
        <w:rPr>
          <w:rFonts w:ascii="Times New Roman" w:hAnsi="Times New Roman" w:cs="Times New Roman" w:eastAsia="바탕"/>
          <w:b w:val="0"/>
          <w:i w:val="0"/>
          <w:sz w:val="24"/>
        </w:rPr>
        <w:t xml:space="preserve"> Full texts were machine-extracted, and an initial extraction cap truncated 13 of the 16 citation-tracked studies. MMAT scores unreported items as Can't tell; </w:t>
      </w:r>
      <w:r>
        <w:rPr>
          <w:rFonts w:ascii="Times New Roman" w:hAnsi="Times New Roman" w:cs="Times New Roman" w:eastAsia="바탕"/>
          <w:b/>
          <w:i w:val="0"/>
          <w:sz w:val="24"/>
        </w:rPr>
        <w:t>truncation is therefore indistinguishable from non-reporting and biases scores downward.</w:t>
      </w:r>
      <w:r>
        <w:rPr>
          <w:rFonts w:ascii="Times New Roman" w:hAnsi="Times New Roman" w:cs="Times New Roman" w:eastAsia="바탕"/>
          <w:b w:val="0"/>
          <w:i w:val="0"/>
          <w:sz w:val="24"/>
        </w:rPr>
        <w:t xml:space="preserve"> Every truncated study was re-appraised on its complete text: at least one item changed in seven studies, tiers moved in four, and in three of those by two tiers. Before re-appraisal, the citation-tracked literature appeared distinctly weaker than the database yield; the difference was an artefact of the extraction cap, not a property of the literature. We report this because any review using automated full-text extraction is exposed to the same artefact, which to our knowledge has not been reported (S12).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Pooling required at least three independent estimates of the same behavioural outcome under the same contrast frame.</w:t>
      </w:r>
    </w:p>
    <w:p>
      <w:pPr>
        <w:spacing w:after="0" w:before="0"/>
        <w:ind w:firstLine="288"/>
      </w:pPr>
      <w:r>
        <w:rPr>
          <w:rFonts w:ascii="Times New Roman" w:hAnsi="Times New Roman" w:cs="Times New Roman" w:eastAsia="바탕"/>
          <w:b w:val="0"/>
          <w:i w:val="0"/>
          <w:sz w:val="24"/>
        </w:rPr>
        <w:t xml:space="preserve">Results reported on different scales need a common unit. Differences between two conditions were converted to </w:t>
      </w:r>
      <w:r>
        <w:rPr>
          <w:rFonts w:ascii="Times New Roman" w:hAnsi="Times New Roman" w:cs="Times New Roman" w:eastAsia="바탕"/>
          <w:b/>
          <w:i w:val="0"/>
          <w:sz w:val="24"/>
        </w:rPr>
        <w:t>Hedges' *g</w:t>
      </w:r>
      <w:r>
        <w:rPr>
          <w:rFonts w:ascii="Times New Roman" w:hAnsi="Times New Roman" w:cs="Times New Roman" w:eastAsia="바탕"/>
          <w:b w:val="0"/>
          <w:i w:val="0"/>
          <w:sz w:val="24"/>
        </w:rPr>
        <w:t xml:space="preserve">* [16], which expresses the difference between two groups relative to the spread within them; by convention 0.2 reads as small, 0.5 as medium and 0.8 as large. Because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inflates in small samples, the small-sample correction was applied. Studies reporting 2 × 2 counts of helpers and non-helpers entered through the odds ratio and the Chinn transformation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 [17]. Correlations were pooled on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 and back-transformed to </w:t>
      </w:r>
      <w:r>
        <w:rPr>
          <w:rFonts w:ascii="Times New Roman" w:hAnsi="Times New Roman" w:cs="Times New Roman" w:eastAsia="바탕"/>
          <w:b w:val="0"/>
          <w:i/>
          <w:sz w:val="24"/>
        </w:rPr>
        <w:t>r</w:t>
      </w:r>
      <w:r>
        <w:rPr>
          <w:rFonts w:ascii="Times New Roman" w:hAnsi="Times New Roman" w:cs="Times New Roman" w:eastAsia="바탕"/>
          <w:b w:val="0"/>
          <w:i w:val="0"/>
          <w:sz w:val="24"/>
        </w:rPr>
        <w:t>.</w:t>
      </w:r>
    </w:p>
    <w:p>
      <w:pPr>
        <w:spacing w:after="0" w:before="0"/>
        <w:ind w:firstLine="288"/>
      </w:pPr>
      <w:r>
        <w:rPr>
          <w:rFonts w:ascii="Times New Roman" w:hAnsi="Times New Roman" w:cs="Times New Roman" w:eastAsia="바탕"/>
          <w:b w:val="0"/>
          <w:i w:val="0"/>
          <w:sz w:val="24"/>
        </w:rPr>
        <w:t xml:space="preserve">The pooling model is </w:t>
      </w:r>
      <w:r>
        <w:rPr>
          <w:rFonts w:ascii="Times New Roman" w:hAnsi="Times New Roman" w:cs="Times New Roman" w:eastAsia="바탕"/>
          <w:b/>
          <w:i w:val="0"/>
          <w:sz w:val="24"/>
        </w:rPr>
        <w:t>REML random effects with the Hartung–Knapp adjustment</w:t>
      </w:r>
      <w:r>
        <w:rPr>
          <w:rFonts w:ascii="Times New Roman" w:hAnsi="Times New Roman" w:cs="Times New Roman" w:eastAsia="바탕"/>
          <w:b w:val="0"/>
          <w:i w:val="0"/>
          <w:sz w:val="24"/>
        </w:rPr>
        <w:t xml:space="preserve">. A random-effects model assumes that the true effect differs somewhat from study to study, which fits a literature this varied in settings and stimuli. The Hartung–Knapp adjustment guards against confidence intervals that come out too narrow when studies are few [18]. Between-study variance is reported as τ², and the share of total variation due to between-study variance, heterogeneity, as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a large </w:t>
      </w:r>
      <w:r>
        <w:rPr>
          <w:rFonts w:ascii="Times New Roman" w:hAnsi="Times New Roman" w:cs="Times New Roman" w:eastAsia="바탕"/>
          <w:b w:val="0"/>
          <w:i/>
          <w:sz w:val="24"/>
        </w:rPr>
        <w:t>I</w:t>
      </w:r>
      <w:r>
        <w:rPr>
          <w:rFonts w:ascii="Times New Roman" w:hAnsi="Times New Roman" w:cs="Times New Roman" w:eastAsia="바탕"/>
          <w:b w:val="0"/>
          <w:i w:val="0"/>
          <w:sz w:val="24"/>
        </w:rPr>
        <w:t>² signals that the studies are measuring different things.</w:t>
      </w:r>
    </w:p>
    <w:p>
      <w:pPr>
        <w:spacing w:after="0" w:before="0"/>
        <w:ind w:firstLine="288"/>
      </w:pPr>
      <w:r>
        <w:rPr>
          <w:rFonts w:ascii="Times New Roman" w:hAnsi="Times New Roman" w:cs="Times New Roman" w:eastAsia="바탕"/>
          <w:b w:val="0"/>
          <w:i w:val="0"/>
          <w:sz w:val="24"/>
        </w:rPr>
        <w:t xml:space="preserve">Where one study contributed more than one estimate to the same cluster and contrast frame, one was chosen by a fixed priority: the most direct and objective measurement first, then the primary analysis, then the full sample. Remaining equal-rank effects were averaged within the paper assuming a between-effect correlation of ρ = 0.5. Where two papers share a sample, only one entered any pool. In pseudoreplicated designs the participant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not the observation </w:t>
      </w:r>
      <w:r>
        <w:rPr>
          <w:rFonts w:ascii="Times New Roman" w:hAnsi="Times New Roman" w:cs="Times New Roman" w:eastAsia="바탕"/>
          <w:b w:val="0"/>
          <w:i/>
          <w:sz w:val="24"/>
        </w:rPr>
        <w:t>n</w:t>
      </w:r>
      <w:r>
        <w:rPr>
          <w:rFonts w:ascii="Times New Roman" w:hAnsi="Times New Roman" w:cs="Times New Roman" w:eastAsia="바탕"/>
          <w:b w:val="0"/>
          <w:i w:val="0"/>
          <w:sz w:val="24"/>
        </w:rPr>
        <w:t>, was used.</w:t>
      </w:r>
    </w:p>
    <w:p>
      <w:pPr>
        <w:spacing w:after="0" w:before="0"/>
        <w:ind w:firstLine="288"/>
      </w:pPr>
      <w:r>
        <w:rPr>
          <w:rFonts w:ascii="Times New Roman" w:hAnsi="Times New Roman" w:cs="Times New Roman" w:eastAsia="바탕"/>
          <w:b w:val="0"/>
          <w:i w:val="0"/>
          <w:sz w:val="24"/>
        </w:rPr>
        <w:t xml:space="preserve">Because between-study variance was large in two clusters, we report the </w:t>
      </w:r>
      <w:r>
        <w:rPr>
          <w:rFonts w:ascii="Times New Roman" w:hAnsi="Times New Roman" w:cs="Times New Roman" w:eastAsia="바탕"/>
          <w:b/>
          <w:i w:val="0"/>
          <w:sz w:val="24"/>
        </w:rPr>
        <w:t>95% prediction interval</w:t>
      </w:r>
      <w:r>
        <w:rPr>
          <w:rFonts w:ascii="Times New Roman" w:hAnsi="Times New Roman" w:cs="Times New Roman" w:eastAsia="바탕"/>
          <w:b w:val="0"/>
          <w:i w:val="0"/>
          <w:sz w:val="24"/>
        </w:rPr>
        <w:t xml:space="preserve"> alongside the confidence interval [19]. The two intervals answer different questions, and the distinction decides much of this review's conclusion.</w:t>
      </w:r>
    </w:p>
    <w:p>
      <w:pPr>
        <w:spacing w:after="0" w:before="0"/>
        <w:ind w:firstLine="288"/>
      </w:pPr>
      <w:r>
        <w:rPr>
          <w:rFonts w:ascii="Times New Roman" w:hAnsi="Times New Roman" w:cs="Times New Roman" w:eastAsia="바탕"/>
          <w:b w:val="0"/>
          <w:i w:val="0"/>
          <w:sz w:val="24"/>
        </w:rPr>
        <w:t>The confidence interval says where the mean of the studies collected so far lies. The prediction interval says what the next single study is expected to find. The former can exclude zero while the latter includes it, and in this review that is exactly what happened. Planning decisions rest on the latter interval: what a designer wants to know is not whether the average so far differed from zero, but what will happen if the prescription is applied.</w:t>
      </w:r>
    </w:p>
    <w:p>
      <w:pPr>
        <w:spacing w:after="0" w:before="0"/>
        <w:ind w:firstLine="288"/>
      </w:pPr>
      <w:r>
        <w:rPr>
          <w:rFonts w:ascii="Times New Roman" w:hAnsi="Times New Roman" w:cs="Times New Roman" w:eastAsia="바탕"/>
          <w:b/>
          <w:i w:val="0"/>
          <w:sz w:val="24"/>
        </w:rPr>
        <w:t>Reporting bias could not be assessed.</w:t>
      </w:r>
      <w:r>
        <w:rPr>
          <w:rFonts w:ascii="Times New Roman" w:hAnsi="Times New Roman" w:cs="Times New Roman" w:eastAsia="바탕"/>
          <w:b w:val="0"/>
          <w:i w:val="0"/>
          <w:sz w:val="24"/>
        </w:rPr>
        <w:t xml:space="preserve"> The registered rule restricted funnel plots and Egger tests to clusters with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 and the largest cluster here has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The threshold follows standard guidance, which discourages asymmetry tests on few studies because their power is low [20]. No test was therefore run in any cluster. Small-study effects </w:t>
      </w:r>
      <w:r>
        <w:rPr>
          <w:rFonts w:ascii="Times New Roman" w:hAnsi="Times New Roman" w:cs="Times New Roman" w:eastAsia="바탕"/>
          <w:b/>
          <w:i w:val="0"/>
          <w:sz w:val="24"/>
        </w:rPr>
        <w:t>can neither be detected nor excluded.</w:t>
      </w:r>
    </w:p>
    <w:p>
      <w:pPr>
        <w:spacing w:after="0" w:before="0"/>
        <w:ind w:firstLine="288"/>
      </w:pPr>
      <w:r>
        <w:rPr>
          <w:rFonts w:ascii="Times New Roman" w:hAnsi="Times New Roman" w:cs="Times New Roman" w:eastAsia="바탕"/>
          <w:b/>
          <w:i w:val="0"/>
          <w:sz w:val="24"/>
        </w:rPr>
        <w:t>Subgroup analysis was registered but not performed.</w:t>
      </w:r>
      <w:r>
        <w:rPr>
          <w:rFonts w:ascii="Times New Roman" w:hAnsi="Times New Roman" w:cs="Times New Roman" w:eastAsia="바탕"/>
          <w:b w:val="0"/>
          <w:i w:val="0"/>
          <w:sz w:val="24"/>
        </w:rPr>
        <w:t xml:space="preserve"> Splitting clusters of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 by setting, design or measurement generation leaves one to four estimates per subgroup, below the pre-specified minimum of three, and at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 the Hartung–Knapp interval becomes effectively unbounded. Sources of heterogeneity were examined narratively instead.</w:t>
      </w:r>
    </w:p>
    <w:p>
      <w:pPr>
        <w:spacing w:after="0" w:before="0"/>
        <w:ind w:firstLine="288"/>
      </w:pPr>
      <w:r>
        <w:rPr>
          <w:rFonts w:ascii="Times New Roman" w:hAnsi="Times New Roman" w:cs="Times New Roman" w:eastAsia="바탕"/>
          <w:b w:val="0"/>
          <w:i w:val="0"/>
          <w:sz w:val="24"/>
        </w:rPr>
        <w:t xml:space="preserve">Eight sensitivity analyses were run: leave-one-out; excluding MMAT low studies; recomputing on observation </w:t>
      </w:r>
      <w:r>
        <w:rPr>
          <w:rFonts w:ascii="Times New Roman" w:hAnsi="Times New Roman" w:cs="Times New Roman" w:eastAsia="바탕"/>
          <w:b w:val="0"/>
          <w:i/>
          <w:sz w:val="24"/>
        </w:rPr>
        <w:t>n</w:t>
      </w:r>
      <w:r>
        <w:rPr>
          <w:rFonts w:ascii="Times New Roman" w:hAnsi="Times New Roman" w:cs="Times New Roman" w:eastAsia="바탕"/>
          <w:b w:val="0"/>
          <w:i w:val="0"/>
          <w:sz w:val="24"/>
        </w:rPr>
        <w:t>; excluding rank correlations; excluding inputs that required reconstruction; an alternative definition of the walking-speed pool; excluding laboratory reproductions of outdoor scenes; and, added post hoc, excluding the citation-tracking branch. The last axis asks whether the conclusions depend on the supplementary search route; as will be seen, they do. Full results are in S8.</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i w:val="0"/>
          <w:sz w:val="24"/>
        </w:rPr>
        <w:t>28</w:t>
      </w:r>
      <w:r>
        <w:rPr>
          <w:rFonts w:ascii="Times New Roman" w:hAnsi="Times New Roman" w:cs="Times New Roman" w:eastAsia="바탕"/>
          <w:b w:val="0"/>
          <w:i w:val="0"/>
          <w:sz w:val="24"/>
        </w:rPr>
        <w:t xml:space="preserve"> departures from the registered protocol are recorded in full in Supplementary S1 and summarised in Table A below. </w:t>
      </w:r>
      <w:r>
        <w:rPr>
          <w:rFonts w:ascii="Times New Roman" w:hAnsi="Times New Roman" w:cs="Times New Roman" w:eastAsia="바탕"/>
          <w:b/>
          <w:i w:val="0"/>
          <w:sz w:val="24"/>
        </w:rPr>
        <w:t>Ten changed a reported result.</w:t>
      </w:r>
      <w:r>
        <w:rPr>
          <w:rFonts w:ascii="Times New Roman" w:hAnsi="Times New Roman" w:cs="Times New Roman" w:eastAsia="바탕"/>
          <w:b w:val="0"/>
          <w:i w:val="0"/>
          <w:sz w:val="24"/>
        </w:rPr>
        <w:t xml:space="preserve"> We list all of them rather than a selection, because a deviation log that reports only comfortable deviations is not a deviation log. Six of the ten need explanation.</w:t>
      </w:r>
    </w:p>
    <w:p>
      <w:pPr>
        <w:spacing w:after="0" w:before="0"/>
        <w:ind w:firstLine="288"/>
      </w:pPr>
      <w:r>
        <w:rPr>
          <w:rFonts w:ascii="Times New Roman" w:hAnsi="Times New Roman" w:cs="Times New Roman" w:eastAsia="바탕"/>
          <w:b/>
          <w:i w:val="0"/>
          <w:sz w:val="24"/>
        </w:rPr>
        <w:t>First, MMAT categories were reassigned from full-text reading</w:t>
      </w:r>
      <w:r>
        <w:rPr>
          <w:rFonts w:ascii="Times New Roman" w:hAnsi="Times New Roman" w:cs="Times New Roman" w:eastAsia="바탕"/>
          <w:b w:val="0"/>
          <w:i w:val="0"/>
          <w:sz w:val="24"/>
        </w:rPr>
        <w:t xml:space="preserve"> (D2-1). Categories pre-assigned from extracted design strings often disagreed with the full text, and because the category determines which items apply, tiers changed. The most common misassignment treated "objective acoustic measurement plus survey" as mixed methods; both components are quantitative, so the quantitative category applies.</w:t>
      </w:r>
    </w:p>
    <w:p>
      <w:pPr>
        <w:spacing w:after="0" w:before="0"/>
        <w:ind w:firstLine="288"/>
      </w:pPr>
      <w:r>
        <w:rPr>
          <w:rFonts w:ascii="Times New Roman" w:hAnsi="Times New Roman" w:cs="Times New Roman" w:eastAsia="바탕"/>
          <w:b/>
          <w:i w:val="0"/>
          <w:sz w:val="24"/>
        </w:rPr>
        <w:t>Second, the music-stimulus study was excluded from the walking-speed pool</w:t>
      </w:r>
      <w:r>
        <w:rPr>
          <w:rFonts w:ascii="Times New Roman" w:hAnsi="Times New Roman" w:cs="Times New Roman" w:eastAsia="바탕"/>
          <w:b w:val="0"/>
          <w:i w:val="0"/>
          <w:sz w:val="24"/>
        </w:rPr>
        <w:t xml:space="preserve"> (D3-6). Including it moves the estimate from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 to −0.742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 </w:t>
      </w:r>
      <w:r>
        <w:rPr>
          <w:rFonts w:ascii="Times New Roman" w:hAnsi="Times New Roman" w:cs="Times New Roman" w:eastAsia="바탕"/>
          <w:b/>
          <w:i w:val="0"/>
          <w:sz w:val="24"/>
        </w:rPr>
        <w:t>exclusion is the conservative choice, not the convenient one.</w:t>
      </w:r>
      <w:r>
        <w:rPr>
          <w:rFonts w:ascii="Times New Roman" w:hAnsi="Times New Roman" w:cs="Times New Roman" w:eastAsia="바탕"/>
          <w:b w:val="0"/>
          <w:i w:val="0"/>
          <w:sz w:val="24"/>
        </w:rPr>
        <w:t xml:space="preserve"> It was excluded because both the exposure (music is added sound) and the behaviour (browsing a shopping street, not transit walking) differ from the rest of the pool.</w:t>
      </w:r>
    </w:p>
    <w:p>
      <w:pPr>
        <w:spacing w:after="0" w:before="0"/>
        <w:ind w:firstLine="288"/>
      </w:pPr>
      <w:r>
        <w:rPr>
          <w:rFonts w:ascii="Times New Roman" w:hAnsi="Times New Roman" w:cs="Times New Roman" w:eastAsia="바탕"/>
          <w:b/>
          <w:i w:val="0"/>
          <w:sz w:val="24"/>
        </w:rPr>
        <w:t>Third, we found and corrected a sign-coding error of our own</w:t>
      </w:r>
      <w:r>
        <w:rPr>
          <w:rFonts w:ascii="Times New Roman" w:hAnsi="Times New Roman" w:cs="Times New Roman" w:eastAsia="바탕"/>
          <w:b w:val="0"/>
          <w:i w:val="0"/>
          <w:sz w:val="24"/>
        </w:rPr>
        <w:t xml:space="preserve"> (D3-4). The social-interaction cluster initially returned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 tracing that implausibly large value showed that the odds ratio of Moser [21] had been coded in the wrong direction. After correction,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We record this because </w:t>
      </w:r>
      <w:r>
        <w:rPr>
          <w:rFonts w:ascii="Times New Roman" w:hAnsi="Times New Roman" w:cs="Times New Roman" w:eastAsia="바탕"/>
          <w:b/>
          <w:i w:val="0"/>
          <w:sz w:val="24"/>
        </w:rPr>
        <w:t>the heterogeneity statistic worked as an error detector</w:t>
      </w:r>
      <w:r>
        <w:rPr>
          <w:rFonts w:ascii="Times New Roman" w:hAnsi="Times New Roman" w:cs="Times New Roman" w:eastAsia="바탕"/>
          <w:b w:val="0"/>
          <w:i w:val="0"/>
          <w:sz w:val="24"/>
        </w:rPr>
        <w:t xml:space="preserve">, a practical argument for reporting heterogeneity prominently at small </w:t>
      </w:r>
      <w:r>
        <w:rPr>
          <w:rFonts w:ascii="Times New Roman" w:hAnsi="Times New Roman" w:cs="Times New Roman" w:eastAsia="바탕"/>
          <w:b w:val="0"/>
          <w:i/>
          <w:sz w:val="24"/>
        </w:rPr>
        <w:t>k</w:t>
      </w:r>
      <w:r>
        <w:rPr>
          <w:rFonts w:ascii="Times New Roman" w:hAnsi="Times New Roman" w:cs="Times New Roman" w:eastAsia="바탕"/>
          <w:b w:val="0"/>
          <w:i w:val="0"/>
          <w:sz w:val="24"/>
        </w:rPr>
        <w:t>.</w:t>
      </w:r>
    </w:p>
    <w:p>
      <w:pPr>
        <w:spacing w:after="0" w:before="0"/>
        <w:ind w:firstLine="288"/>
      </w:pPr>
      <w:r>
        <w:rPr>
          <w:rFonts w:ascii="Times New Roman" w:hAnsi="Times New Roman" w:cs="Times New Roman" w:eastAsia="바탕"/>
          <w:b/>
          <w:i w:val="0"/>
          <w:sz w:val="24"/>
        </w:rPr>
        <w:t>Fourth, we excluded a newly retrieved effect that would have strengthened a significant cluster</w:t>
      </w:r>
      <w:r>
        <w:rPr>
          <w:rFonts w:ascii="Times New Roman" w:hAnsi="Times New Roman" w:cs="Times New Roman" w:eastAsia="바탕"/>
          <w:b w:val="0"/>
          <w:i w:val="0"/>
          <w:sz w:val="24"/>
        </w:rPr>
        <w:t xml:space="preserve"> (D5-4). CT0414 (Nanjing, MMAT high) contrasts an "auditory space" with visual and other sensory spaces rather than sound with sound, and its observation count (2,249) exceeds its units (1,167), so independence fails. Including it moves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from .020 to .005 and </w:t>
      </w:r>
      <w:r>
        <w:rPr>
          <w:rFonts w:ascii="Times New Roman" w:hAnsi="Times New Roman" w:cs="Times New Roman" w:eastAsia="바탕"/>
          <w:b w:val="0"/>
          <w:i/>
          <w:sz w:val="24"/>
        </w:rPr>
        <w:t>I</w:t>
      </w:r>
      <w:r>
        <w:rPr>
          <w:rFonts w:ascii="Times New Roman" w:hAnsi="Times New Roman" w:cs="Times New Roman" w:eastAsia="바탕"/>
          <w:b w:val="0"/>
          <w:i w:val="0"/>
          <w:sz w:val="24"/>
        </w:rPr>
        <w:t>² from 49% to 77%. It is reported as a sensitivity analysis only.</w:t>
      </w:r>
    </w:p>
    <w:p>
      <w:pPr>
        <w:spacing w:after="0" w:before="0"/>
        <w:ind w:firstLine="288"/>
      </w:pPr>
      <w:r>
        <w:rPr>
          <w:rFonts w:ascii="Times New Roman" w:hAnsi="Times New Roman" w:cs="Times New Roman" w:eastAsia="바탕"/>
          <w:b/>
          <w:i w:val="0"/>
          <w:sz w:val="24"/>
        </w:rPr>
        <w:t>Fifth, the extraction cap changed four quality tiers</w:t>
      </w:r>
      <w:r>
        <w:rPr>
          <w:rFonts w:ascii="Times New Roman" w:hAnsi="Times New Roman" w:cs="Times New Roman" w:eastAsia="바탕"/>
          <w:b w:val="0"/>
          <w:i w:val="0"/>
          <w:sz w:val="24"/>
        </w:rPr>
        <w:t xml:space="preserve"> (D5-3), as described in §2.5.</w:t>
      </w:r>
    </w:p>
    <w:p>
      <w:pPr>
        <w:spacing w:after="0" w:before="0"/>
        <w:ind w:firstLine="288"/>
      </w:pPr>
      <w:r>
        <w:rPr>
          <w:rFonts w:ascii="Times New Roman" w:hAnsi="Times New Roman" w:cs="Times New Roman" w:eastAsia="바탕"/>
          <w:b/>
          <w:i w:val="0"/>
          <w:sz w:val="24"/>
        </w:rPr>
        <w:t>Sixth, the results narrative was rewritten when the social-interaction cluster crossed *p* = .05</w:t>
      </w:r>
      <w:r>
        <w:rPr>
          <w:rFonts w:ascii="Times New Roman" w:hAnsi="Times New Roman" w:cs="Times New Roman" w:eastAsia="바탕"/>
          <w:b w:val="0"/>
          <w:i w:val="0"/>
          <w:sz w:val="24"/>
        </w:rPr>
        <w:t xml:space="preserve"> (D5-6). The first synthesis claimed that </w:t>
      </w:r>
      <w:r>
        <w:rPr>
          <w:rFonts w:ascii="Times New Roman" w:hAnsi="Times New Roman" w:cs="Times New Roman" w:eastAsia="바탕"/>
          <w:b w:val="0"/>
          <w:i/>
          <w:sz w:val="24"/>
        </w:rPr>
        <w:t>all three condition-contrast clusters include zero and only observational associations accumulate</w:t>
      </w:r>
      <w:r>
        <w:rPr>
          <w:rFonts w:ascii="Times New Roman" w:hAnsi="Times New Roman" w:cs="Times New Roman" w:eastAsia="바탕"/>
          <w:b w:val="0"/>
          <w:i w:val="0"/>
          <w:sz w:val="24"/>
        </w:rPr>
        <w:t xml:space="preserve">. Retrieving one 1975 field experiment moved the cluster to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 and the claim no longer held. </w:t>
      </w:r>
      <w:r>
        <w:rPr>
          <w:rFonts w:ascii="Times New Roman" w:hAnsi="Times New Roman" w:cs="Times New Roman" w:eastAsia="바탕"/>
          <w:b/>
          <w:i w:val="0"/>
          <w:sz w:val="24"/>
        </w:rPr>
        <w:t>The claim changed because the result changed, not the reverse</w:t>
      </w:r>
      <w:r>
        <w:rPr>
          <w:rFonts w:ascii="Times New Roman" w:hAnsi="Times New Roman" w:cs="Times New Roman" w:eastAsia="바탕"/>
          <w:b w:val="0"/>
          <w:i w:val="0"/>
          <w:sz w:val="24"/>
        </w:rPr>
        <w:t>, and the earlier claim is preserved verbatim in S1 for comparison.</w:t>
      </w:r>
    </w:p>
    <w:p>
      <w:pPr>
        <w:spacing w:after="0" w:before="0"/>
        <w:ind w:firstLine="288"/>
      </w:pPr>
      <w:r>
        <w:rPr>
          <w:rFonts w:ascii="Times New Roman" w:hAnsi="Times New Roman" w:cs="Times New Roman" w:eastAsia="바탕"/>
          <w:b w:val="0"/>
          <w:i w:val="0"/>
          <w:sz w:val="24"/>
        </w:rPr>
        <w:t>The remaining four are of a different kind: errors in our own implementation, exposed when the meta-analysis code was handed to an external verifier, who had not written the manuscript, with instructions to refute it (D7-1 to D7-4). None reverses a conclusion, but two are not the kind of thing to fix quietly.</w:t>
      </w:r>
    </w:p>
    <w:p>
      <w:pPr>
        <w:spacing w:after="0" w:before="0"/>
        <w:ind w:firstLine="288"/>
      </w:pPr>
      <w:r>
        <w:rPr>
          <w:rFonts w:ascii="Times New Roman" w:hAnsi="Times New Roman" w:cs="Times New Roman" w:eastAsia="바탕"/>
          <w:b w:val="0"/>
          <w:i w:val="0"/>
          <w:sz w:val="24"/>
        </w:rPr>
        <w:t xml:space="preserve">The heaviest is that </w:t>
      </w:r>
      <w:r>
        <w:rPr>
          <w:rFonts w:ascii="Times New Roman" w:hAnsi="Times New Roman" w:cs="Times New Roman" w:eastAsia="바탕"/>
          <w:b/>
          <w:i w:val="0"/>
          <w:sz w:val="24"/>
        </w:rPr>
        <w:t>the τ² estimator was maximum likelihood although it was reported as REML.</w:t>
      </w:r>
      <w:r>
        <w:rPr>
          <w:rFonts w:ascii="Times New Roman" w:hAnsi="Times New Roman" w:cs="Times New Roman" w:eastAsia="바탕"/>
          <w:b w:val="0"/>
          <w:i w:val="0"/>
          <w:sz w:val="24"/>
        </w:rPr>
        <w:t xml:space="preserve"> The function name and the reporting said REML; the equation it solved was the ML score equation. The cause was one function duplicated across three files, since consolidated into a single module. The old estimator understated τ² by 33% (MA1), 80% (MA2), 68% (MA3) and 17% (MA4), and </w:t>
      </w:r>
      <w:r>
        <w:rPr>
          <w:rFonts w:ascii="Times New Roman" w:hAnsi="Times New Roman" w:cs="Times New Roman" w:eastAsia="바탕"/>
          <w:b/>
          <w:i w:val="0"/>
          <w:sz w:val="24"/>
        </w:rPr>
        <w:t>prediction intervals were accordingly reported too narrow.</w:t>
      </w:r>
      <w:r>
        <w:rPr>
          <w:rFonts w:ascii="Times New Roman" w:hAnsi="Times New Roman" w:cs="Times New Roman" w:eastAsia="바탕"/>
          <w:b w:val="0"/>
          <w:i w:val="0"/>
          <w:sz w:val="24"/>
        </w:rPr>
        <w:t xml:space="preserve"> All four clusters were recomputed.</w:t>
      </w:r>
    </w:p>
    <w:p>
      <w:pPr>
        <w:spacing w:after="0" w:before="0"/>
        <w:ind w:firstLine="288"/>
      </w:pPr>
      <w:r>
        <w:rPr>
          <w:rFonts w:ascii="Times New Roman" w:hAnsi="Times New Roman" w:cs="Times New Roman" w:eastAsia="바탕"/>
          <w:b w:val="0"/>
          <w:i w:val="0"/>
          <w:sz w:val="24"/>
        </w:rPr>
        <w:t xml:space="preserve">Second, </w:t>
      </w:r>
      <w:r>
        <w:rPr>
          <w:rFonts w:ascii="Times New Roman" w:hAnsi="Times New Roman" w:cs="Times New Roman" w:eastAsia="바탕"/>
          <w:b/>
          <w:i w:val="0"/>
          <w:sz w:val="24"/>
        </w:rPr>
        <w:t>the walking-speed pool violated our own one-effect-per-study rule</w:t>
      </w:r>
      <w:r>
        <w:rPr>
          <w:rFonts w:ascii="Times New Roman" w:hAnsi="Times New Roman" w:cs="Times New Roman" w:eastAsia="바탕"/>
          <w:b w:val="0"/>
          <w:i w:val="0"/>
          <w:sz w:val="24"/>
        </w:rPr>
        <w:t xml:space="preserve"> (D7-2): the two experiments of one study had entered the same contrast frame separately. Combining them within the paper as pre-specified moved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from 4 to 3 and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from .179 to .326. Third, </w:t>
      </w:r>
      <w:r>
        <w:rPr>
          <w:rFonts w:ascii="Times New Roman" w:hAnsi="Times New Roman" w:cs="Times New Roman" w:eastAsia="바탕"/>
          <w:b/>
          <w:i w:val="0"/>
          <w:sz w:val="24"/>
        </w:rPr>
        <w:t>two correlational inputs did not match their sources</w:t>
      </w:r>
      <w:r>
        <w:rPr>
          <w:rFonts w:ascii="Times New Roman" w:hAnsi="Times New Roman" w:cs="Times New Roman" w:eastAsia="바탕"/>
          <w:b w:val="0"/>
          <w:i w:val="0"/>
          <w:sz w:val="24"/>
        </w:rPr>
        <w:t xml:space="preserve"> (D7-3): one effect had been constructed at the pooling stage although the extraction table recorded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 and no such combination exists in the source; the other used a sample size that was not the analytic unit. The former was removed from the pool; for the latter, the variance was back-calculated from the published confidence interval. Fourth, </w:t>
      </w:r>
      <w:r>
        <w:rPr>
          <w:rFonts w:ascii="Times New Roman" w:hAnsi="Times New Roman" w:cs="Times New Roman" w:eastAsia="바탕"/>
          <w:b/>
          <w:i w:val="0"/>
          <w:sz w:val="24"/>
        </w:rPr>
        <w:t>the rank-correlation sensitivity had excluded nothing</w:t>
      </w:r>
      <w:r>
        <w:rPr>
          <w:rFonts w:ascii="Times New Roman" w:hAnsi="Times New Roman" w:cs="Times New Roman" w:eastAsia="바탕"/>
          <w:b w:val="0"/>
          <w:i w:val="0"/>
          <w:sz w:val="24"/>
        </w:rPr>
        <w:t xml:space="preserve"> (D7-4), because the source field was overwritten while reading inputs and then used as the filter; the previous report of "identical to the main analysis" was the product of the bug.</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The database search returned 2,073 records (Web of Science 1,010, Scopus 850, PubMed 213). After removing 757 duplicates, 1,316 were screened, 1,127 excluded, and 189 full texts sought. 89 could not be retrieved, 84 of which had been classed as uncertain at screening. 100 full texts were assessed, 16 excluded and 3 reserved for sensitivity analysis, leaving </w:t>
      </w:r>
      <w:r>
        <w:rPr>
          <w:rFonts w:ascii="Times New Roman" w:hAnsi="Times New Roman" w:cs="Times New Roman" w:eastAsia="바탕"/>
          <w:b/>
          <w:i w:val="0"/>
          <w:sz w:val="24"/>
        </w:rPr>
        <w:t>81 studies</w:t>
      </w:r>
      <w:r>
        <w:rPr>
          <w:rFonts w:ascii="Times New Roman" w:hAnsi="Times New Roman" w:cs="Times New Roman" w:eastAsia="바탕"/>
          <w:b w:val="0"/>
          <w:i w:val="0"/>
          <w:sz w:val="24"/>
        </w:rPr>
        <w:t xml:space="preserve"> from this route.</w:t>
      </w:r>
    </w:p>
    <w:p>
      <w:pPr>
        <w:spacing w:after="0" w:before="0"/>
        <w:ind w:firstLine="288"/>
      </w:pPr>
      <w:r>
        <w:rPr>
          <w:rFonts w:ascii="Times New Roman" w:hAnsi="Times New Roman" w:cs="Times New Roman" w:eastAsia="바탕"/>
          <w:b w:val="0"/>
          <w:i w:val="0"/>
          <w:sz w:val="24"/>
        </w:rPr>
        <w:t xml:space="preserve">Tracking the citations of these studies yielded 2,073 records not already in the pool. After the priority filter, 428 were screened by title and 146 by abstract, and 79 full texts were sought. 54 were retrieved and assessed, 38 excluded and 1 reserved for sensitivity analysis, so this route added </w:t>
      </w:r>
      <w:r>
        <w:rPr>
          <w:rFonts w:ascii="Times New Roman" w:hAnsi="Times New Roman" w:cs="Times New Roman" w:eastAsia="바탕"/>
          <w:b/>
          <w:i w:val="0"/>
          <w:sz w:val="24"/>
        </w:rPr>
        <w:t>15 studies</w:t>
      </w:r>
      <w:r>
        <w:rPr>
          <w:rFonts w:ascii="Times New Roman" w:hAnsi="Times New Roman" w:cs="Times New Roman" w:eastAsia="바탕"/>
          <w:b w:val="0"/>
          <w:i w:val="0"/>
          <w:sz w:val="24"/>
        </w:rPr>
        <w:t xml:space="preserve">, 19% of the database yield. The supplementary index screened 329 records, sought 15, assessed 5 and contributed </w:t>
      </w:r>
      <w:r>
        <w:rPr>
          <w:rFonts w:ascii="Times New Roman" w:hAnsi="Times New Roman" w:cs="Times New Roman" w:eastAsia="바탕"/>
          <w:b/>
          <w:i w:val="0"/>
          <w:sz w:val="24"/>
        </w:rPr>
        <w:t>2 studies</w:t>
      </w:r>
      <w:r>
        <w:rPr>
          <w:rFonts w:ascii="Times New Roman" w:hAnsi="Times New Roman" w:cs="Times New Roman" w:eastAsia="바탕"/>
          <w:b w:val="0"/>
          <w:i w:val="0"/>
          <w:sz w:val="24"/>
        </w:rPr>
        <w:t>.</w:t>
      </w:r>
    </w:p>
    <w:p>
      <w:pPr>
        <w:spacing w:after="0" w:before="0"/>
        <w:ind w:firstLine="288"/>
      </w:pPr>
      <w:r>
        <w:rPr>
          <w:rFonts w:ascii="Times New Roman" w:hAnsi="Times New Roman" w:cs="Times New Roman" w:eastAsia="바탕"/>
          <w:b w:val="0"/>
          <w:i w:val="0"/>
          <w:sz w:val="24"/>
        </w:rPr>
        <w:t xml:space="preserve">The composition of the supplementary-index exclusions is itself informative. Of 314 exclusions, </w:t>
      </w:r>
      <w:r>
        <w:rPr>
          <w:rFonts w:ascii="Times New Roman" w:hAnsi="Times New Roman" w:cs="Times New Roman" w:eastAsia="바탕"/>
          <w:b/>
          <w:i w:val="0"/>
          <w:sz w:val="24"/>
        </w:rPr>
        <w:t>147 (47%) were non-empirical</w:t>
      </w:r>
      <w:r>
        <w:rPr>
          <w:rFonts w:ascii="Times New Roman" w:hAnsi="Times New Roman" w:cs="Times New Roman" w:eastAsia="바탕"/>
          <w:b w:val="0"/>
          <w:i w:val="0"/>
          <w:sz w:val="24"/>
        </w:rPr>
        <w:t xml:space="preserve">, including book reviews, editorials, commentary and obituaries. This is because the OpenAlex index is far larger than Web of Science and Scopus [22], and it has been reported that using OpenAlex as a search source returns far more records than conventional sources, with a correspondingly larger screening burden [23]. A wider index holds more of the relevant literature, and more of what must be screened out. That two studies were added from outside the three databases shows, at minimum, that </w:t>
      </w:r>
      <w:r>
        <w:rPr>
          <w:rFonts w:ascii="Times New Roman" w:hAnsi="Times New Roman" w:cs="Times New Roman" w:eastAsia="바탕"/>
          <w:b/>
          <w:i w:val="0"/>
          <w:sz w:val="24"/>
        </w:rPr>
        <w:t>the corpus was not closed by database searching alone.</w:t>
      </w:r>
    </w:p>
    <w:p>
      <w:pPr>
        <w:spacing w:after="0" w:before="0"/>
        <w:ind w:firstLine="288"/>
      </w:pPr>
      <w:r>
        <w:rPr>
          <w:rFonts w:ascii="Times New Roman" w:hAnsi="Times New Roman" w:cs="Times New Roman" w:eastAsia="바탕"/>
          <w:b w:val="0"/>
          <w:i w:val="0"/>
          <w:sz w:val="24"/>
        </w:rPr>
        <w:t xml:space="preserve">The final corpus is </w:t>
      </w:r>
      <w:r>
        <w:rPr>
          <w:rFonts w:ascii="Times New Roman" w:hAnsi="Times New Roman" w:cs="Times New Roman" w:eastAsia="바탕"/>
          <w:b/>
          <w:i w:val="0"/>
          <w:sz w:val="24"/>
        </w:rPr>
        <w:t>98 studies</w:t>
      </w:r>
      <w:r>
        <w:rPr>
          <w:rFonts w:ascii="Times New Roman" w:hAnsi="Times New Roman" w:cs="Times New Roman" w:eastAsia="바탕"/>
          <w:b w:val="0"/>
          <w:i w:val="0"/>
          <w:sz w:val="24"/>
        </w:rPr>
        <w:t>, with 4 further studies reserved for sensitivity analysis (102 analysed in total).</w:t>
      </w:r>
    </w:p>
    <w:p>
      <w:pPr>
        <w:spacing w:after="0" w:before="0"/>
        <w:ind w:firstLine="288"/>
      </w:pPr>
      <w:r>
        <w:rPr>
          <w:rFonts w:ascii="Times New Roman" w:hAnsi="Times New Roman" w:cs="Times New Roman" w:eastAsia="바탕"/>
          <w:b w:val="0"/>
          <w:i w:val="0"/>
          <w:sz w:val="24"/>
        </w:rPr>
        <w:t xml:space="preserve">The two large routes diverged instructively in yield. Records whose abstracts could be retrieved mechanically, allowing the behavioural outcome to be checked, survived at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 (17 of 37); records passed on title alone because no abstract could be retrieved survived </w:t>
      </w:r>
      <w:r>
        <w:rPr>
          <w:rFonts w:ascii="Times New Roman" w:hAnsi="Times New Roman" w:cs="Times New Roman" w:eastAsia="바탕"/>
          <w:b/>
          <w:i w:val="0"/>
          <w:sz w:val="24"/>
        </w:rPr>
        <w:t>not at all</w:t>
      </w:r>
      <w:r>
        <w:rPr>
          <w:rFonts w:ascii="Times New Roman" w:hAnsi="Times New Roman" w:cs="Times New Roman" w:eastAsia="바탕"/>
          <w:b w:val="0"/>
          <w:i w:val="0"/>
          <w:sz w:val="24"/>
        </w:rPr>
        <w:t xml:space="preserve"> (0 of 17). </w:t>
      </w:r>
      <w:r>
        <w:rPr>
          <w:rFonts w:ascii="Times New Roman" w:hAnsi="Times New Roman" w:cs="Times New Roman" w:eastAsia="바탕"/>
          <w:b/>
          <w:i w:val="0"/>
          <w:sz w:val="24"/>
        </w:rPr>
        <w:t>Abstract availability, not topical plausibility, was strongly associated with final inclusion.</w:t>
      </w:r>
      <w:r>
        <w:rPr>
          <w:rFonts w:ascii="Times New Roman" w:hAnsi="Times New Roman" w:cs="Times New Roman" w:eastAsia="바탕"/>
          <w:b w:val="0"/>
          <w:i w:val="0"/>
          <w:sz w:val="24"/>
        </w:rPr>
        <w:t xml:space="preserve"> That title-only first-stage screening is less sensitive than screening titles together with abstracts has also been reported in methodological work [24]. The two groups were not randomly assigned, however, and the latter numbers only 17, so the influence of the 22 unretrieved title-judged records on the corpus cannot be excluded.</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The corpus is best summarised as </w:t>
      </w:r>
      <w:r>
        <w:rPr>
          <w:rFonts w:ascii="Times New Roman" w:hAnsi="Times New Roman" w:cs="Times New Roman" w:eastAsia="바탕"/>
          <w:b/>
          <w:i w:val="0"/>
          <w:sz w:val="24"/>
        </w:rPr>
        <w:t>young and skewed</w:t>
      </w:r>
      <w:r>
        <w:rPr>
          <w:rFonts w:ascii="Times New Roman" w:hAnsi="Times New Roman" w:cs="Times New Roman" w:eastAsia="바탕"/>
          <w:b w:val="0"/>
          <w:i w:val="0"/>
          <w:sz w:val="24"/>
        </w:rPr>
        <w:t>. 70 of the 98 studies (71%) appeared in 2020 or later, the median publication year is 2022, and the oldest study dates from 1975. Across the 56 studies reporting participant counts, the median is 124 (IQR 30–400). The rest report units other than participants (street segments, GPS trajectories, street-view sample points), the largest being 81,403 bicycle passages. That sample size no longer has a single unit is itself a mark of the transition this literature is undergoing.</w:t>
      </w:r>
    </w:p>
    <w:p>
      <w:pPr>
        <w:spacing w:after="0" w:before="0"/>
        <w:ind w:firstLine="288"/>
      </w:pPr>
      <w:r>
        <w:rPr>
          <w:rFonts w:ascii="Times New Roman" w:hAnsi="Times New Roman" w:cs="Times New Roman" w:eastAsia="바탕"/>
          <w:b w:val="0"/>
          <w:i w:val="0"/>
          <w:sz w:val="24"/>
        </w:rPr>
        <w:t>Settings are dominated by streets (41) and parks (32), with squares (10), campuses, residential open space and waterfronts filling the remainder. Full characteristics are in Table 1.</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Geographic concentration is the corpus's largest constraint. </w:t>
      </w:r>
      <w:r>
        <w:rPr>
          <w:rFonts w:ascii="Times New Roman" w:hAnsi="Times New Roman" w:cs="Times New Roman" w:eastAsia="바탕"/>
          <w:b/>
          <w:i w:val="0"/>
          <w:sz w:val="24"/>
        </w:rPr>
        <w:t>38 of the 98 studies (39%) were conducted in China</w:t>
      </w:r>
      <w:r>
        <w:rPr>
          <w:rFonts w:ascii="Times New Roman" w:hAnsi="Times New Roman" w:cs="Times New Roman" w:eastAsia="바탕"/>
          <w:b w:val="0"/>
          <w:i w:val="0"/>
          <w:sz w:val="24"/>
        </w:rPr>
        <w:t>, followed by Spain (7), the United Kingdom (6) and Germany (5). Cross-cultural studies have reported that soundscape appraisal differs across countries even for the same type of urban open space [25,26], and such comparisons are themselves delicate, because results can turn on the translation and cross-cultural adaptation of the perceptual attributes [27]. Either way, pooled estimates must not be read as culturally general values.</w:t>
      </w:r>
    </w:p>
    <w:p>
      <w:pPr>
        <w:spacing w:line="240" w:lineRule="auto" w:before="200" w:after="80"/>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5532120" cy="275997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spacing w:after="0" w:before="0"/>
        <w:ind w:firstLine="288"/>
      </w:pPr>
      <w:r>
        <w:rPr>
          <w:rFonts w:ascii="Times New Roman" w:hAnsi="Times New Roman" w:cs="Times New Roman" w:eastAsia="바탕"/>
          <w:b w:val="0"/>
          <w:i w:val="0"/>
          <w:sz w:val="24"/>
        </w:rPr>
        <w:t xml:space="preserve">Fig. 2b shows a second, less obvious asymmetry: </w:t>
      </w:r>
      <w:r>
        <w:rPr>
          <w:rFonts w:ascii="Times New Roman" w:hAnsi="Times New Roman" w:cs="Times New Roman" w:eastAsia="바탕"/>
          <w:b/>
          <w:i w:val="0"/>
          <w:sz w:val="24"/>
        </w:rPr>
        <w:t>31 of the 33 reverse-direction studies appeared in 2016 or later.</w:t>
      </w:r>
      <w:r>
        <w:rPr>
          <w:rFonts w:ascii="Times New Roman" w:hAnsi="Times New Roman" w:cs="Times New Roman" w:eastAsia="바탕"/>
          <w:b w:val="0"/>
          <w:i w:val="0"/>
          <w:sz w:val="24"/>
        </w:rPr>
        <w:t xml:space="preserve"> The bidirectional evidence base emphasised in §1.4 is younger still than the corpus as a whole, and its accumulation correspondingly shallower.</w:t>
      </w:r>
    </w:p>
    <w:p>
      <w:pPr>
        <w:spacing w:after="0" w:before="0"/>
        <w:ind w:firstLine="288"/>
      </w:pPr>
      <w:r>
        <w:rPr>
          <w:rFonts w:ascii="Times New Roman" w:hAnsi="Times New Roman" w:cs="Times New Roman" w:eastAsia="바탕"/>
          <w:b w:val="0"/>
          <w:i w:val="0"/>
          <w:sz w:val="24"/>
        </w:rPr>
        <w:t xml:space="preserve">Most consequential for the conclusions is the design distribution. </w:t>
      </w:r>
      <w:r>
        <w:rPr>
          <w:rFonts w:ascii="Times New Roman" w:hAnsi="Times New Roman" w:cs="Times New Roman" w:eastAsia="바탕"/>
          <w:b/>
          <w:i w:val="0"/>
          <w:sz w:val="24"/>
        </w:rPr>
        <w:t>Only 19 studies (19%) manipulated the acoustic environment in the field.</w:t>
      </w:r>
      <w:r>
        <w:rPr>
          <w:rFonts w:ascii="Times New Roman" w:hAnsi="Times New Roman" w:cs="Times New Roman" w:eastAsia="바탕"/>
          <w:b w:val="0"/>
          <w:i w:val="0"/>
          <w:sz w:val="24"/>
        </w:rPr>
        <w:t xml:space="preserve"> The modal design is mixed observation and survey (34), followed by survey (25). This literature observes the acoustic environment far more often than it changes it. Observational research is not the problem in itself; but what planning wants to know is "what changes when something is changed", so the scarcity of manipulation directly constrains prescriptive reach.</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The MMAT tiers of the 98 included studies are high 22, moderate 40 and low 36. That distribution, however, misses what matters most about this corpus. Two much sharper patterns appear at item level (Fig. 3).</w:t>
      </w:r>
    </w:p>
    <w:p>
      <w:pPr>
        <w:spacing w:line="240" w:lineRule="auto" w:before="200" w:after="80"/>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532120" cy="509810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First, </w:t>
      </w:r>
      <w:r>
        <w:rPr>
          <w:rFonts w:ascii="Times New Roman" w:hAnsi="Times New Roman" w:cs="Times New Roman" w:eastAsia="바탕"/>
          <w:b/>
          <w:i w:val="0"/>
          <w:sz w:val="24"/>
        </w:rPr>
        <w:t>the two randomised studies receive no credit for their design.</w:t>
      </w:r>
      <w:r>
        <w:rPr>
          <w:rFonts w:ascii="Times New Roman" w:hAnsi="Times New Roman" w:cs="Times New Roman" w:eastAsia="바탕"/>
          <w:b w:val="0"/>
          <w:i w:val="0"/>
          <w:sz w:val="24"/>
        </w:rPr>
        <w:t xml:space="preserve"> Neither reports how randomisation was performed, whether the groups were equivalent at baseline, or whether assessors were blinded, so all three items are judged Can't tell and the studies meet one and two criteria respectively. The strongest design in the corpus receives among the weakest appraisals purely for lack of reporting. They are not the absolute bottom: four studies meet no criterion at all.</w:t>
      </w:r>
    </w:p>
    <w:p>
      <w:pPr>
        <w:spacing w:after="0" w:before="0"/>
        <w:ind w:firstLine="288"/>
      </w:pPr>
      <w:r>
        <w:rPr>
          <w:rFonts w:ascii="Times New Roman" w:hAnsi="Times New Roman" w:cs="Times New Roman" w:eastAsia="바탕"/>
          <w:b w:val="0"/>
          <w:i w:val="0"/>
          <w:sz w:val="24"/>
        </w:rPr>
        <w:t xml:space="preserve">Second, generalising that observation, </w:t>
      </w:r>
      <w:r>
        <w:rPr>
          <w:rFonts w:ascii="Times New Roman" w:hAnsi="Times New Roman" w:cs="Times New Roman" w:eastAsia="바탕"/>
          <w:b/>
          <w:i w:val="0"/>
          <w:sz w:val="24"/>
        </w:rPr>
        <w:t>the largest deficit is not confirmed deficiency of conduct but deficiency of reporting.</w:t>
      </w:r>
      <w:r>
        <w:rPr>
          <w:rFonts w:ascii="Times New Roman" w:hAnsi="Times New Roman" w:cs="Times New Roman" w:eastAsia="바탕"/>
          <w:b w:val="0"/>
          <w:i w:val="0"/>
          <w:sz w:val="24"/>
        </w:rPr>
        <w:t xml:space="preserve"> Sample representativeness is clearly met in 10 of 51 quantitative descriptive studies (20%), low non-response bias in 16 of 51 (31%), and adequate control of confounding in 9 of 22 non-randomised studies (41%). These items score low not because the studies were shown to be biased, but because </w:t>
      </w:r>
      <w:r>
        <w:rPr>
          <w:rFonts w:ascii="Times New Roman" w:hAnsi="Times New Roman" w:cs="Times New Roman" w:eastAsia="바탕"/>
          <w:b/>
          <w:i w:val="0"/>
          <w:sz w:val="24"/>
        </w:rPr>
        <w:t>the information needed to judge is absent.</w:t>
      </w:r>
      <w:r>
        <w:rPr>
          <w:rFonts w:ascii="Times New Roman" w:hAnsi="Times New Roman" w:cs="Times New Roman" w:eastAsia="바탕"/>
          <w:b w:val="0"/>
          <w:i w:val="0"/>
          <w:sz w:val="24"/>
        </w:rPr>
        <w:t xml:space="preserve"> A field that reports sound pressure to three decimal places routinely omits response rates; the asymmetry is on full display here. The dose–response between noise and annoyance could be quantified at scale because that literature standardised the reporting of exposure and response together [4]; behavioural research has not reached that stage.</w:t>
      </w:r>
    </w:p>
    <w:p>
      <w:pPr>
        <w:spacing w:after="0" w:before="0"/>
        <w:ind w:firstLine="288"/>
      </w:pPr>
      <w:r>
        <w:rPr>
          <w:rFonts w:ascii="Times New Roman" w:hAnsi="Times New Roman" w:cs="Times New Roman" w:eastAsia="바탕"/>
          <w:b w:val="0"/>
          <w:i w:val="0"/>
          <w:sz w:val="24"/>
        </w:rPr>
        <w:t>One procedural check completes the picture. Excluding the five studies that reproduced outdoor scenes in VR changes no pooled estimate, because none of them contributes a poolable effect; they enter the narrative synthesis only. This also resolves the cross-branch inconsistency noted in §2.4 (D6-1): the rule was applied to one branch only, but no such study enters any pool, so there is no quantitative consequence.</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Four clusters met the pooling requirement. The characteristics of the contributing studies and their individual effects are in Table 3. The conclusion first: </w:t>
      </w:r>
      <w:r>
        <w:rPr>
          <w:rFonts w:ascii="Times New Roman" w:hAnsi="Times New Roman" w:cs="Times New Roman" w:eastAsia="바탕"/>
          <w:b/>
          <w:i w:val="0"/>
          <w:sz w:val="24"/>
        </w:rPr>
        <w:t>all four clusters point in the theoretically predicted direction, and none establishes that direction with dependable precision.</w:t>
      </w:r>
      <w:r>
        <w:rPr>
          <w:rFonts w:ascii="Times New Roman" w:hAnsi="Times New Roman" w:cs="Times New Roman" w:eastAsia="바탕"/>
          <w:b w:val="0"/>
          <w:i w:val="0"/>
          <w:sz w:val="24"/>
        </w:rPr>
        <w:t xml:space="preserve"> Two clusters exclude zero for the mean effect; the prediction interval, which speaks to what the next study will find, includes zero in all four.</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val="0"/>
                <w:i w:val="0"/>
                <w:sz w:val="22"/>
              </w:rPr>
              <w:t>Social interaction (natural/quiet vs noise)</w:t>
            </w:r>
          </w:p>
        </w:tc>
        <w:tc>
          <w:tcPr>
            <w:tcW w:type="dxa" w:w="1096"/>
          </w:tcPr>
          <w:p>
            <w:pPr>
              <w:spacing w:line="240" w:lineRule="auto" w:after="0"/>
            </w:pPr>
            <w:r/>
            <w:r>
              <w:rPr>
                <w:rFonts w:ascii="Times New Roman" w:hAnsi="Times New Roman" w:cs="Times New Roman" w:eastAsia="바탕"/>
                <w:b w:val="0"/>
                <w:i w:val="0"/>
                <w:sz w:val="22"/>
              </w:rPr>
              <w:t>4</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val="0"/>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i w:val="0"/>
                <w:sz w:val="22"/>
              </w:rPr>
              <w:t>.006</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Characteristics of the studies contributing to each meta-analytic cluster. ▲ marks studies retrieved by citation searching. </w:t>
      </w:r>
      <w:r>
        <w:rPr>
          <w:rFonts w:ascii="Times New Roman" w:hAnsi="Times New Roman" w:cs="Times New Roman" w:eastAsia="바탕"/>
          <w:b w:val="0"/>
          <w:i/>
          <w:sz w:val="22"/>
        </w:rPr>
        <w:t>n</w:t>
      </w:r>
      <w:r>
        <w:rPr>
          <w:rFonts w:ascii="Times New Roman" w:hAnsi="Times New Roman" w:cs="Times New Roman" w:eastAsia="바탕"/>
          <w:b w:val="0"/>
          <w:i w:val="0"/>
          <w:sz w:val="22"/>
        </w:rPr>
        <w:t xml:space="preserve"> is the analytic sample for the pooled contrast, which can differ from the study's total sample; per-effect values, variances and source locations are Supplementary S7. Effects are Hedges' </w:t>
      </w:r>
      <w:r>
        <w:rPr>
          <w:rFonts w:ascii="Times New Roman" w:hAnsi="Times New Roman" w:cs="Times New Roman" w:eastAsia="바탕"/>
          <w:b w:val="0"/>
          <w:i/>
          <w:sz w:val="22"/>
        </w:rPr>
        <w:t>g</w:t>
      </w:r>
      <w:r>
        <w:rPr>
          <w:rFonts w:ascii="Times New Roman" w:hAnsi="Times New Roman" w:cs="Times New Roman" w:eastAsia="바탕"/>
          <w:b w:val="0"/>
          <w:i w:val="0"/>
          <w:sz w:val="22"/>
        </w:rPr>
        <w:t xml:space="preserve"> with 95% CI, except the final cluster, which reports </w:t>
      </w:r>
      <w:r>
        <w:rPr>
          <w:rFonts w:ascii="Times New Roman" w:hAnsi="Times New Roman" w:cs="Times New Roman" w:eastAsia="바탕"/>
          <w:b w:val="0"/>
          <w:i/>
          <w:sz w:val="22"/>
        </w:rPr>
        <w:t>r</w:t>
      </w:r>
      <w:r>
        <w:rPr>
          <w:rFonts w:ascii="Times New Roman" w:hAnsi="Times New Roman" w:cs="Times New Roman" w:eastAsia="바탕"/>
          <w:b w:val="0"/>
          <w:i w:val="0"/>
          <w:sz w:val="22"/>
        </w:rPr>
        <w:t>. NR = not reported (variance back-calculated from the published CI).</w:t>
      </w:r>
    </w:p>
    <w:tbl>
      <w:tblPr>
        <w:tblStyle w:val="TableGrid"/>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after="0"/>
            </w:pPr>
            <w:r/>
            <w:r>
              <w:rPr>
                <w:rFonts w:ascii="Times New Roman" w:hAnsi="Times New Roman" w:cs="Times New Roman" w:eastAsia="바탕"/>
                <w:b/>
                <w:i w:val="0"/>
                <w:sz w:val="22"/>
              </w:rPr>
              <w:t>No.</w:t>
            </w:r>
          </w:p>
        </w:tc>
        <w:tc>
          <w:tcPr>
            <w:tcW w:type="dxa" w:w="974"/>
          </w:tcPr>
          <w:p>
            <w:pPr>
              <w:spacing w:line="240" w:lineRule="auto" w:after="0"/>
            </w:pPr>
            <w:r/>
            <w:r>
              <w:rPr>
                <w:rFonts w:ascii="Times New Roman" w:hAnsi="Times New Roman" w:cs="Times New Roman" w:eastAsia="바탕"/>
                <w:b/>
                <w:i w:val="0"/>
                <w:sz w:val="22"/>
              </w:rPr>
              <w:t>Study</w:t>
            </w:r>
          </w:p>
        </w:tc>
        <w:tc>
          <w:tcPr>
            <w:tcW w:type="dxa" w:w="974"/>
          </w:tcPr>
          <w:p>
            <w:pPr>
              <w:spacing w:line="240" w:lineRule="auto" w:after="0"/>
            </w:pPr>
            <w:r/>
            <w:r>
              <w:rPr>
                <w:rFonts w:ascii="Times New Roman" w:hAnsi="Times New Roman" w:cs="Times New Roman" w:eastAsia="바탕"/>
                <w:b/>
                <w:i w:val="0"/>
                <w:sz w:val="22"/>
              </w:rPr>
              <w:t>Country</w:t>
            </w:r>
          </w:p>
        </w:tc>
        <w:tc>
          <w:tcPr>
            <w:tcW w:type="dxa" w:w="974"/>
          </w:tcPr>
          <w:p>
            <w:pPr>
              <w:spacing w:line="240" w:lineRule="auto" w:after="0"/>
            </w:pPr>
            <w:r/>
            <w:r>
              <w:rPr>
                <w:rFonts w:ascii="Times New Roman" w:hAnsi="Times New Roman" w:cs="Times New Roman" w:eastAsia="바탕"/>
                <w:b/>
                <w:i w:val="0"/>
                <w:sz w:val="22"/>
              </w:rPr>
              <w:t>Setting</w:t>
            </w:r>
          </w:p>
        </w:tc>
        <w:tc>
          <w:tcPr>
            <w:tcW w:type="dxa" w:w="974"/>
          </w:tcPr>
          <w:p>
            <w:pPr>
              <w:spacing w:line="240" w:lineRule="auto" w:after="0"/>
            </w:pPr>
            <w:r/>
            <w:r>
              <w:rPr>
                <w:rFonts w:ascii="Times New Roman" w:hAnsi="Times New Roman" w:cs="Times New Roman" w:eastAsia="바탕"/>
                <w:b/>
                <w:i w:val="0"/>
                <w:sz w:val="22"/>
              </w:rPr>
              <w:t>Design</w:t>
            </w:r>
          </w:p>
        </w:tc>
        <w:tc>
          <w:tcPr>
            <w:tcW w:type="dxa" w:w="974"/>
          </w:tcPr>
          <w:p>
            <w:pPr>
              <w:spacing w:line="240" w:lineRule="auto" w:after="0"/>
            </w:pPr>
            <w:r/>
            <w:r>
              <w:rPr>
                <w:rFonts w:ascii="Times New Roman" w:hAnsi="Times New Roman" w:cs="Times New Roman" w:eastAsia="바탕"/>
                <w:b/>
                <w:i w:val="0"/>
                <w:sz w:val="22"/>
              </w:rPr>
              <w:t>Contrast or measure</w:t>
            </w:r>
          </w:p>
        </w:tc>
        <w:tc>
          <w:tcPr>
            <w:tcW w:type="dxa" w:w="974"/>
          </w:tcPr>
          <w:p>
            <w:pPr>
              <w:spacing w:line="240" w:lineRule="auto" w:after="0"/>
            </w:pPr>
            <w:r/>
            <w:r>
              <w:rPr>
                <w:rFonts w:ascii="Times New Roman" w:hAnsi="Times New Roman" w:cs="Times New Roman" w:eastAsia="바탕"/>
                <w:b/>
                <w:i/>
                <w:sz w:val="22"/>
              </w:rPr>
              <w:t>n</w:t>
            </w:r>
          </w:p>
        </w:tc>
        <w:tc>
          <w:tcPr>
            <w:tcW w:type="dxa" w:w="974"/>
          </w:tcPr>
          <w:p>
            <w:pPr>
              <w:spacing w:line="240" w:lineRule="auto" w:after="0"/>
            </w:pPr>
            <w:r/>
            <w:r>
              <w:rPr>
                <w:rFonts w:ascii="Times New Roman" w:hAnsi="Times New Roman" w:cs="Times New Roman" w:eastAsia="바탕"/>
                <w:b/>
                <w:i w:val="0"/>
                <w:sz w:val="22"/>
              </w:rPr>
              <w:t>MMAT</w:t>
            </w:r>
          </w:p>
        </w:tc>
        <w:tc>
          <w:tcPr>
            <w:tcW w:type="dxa" w:w="974"/>
          </w:tcPr>
          <w:p>
            <w:pPr>
              <w:spacing w:line="240" w:lineRule="auto" w:after="0"/>
            </w:pPr>
            <w:r/>
            <w:r>
              <w:rPr>
                <w:rFonts w:ascii="Times New Roman" w:hAnsi="Times New Roman" w:cs="Times New Roman" w:eastAsia="바탕"/>
                <w:b/>
                <w:i w:val="0"/>
                <w:sz w:val="22"/>
              </w:rPr>
              <w:t>Effect [95% CI]</w:t>
            </w:r>
          </w:p>
        </w:tc>
      </w:tr>
      <w:tr>
        <w:tc>
          <w:tcPr>
            <w:tcW w:type="dxa" w:w="974"/>
          </w:tcPr>
          <w:p>
            <w:pPr>
              <w:spacing w:line="240" w:lineRule="auto" w:after="0"/>
            </w:pPr>
            <w:r/>
            <w:r>
              <w:rPr>
                <w:rFonts w:ascii="Times New Roman" w:hAnsi="Times New Roman" w:cs="Times New Roman" w:eastAsia="바탕"/>
                <w:b/>
                <w:i w:val="0"/>
                <w:sz w:val="22"/>
              </w:rPr>
              <w:t>Walking speed (Hedges' g; negative = faster under noise)</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w:t>
            </w:r>
          </w:p>
        </w:tc>
        <w:tc>
          <w:tcPr>
            <w:tcW w:type="dxa" w:w="974"/>
          </w:tcPr>
          <w:p>
            <w:pPr>
              <w:spacing w:line="240" w:lineRule="auto" w:after="0"/>
            </w:pPr>
            <w:r/>
            <w:r>
              <w:rPr>
                <w:rFonts w:ascii="Times New Roman" w:hAnsi="Times New Roman" w:cs="Times New Roman" w:eastAsia="바탕"/>
                <w:b w:val="0"/>
                <w:i w:val="0"/>
                <w:sz w:val="22"/>
              </w:rPr>
              <w:t>Franěk 2018</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traffic noise</w:t>
            </w:r>
          </w:p>
        </w:tc>
        <w:tc>
          <w:tcPr>
            <w:tcW w:type="dxa" w:w="974"/>
          </w:tcPr>
          <w:p>
            <w:pPr>
              <w:spacing w:line="240" w:lineRule="auto" w:after="0"/>
            </w:pPr>
            <w:r/>
            <w:r>
              <w:rPr>
                <w:rFonts w:ascii="Times New Roman" w:hAnsi="Times New Roman" w:cs="Times New Roman" w:eastAsia="바탕"/>
                <w:b w:val="0"/>
                <w:i w:val="0"/>
                <w:sz w:val="22"/>
              </w:rPr>
              <w:t>57</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−1.02 [−1.58, −0.47]</w:t>
            </w:r>
          </w:p>
        </w:tc>
      </w:tr>
      <w:tr>
        <w:tc>
          <w:tcPr>
            <w:tcW w:type="dxa" w:w="974"/>
          </w:tcPr>
          <w:p>
            <w:pPr>
              <w:spacing w:line="240" w:lineRule="auto" w:after="0"/>
            </w:pPr>
            <w:r/>
            <w:r>
              <w:rPr>
                <w:rFonts w:ascii="Times New Roman" w:hAnsi="Times New Roman" w:cs="Times New Roman" w:eastAsia="바탕"/>
                <w:b w:val="0"/>
                <w:i w:val="0"/>
                <w:sz w:val="22"/>
              </w:rPr>
              <w:t>2</w:t>
            </w:r>
          </w:p>
        </w:tc>
        <w:tc>
          <w:tcPr>
            <w:tcW w:type="dxa" w:w="974"/>
          </w:tcPr>
          <w:p>
            <w:pPr>
              <w:spacing w:line="240" w:lineRule="auto" w:after="0"/>
            </w:pPr>
            <w:r/>
            <w:r>
              <w:rPr>
                <w:rFonts w:ascii="Times New Roman" w:hAnsi="Times New Roman" w:cs="Times New Roman" w:eastAsia="바탕"/>
                <w:b w:val="0"/>
                <w:i w:val="0"/>
                <w:sz w:val="22"/>
              </w:rPr>
              <w:t>Franěk 2019</w:t>
            </w:r>
          </w:p>
        </w:tc>
        <w:tc>
          <w:tcPr>
            <w:tcW w:type="dxa" w:w="974"/>
          </w:tcPr>
          <w:p>
            <w:pPr>
              <w:spacing w:line="240" w:lineRule="auto" w:after="0"/>
            </w:pPr>
            <w:r/>
            <w:r>
              <w:rPr>
                <w:rFonts w:ascii="Times New Roman" w:hAnsi="Times New Roman" w:cs="Times New Roman" w:eastAsia="바탕"/>
                <w:b w:val="0"/>
                <w:i w:val="0"/>
                <w:sz w:val="22"/>
              </w:rPr>
              <w:t>Czechia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birdsong vs city noise (Exp 1 and 2)</w:t>
            </w:r>
          </w:p>
        </w:tc>
        <w:tc>
          <w:tcPr>
            <w:tcW w:type="dxa" w:w="974"/>
          </w:tcPr>
          <w:p>
            <w:pPr>
              <w:spacing w:line="240" w:lineRule="auto" w:after="0"/>
            </w:pPr>
            <w:r/>
            <w:r>
              <w:rPr>
                <w:rFonts w:ascii="Times New Roman" w:hAnsi="Times New Roman" w:cs="Times New Roman" w:eastAsia="바탕"/>
                <w:b w:val="0"/>
                <w:i w:val="0"/>
                <w:sz w:val="22"/>
              </w:rPr>
              <w:t>102</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−0.63 [−1.12, −0.13]</w:t>
            </w:r>
          </w:p>
        </w:tc>
      </w:tr>
      <w:tr>
        <w:tc>
          <w:tcPr>
            <w:tcW w:type="dxa" w:w="974"/>
          </w:tcPr>
          <w:p>
            <w:pPr>
              <w:spacing w:line="240" w:lineRule="auto" w:after="0"/>
            </w:pPr>
            <w:r/>
            <w:r>
              <w:rPr>
                <w:rFonts w:ascii="Times New Roman" w:hAnsi="Times New Roman" w:cs="Times New Roman" w:eastAsia="바탕"/>
                <w:b w:val="0"/>
                <w:i w:val="0"/>
                <w:sz w:val="22"/>
              </w:rPr>
              <w:t>3</w:t>
            </w:r>
          </w:p>
        </w:tc>
        <w:tc>
          <w:tcPr>
            <w:tcW w:type="dxa" w:w="974"/>
          </w:tcPr>
          <w:p>
            <w:pPr>
              <w:spacing w:line="240" w:lineRule="auto" w:after="0"/>
            </w:pPr>
            <w:r/>
            <w:r>
              <w:rPr>
                <w:rFonts w:ascii="Times New Roman" w:hAnsi="Times New Roman" w:cs="Times New Roman" w:eastAsia="바탕"/>
                <w:b w:val="0"/>
                <w:i w:val="0"/>
                <w:sz w:val="22"/>
              </w:rPr>
              <w:t>Berkouk 2020</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observational</w:t>
            </w:r>
          </w:p>
        </w:tc>
        <w:tc>
          <w:tcPr>
            <w:tcW w:type="dxa" w:w="974"/>
          </w:tcPr>
          <w:p>
            <w:pPr>
              <w:spacing w:line="240" w:lineRule="auto" w:after="0"/>
            </w:pPr>
            <w:r/>
            <w:r>
              <w:rPr>
                <w:rFonts w:ascii="Times New Roman" w:hAnsi="Times New Roman" w:cs="Times New Roman" w:eastAsia="바탕"/>
                <w:b w:val="0"/>
                <w:i w:val="0"/>
                <w:sz w:val="22"/>
              </w:rPr>
              <w:t>natural vs traffic sound</w:t>
            </w:r>
          </w:p>
        </w:tc>
        <w:tc>
          <w:tcPr>
            <w:tcW w:type="dxa" w:w="974"/>
          </w:tcPr>
          <w:p>
            <w:pPr>
              <w:spacing w:line="240" w:lineRule="auto" w:after="0"/>
            </w:pPr>
            <w:r/>
            <w:r>
              <w:rPr>
                <w:rFonts w:ascii="Times New Roman" w:hAnsi="Times New Roman" w:cs="Times New Roman" w:eastAsia="바탕"/>
                <w:b w:val="0"/>
                <w:i w:val="0"/>
                <w:sz w:val="22"/>
              </w:rPr>
              <w:t>54</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+0.23 [−0.31, +0.76]</w:t>
            </w:r>
          </w:p>
        </w:tc>
      </w:tr>
      <w:tr>
        <w:tc>
          <w:tcPr>
            <w:tcW w:type="dxa" w:w="974"/>
          </w:tcPr>
          <w:p>
            <w:pPr>
              <w:spacing w:line="240" w:lineRule="auto" w:after="0"/>
            </w:pPr>
            <w:r/>
            <w:r>
              <w:rPr>
                <w:rFonts w:ascii="Times New Roman" w:hAnsi="Times New Roman" w:cs="Times New Roman" w:eastAsia="바탕"/>
                <w:b/>
                <w:i w:val="0"/>
                <w:sz w:val="22"/>
              </w:rPr>
              <w:t>Staying / dwell time (Hedges' g; positive = longer stay)</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4</w:t>
            </w:r>
          </w:p>
        </w:tc>
        <w:tc>
          <w:tcPr>
            <w:tcW w:type="dxa" w:w="974"/>
          </w:tcPr>
          <w:p>
            <w:pPr>
              <w:spacing w:line="240" w:lineRule="auto" w:after="0"/>
            </w:pPr>
            <w:r/>
            <w:r>
              <w:rPr>
                <w:rFonts w:ascii="Times New Roman" w:hAnsi="Times New Roman" w:cs="Times New Roman" w:eastAsia="바탕"/>
                <w:b w:val="0"/>
                <w:i w:val="0"/>
                <w:sz w:val="22"/>
              </w:rPr>
              <w:t>Aletta 2016</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campus</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music</w:t>
            </w:r>
          </w:p>
        </w:tc>
        <w:tc>
          <w:tcPr>
            <w:tcW w:type="dxa" w:w="974"/>
          </w:tcPr>
          <w:p>
            <w:pPr>
              <w:spacing w:line="240" w:lineRule="auto" w:after="0"/>
            </w:pPr>
            <w:r/>
            <w:r>
              <w:rPr>
                <w:rFonts w:ascii="Times New Roman" w:hAnsi="Times New Roman" w:cs="Times New Roman" w:eastAsia="바탕"/>
                <w:b w:val="0"/>
                <w:i w:val="0"/>
                <w:sz w:val="22"/>
              </w:rPr>
              <w:t>596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+0.39 [+0.19, +0.59]</w:t>
            </w:r>
          </w:p>
        </w:tc>
      </w:tr>
      <w:tr>
        <w:tc>
          <w:tcPr>
            <w:tcW w:type="dxa" w:w="974"/>
          </w:tcPr>
          <w:p>
            <w:pPr>
              <w:spacing w:line="240" w:lineRule="auto" w:after="0"/>
            </w:pPr>
            <w:r/>
            <w:r>
              <w:rPr>
                <w:rFonts w:ascii="Times New Roman" w:hAnsi="Times New Roman" w:cs="Times New Roman" w:eastAsia="바탕"/>
                <w:b w:val="0"/>
                <w:i w:val="0"/>
                <w:sz w:val="22"/>
              </w:rPr>
              <w:t>5</w:t>
            </w:r>
          </w:p>
        </w:tc>
        <w:tc>
          <w:tcPr>
            <w:tcW w:type="dxa" w:w="974"/>
          </w:tcPr>
          <w:p>
            <w:pPr>
              <w:spacing w:line="240" w:lineRule="auto" w:after="0"/>
            </w:pPr>
            <w:r/>
            <w:r>
              <w:rPr>
                <w:rFonts w:ascii="Times New Roman" w:hAnsi="Times New Roman" w:cs="Times New Roman" w:eastAsia="바탕"/>
                <w:b w:val="0"/>
                <w:i w:val="0"/>
                <w:sz w:val="22"/>
              </w:rPr>
              <w:t>Ba &amp; Kang 2020</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music vs no sound</w:t>
            </w:r>
          </w:p>
        </w:tc>
        <w:tc>
          <w:tcPr>
            <w:tcW w:type="dxa" w:w="974"/>
          </w:tcPr>
          <w:p>
            <w:pPr>
              <w:spacing w:line="240" w:lineRule="auto" w:after="0"/>
            </w:pPr>
            <w:r/>
            <w:r>
              <w:rPr>
                <w:rFonts w:ascii="Times New Roman" w:hAnsi="Times New Roman" w:cs="Times New Roman" w:eastAsia="바탕"/>
                <w:b w:val="0"/>
                <w:i w:val="0"/>
                <w:sz w:val="22"/>
              </w:rPr>
              <w:t>97</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+0.61 [+0.21, +1.02]</w:t>
            </w:r>
          </w:p>
        </w:tc>
      </w:tr>
      <w:tr>
        <w:tc>
          <w:tcPr>
            <w:tcW w:type="dxa" w:w="974"/>
          </w:tcPr>
          <w:p>
            <w:pPr>
              <w:spacing w:line="240" w:lineRule="auto" w:after="0"/>
            </w:pPr>
            <w:r/>
            <w:r>
              <w:rPr>
                <w:rFonts w:ascii="Times New Roman" w:hAnsi="Times New Roman" w:cs="Times New Roman" w:eastAsia="바탕"/>
                <w:b w:val="0"/>
                <w:i w:val="0"/>
                <w:sz w:val="22"/>
              </w:rPr>
              <w:t>6</w:t>
            </w:r>
          </w:p>
        </w:tc>
        <w:tc>
          <w:tcPr>
            <w:tcW w:type="dxa" w:w="974"/>
          </w:tcPr>
          <w:p>
            <w:pPr>
              <w:spacing w:line="240" w:lineRule="auto" w:after="0"/>
            </w:pPr>
            <w:r/>
            <w:r>
              <w:rPr>
                <w:rFonts w:ascii="Times New Roman" w:hAnsi="Times New Roman" w:cs="Times New Roman" w:eastAsia="바탕"/>
                <w:b w:val="0"/>
                <w:i w:val="0"/>
                <w:sz w:val="22"/>
              </w:rPr>
              <w:t>Fu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index (high vs low)</w:t>
            </w:r>
          </w:p>
        </w:tc>
        <w:tc>
          <w:tcPr>
            <w:tcW w:type="dxa" w:w="974"/>
          </w:tcPr>
          <w:p>
            <w:pPr>
              <w:spacing w:line="240" w:lineRule="auto" w:after="0"/>
            </w:pPr>
            <w:r/>
            <w:r>
              <w:rPr>
                <w:rFonts w:ascii="Times New Roman" w:hAnsi="Times New Roman" w:cs="Times New Roman" w:eastAsia="바탕"/>
                <w:b w:val="0"/>
                <w:i w:val="0"/>
                <w:sz w:val="22"/>
              </w:rPr>
              <w:t>241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+0.21 [+0.07, +0.36]</w:t>
            </w:r>
          </w:p>
        </w:tc>
      </w:tr>
      <w:tr>
        <w:tc>
          <w:tcPr>
            <w:tcW w:type="dxa" w:w="974"/>
          </w:tcPr>
          <w:p>
            <w:pPr>
              <w:spacing w:line="240" w:lineRule="auto" w:after="0"/>
            </w:pPr>
            <w:r/>
            <w:r>
              <w:rPr>
                <w:rFonts w:ascii="Times New Roman" w:hAnsi="Times New Roman" w:cs="Times New Roman" w:eastAsia="바탕"/>
                <w:b/>
                <w:i w:val="0"/>
                <w:sz w:val="22"/>
              </w:rPr>
              <w:t>Social interaction (Hedges' g; positive = more interaction)</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7</w:t>
            </w:r>
          </w:p>
        </w:tc>
        <w:tc>
          <w:tcPr>
            <w:tcW w:type="dxa" w:w="974"/>
          </w:tcPr>
          <w:p>
            <w:pPr>
              <w:spacing w:line="240" w:lineRule="auto" w:after="0"/>
            </w:pPr>
            <w:r/>
            <w:r>
              <w:rPr>
                <w:rFonts w:ascii="Times New Roman" w:hAnsi="Times New Roman" w:cs="Times New Roman" w:eastAsia="바탕"/>
                <w:b w:val="0"/>
                <w:i w:val="0"/>
                <w:sz w:val="22"/>
              </w:rPr>
              <w:t>Chen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(group interaction)</w:t>
            </w:r>
          </w:p>
        </w:tc>
        <w:tc>
          <w:tcPr>
            <w:tcW w:type="dxa" w:w="974"/>
          </w:tcPr>
          <w:p>
            <w:pPr>
              <w:spacing w:line="240" w:lineRule="auto" w:after="0"/>
            </w:pPr>
            <w:r/>
            <w:r>
              <w:rPr>
                <w:rFonts w:ascii="Times New Roman" w:hAnsi="Times New Roman" w:cs="Times New Roman" w:eastAsia="바탕"/>
                <w:b w:val="0"/>
                <w:i w:val="0"/>
                <w:sz w:val="22"/>
              </w:rPr>
              <w:t>73</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+0.98 [+0.49, +1.46]</w:t>
            </w:r>
          </w:p>
        </w:tc>
      </w:tr>
      <w:tr>
        <w:tc>
          <w:tcPr>
            <w:tcW w:type="dxa" w:w="974"/>
          </w:tcPr>
          <w:p>
            <w:pPr>
              <w:spacing w:line="240" w:lineRule="auto" w:after="0"/>
            </w:pPr>
            <w:r/>
            <w:r>
              <w:rPr>
                <w:rFonts w:ascii="Times New Roman" w:hAnsi="Times New Roman" w:cs="Times New Roman" w:eastAsia="바탕"/>
                <w:b w:val="0"/>
                <w:i w:val="0"/>
                <w:sz w:val="22"/>
              </w:rPr>
              <w:t>8</w:t>
            </w:r>
          </w:p>
        </w:tc>
        <w:tc>
          <w:tcPr>
            <w:tcW w:type="dxa" w:w="974"/>
          </w:tcPr>
          <w:p>
            <w:pPr>
              <w:spacing w:line="240" w:lineRule="auto" w:after="0"/>
            </w:pPr>
            <w:r/>
            <w:r>
              <w:rPr>
                <w:rFonts w:ascii="Times New Roman" w:hAnsi="Times New Roman" w:cs="Times New Roman" w:eastAsia="바탕"/>
                <w:b w:val="0"/>
                <w:i w:val="0"/>
                <w:sz w:val="22"/>
              </w:rPr>
              <w:t>Chen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residential</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natural vs noise (paired interaction)</w:t>
            </w:r>
          </w:p>
        </w:tc>
        <w:tc>
          <w:tcPr>
            <w:tcW w:type="dxa" w:w="974"/>
          </w:tcPr>
          <w:p>
            <w:pPr>
              <w:spacing w:line="240" w:lineRule="auto" w:after="0"/>
            </w:pPr>
            <w:r/>
            <w:r>
              <w:rPr>
                <w:rFonts w:ascii="Times New Roman" w:hAnsi="Times New Roman" w:cs="Times New Roman" w:eastAsia="바탕"/>
                <w:b w:val="0"/>
                <w:i w:val="0"/>
                <w:sz w:val="22"/>
              </w:rPr>
              <w:t>146</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+0.55 [+0.22, +0.88]</w:t>
            </w:r>
          </w:p>
        </w:tc>
      </w:tr>
      <w:tr>
        <w:tc>
          <w:tcPr>
            <w:tcW w:type="dxa" w:w="974"/>
          </w:tcPr>
          <w:p>
            <w:pPr>
              <w:spacing w:line="240" w:lineRule="auto" w:after="0"/>
            </w:pPr>
            <w:r/>
            <w:r>
              <w:rPr>
                <w:rFonts w:ascii="Times New Roman" w:hAnsi="Times New Roman" w:cs="Times New Roman" w:eastAsia="바탕"/>
                <w:b w:val="0"/>
                <w:i w:val="0"/>
                <w:sz w:val="22"/>
              </w:rPr>
              <w:t>9</w:t>
            </w:r>
          </w:p>
        </w:tc>
        <w:tc>
          <w:tcPr>
            <w:tcW w:type="dxa" w:w="974"/>
          </w:tcPr>
          <w:p>
            <w:pPr>
              <w:spacing w:line="240" w:lineRule="auto" w:after="0"/>
            </w:pPr>
            <w:r/>
            <w:r>
              <w:rPr>
                <w:rFonts w:ascii="Times New Roman" w:hAnsi="Times New Roman" w:cs="Times New Roman" w:eastAsia="바탕"/>
                <w:b w:val="0"/>
                <w:i w:val="0"/>
                <w:sz w:val="22"/>
              </w:rPr>
              <w:t>Moser 1988</w:t>
            </w:r>
          </w:p>
        </w:tc>
        <w:tc>
          <w:tcPr>
            <w:tcW w:type="dxa" w:w="974"/>
          </w:tcPr>
          <w:p>
            <w:pPr>
              <w:spacing w:line="240" w:lineRule="auto" w:after="0"/>
            </w:pPr>
            <w:r/>
            <w:r>
              <w:rPr>
                <w:rFonts w:ascii="Times New Roman" w:hAnsi="Times New Roman" w:cs="Times New Roman" w:eastAsia="바탕"/>
                <w:b w:val="0"/>
                <w:i w:val="0"/>
                <w:sz w:val="22"/>
              </w:rPr>
              <w:t>France</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roadworks noise (helping)</w:t>
            </w:r>
          </w:p>
        </w:tc>
        <w:tc>
          <w:tcPr>
            <w:tcW w:type="dxa" w:w="974"/>
          </w:tcPr>
          <w:p>
            <w:pPr>
              <w:spacing w:line="240" w:lineRule="auto" w:after="0"/>
            </w:pPr>
            <w:r/>
            <w:r>
              <w:rPr>
                <w:rFonts w:ascii="Times New Roman" w:hAnsi="Times New Roman" w:cs="Times New Roman" w:eastAsia="바탕"/>
                <w:b w:val="0"/>
                <w:i w:val="0"/>
                <w:sz w:val="22"/>
              </w:rPr>
              <w:t>150</w:t>
            </w:r>
          </w:p>
        </w:tc>
        <w:tc>
          <w:tcPr>
            <w:tcW w:type="dxa" w:w="974"/>
          </w:tcPr>
          <w:p>
            <w:pPr>
              <w:spacing w:line="240" w:lineRule="auto" w:after="0"/>
            </w:pPr>
            <w:r/>
            <w:r>
              <w:rPr>
                <w:rFonts w:ascii="Times New Roman" w:hAnsi="Times New Roman" w:cs="Times New Roman" w:eastAsia="바탕"/>
                <w:b w:val="0"/>
                <w:i w:val="0"/>
                <w:sz w:val="22"/>
              </w:rPr>
              <w:t>high</w:t>
            </w:r>
          </w:p>
        </w:tc>
        <w:tc>
          <w:tcPr>
            <w:tcW w:type="dxa" w:w="974"/>
          </w:tcPr>
          <w:p>
            <w:pPr>
              <w:spacing w:line="240" w:lineRule="auto" w:after="0"/>
            </w:pPr>
            <w:r/>
            <w:r>
              <w:rPr>
                <w:rFonts w:ascii="Times New Roman" w:hAnsi="Times New Roman" w:cs="Times New Roman" w:eastAsia="바탕"/>
                <w:b w:val="0"/>
                <w:i w:val="0"/>
                <w:sz w:val="22"/>
              </w:rPr>
              <w:t>+0.43 [+0.13, +0.73]</w:t>
            </w:r>
          </w:p>
        </w:tc>
      </w:tr>
      <w:tr>
        <w:tc>
          <w:tcPr>
            <w:tcW w:type="dxa" w:w="974"/>
          </w:tcPr>
          <w:p>
            <w:pPr>
              <w:spacing w:line="240" w:lineRule="auto" w:after="0"/>
            </w:pPr>
            <w:r/>
            <w:r>
              <w:rPr>
                <w:rFonts w:ascii="Times New Roman" w:hAnsi="Times New Roman" w:cs="Times New Roman" w:eastAsia="바탕"/>
                <w:b w:val="0"/>
                <w:i w:val="0"/>
                <w:sz w:val="22"/>
              </w:rPr>
              <w:t>10</w:t>
            </w:r>
          </w:p>
        </w:tc>
        <w:tc>
          <w:tcPr>
            <w:tcW w:type="dxa" w:w="974"/>
          </w:tcPr>
          <w:p>
            <w:pPr>
              <w:spacing w:line="240" w:lineRule="auto" w:after="0"/>
            </w:pPr>
            <w:r/>
            <w:r>
              <w:rPr>
                <w:rFonts w:ascii="Times New Roman" w:hAnsi="Times New Roman" w:cs="Times New Roman" w:eastAsia="바탕"/>
                <w:b w:val="0"/>
                <w:i w:val="0"/>
                <w:sz w:val="22"/>
              </w:rPr>
              <w:t>Mathews &amp; Canon 1975 ▲</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laboratory (outdoor scene)</w:t>
            </w:r>
          </w:p>
        </w:tc>
        <w:tc>
          <w:tcPr>
            <w:tcW w:type="dxa" w:w="974"/>
          </w:tcPr>
          <w:p>
            <w:pPr>
              <w:spacing w:line="240" w:lineRule="auto" w:after="0"/>
            </w:pPr>
            <w:r/>
            <w:r>
              <w:rPr>
                <w:rFonts w:ascii="Times New Roman" w:hAnsi="Times New Roman" w:cs="Times New Roman" w:eastAsia="바탕"/>
                <w:b w:val="0"/>
                <w:i w:val="0"/>
                <w:sz w:val="22"/>
              </w:rPr>
              <w:t>field experiment</w:t>
            </w:r>
          </w:p>
        </w:tc>
        <w:tc>
          <w:tcPr>
            <w:tcW w:type="dxa" w:w="974"/>
          </w:tcPr>
          <w:p>
            <w:pPr>
              <w:spacing w:line="240" w:lineRule="auto" w:after="0"/>
            </w:pPr>
            <w:r/>
            <w:r>
              <w:rPr>
                <w:rFonts w:ascii="Times New Roman" w:hAnsi="Times New Roman" w:cs="Times New Roman" w:eastAsia="바탕"/>
                <w:b w:val="0"/>
                <w:i w:val="0"/>
                <w:sz w:val="22"/>
              </w:rPr>
              <w:t>quiet vs lawnmower noise (helping)</w:t>
            </w:r>
          </w:p>
        </w:tc>
        <w:tc>
          <w:tcPr>
            <w:tcW w:type="dxa" w:w="974"/>
          </w:tcPr>
          <w:p>
            <w:pPr>
              <w:spacing w:line="240" w:lineRule="auto" w:after="0"/>
            </w:pPr>
            <w:r/>
            <w:r>
              <w:rPr>
                <w:rFonts w:ascii="Times New Roman" w:hAnsi="Times New Roman" w:cs="Times New Roman" w:eastAsia="바탕"/>
                <w:b w:val="0"/>
                <w:i w:val="0"/>
                <w:sz w:val="22"/>
              </w:rPr>
              <w:t>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+1.07 [+0.45, +1.69]</w:t>
            </w:r>
          </w:p>
        </w:tc>
      </w:tr>
      <w:tr>
        <w:tc>
          <w:tcPr>
            <w:tcW w:type="dxa" w:w="974"/>
          </w:tcPr>
          <w:p>
            <w:pPr>
              <w:spacing w:line="240" w:lineRule="auto" w:after="0"/>
            </w:pPr>
            <w:r/>
            <w:r>
              <w:rPr>
                <w:rFonts w:ascii="Times New Roman" w:hAnsi="Times New Roman" w:cs="Times New Roman" w:eastAsia="바탕"/>
                <w:b/>
                <w:i w:val="0"/>
                <w:sz w:val="22"/>
              </w:rPr>
              <w:t>Soundscape perception and behaviour (r)</w:t>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c>
          <w:tcPr>
            <w:tcW w:type="dxa" w:w="974"/>
          </w:tcPr>
          <w:p>
            <w:pPr>
              <w:spacing w:line="240" w:lineRule="auto" w:after="0"/>
            </w:pPr>
            <w:r/>
          </w:p>
        </w:tc>
      </w:tr>
      <w:tr>
        <w:tc>
          <w:tcPr>
            <w:tcW w:type="dxa" w:w="974"/>
          </w:tcPr>
          <w:p>
            <w:pPr>
              <w:spacing w:line="240" w:lineRule="auto" w:after="0"/>
            </w:pPr>
            <w:r/>
            <w:r>
              <w:rPr>
                <w:rFonts w:ascii="Times New Roman" w:hAnsi="Times New Roman" w:cs="Times New Roman" w:eastAsia="바탕"/>
                <w:b w:val="0"/>
                <w:i w:val="0"/>
                <w:sz w:val="22"/>
              </w:rPr>
              <w:t>11</w:t>
            </w:r>
          </w:p>
        </w:tc>
        <w:tc>
          <w:tcPr>
            <w:tcW w:type="dxa" w:w="974"/>
          </w:tcPr>
          <w:p>
            <w:pPr>
              <w:spacing w:line="240" w:lineRule="auto" w:after="0"/>
            </w:pPr>
            <w:r/>
            <w:r>
              <w:rPr>
                <w:rFonts w:ascii="Times New Roman" w:hAnsi="Times New Roman" w:cs="Times New Roman" w:eastAsia="바탕"/>
                <w:b w:val="0"/>
                <w:i w:val="0"/>
                <w:sz w:val="22"/>
              </w:rPr>
              <w:t>Guo 2024</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pleasantness with static behaviour</w:t>
            </w:r>
          </w:p>
        </w:tc>
        <w:tc>
          <w:tcPr>
            <w:tcW w:type="dxa" w:w="974"/>
          </w:tcPr>
          <w:p>
            <w:pPr>
              <w:spacing w:line="240" w:lineRule="auto" w:after="0"/>
            </w:pPr>
            <w:r/>
            <w:r>
              <w:rPr>
                <w:rFonts w:ascii="Times New Roman" w:hAnsi="Times New Roman" w:cs="Times New Roman" w:eastAsia="바탕"/>
                <w:b w:val="0"/>
                <w:i w:val="0"/>
                <w:sz w:val="22"/>
              </w:rPr>
              <w:t>419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+0.56 [+0.49, +0.63]</w:t>
            </w:r>
          </w:p>
        </w:tc>
      </w:tr>
      <w:tr>
        <w:tc>
          <w:tcPr>
            <w:tcW w:type="dxa" w:w="974"/>
          </w:tcPr>
          <w:p>
            <w:pPr>
              <w:spacing w:line="240" w:lineRule="auto" w:after="0"/>
            </w:pPr>
            <w:r/>
            <w:r>
              <w:rPr>
                <w:rFonts w:ascii="Times New Roman" w:hAnsi="Times New Roman" w:cs="Times New Roman" w:eastAsia="바탕"/>
                <w:b w:val="0"/>
                <w:i w:val="0"/>
                <w:sz w:val="22"/>
              </w:rPr>
              <w:t>12</w:t>
            </w:r>
          </w:p>
        </w:tc>
        <w:tc>
          <w:tcPr>
            <w:tcW w:type="dxa" w:w="974"/>
          </w:tcPr>
          <w:p>
            <w:pPr>
              <w:spacing w:line="240" w:lineRule="auto" w:after="0"/>
            </w:pPr>
            <w:r/>
            <w:r>
              <w:rPr>
                <w:rFonts w:ascii="Times New Roman" w:hAnsi="Times New Roman" w:cs="Times New Roman" w:eastAsia="바탕"/>
                <w:b w:val="0"/>
                <w:i w:val="0"/>
                <w:sz w:val="22"/>
              </w:rPr>
              <w:t>Zhou 2026</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natural sound events with queuing</w:t>
            </w:r>
          </w:p>
        </w:tc>
        <w:tc>
          <w:tcPr>
            <w:tcW w:type="dxa" w:w="974"/>
          </w:tcPr>
          <w:p>
            <w:pPr>
              <w:spacing w:line="240" w:lineRule="auto" w:after="0"/>
            </w:pPr>
            <w:r/>
            <w:r>
              <w:rPr>
                <w:rFonts w:ascii="Times New Roman" w:hAnsi="Times New Roman" w:cs="Times New Roman" w:eastAsia="바탕"/>
                <w:b w:val="0"/>
                <w:i w:val="0"/>
                <w:sz w:val="22"/>
              </w:rPr>
              <w:t>315</w:t>
            </w:r>
          </w:p>
        </w:tc>
        <w:tc>
          <w:tcPr>
            <w:tcW w:type="dxa" w:w="974"/>
          </w:tcPr>
          <w:p>
            <w:pPr>
              <w:spacing w:line="240" w:lineRule="auto" w:after="0"/>
            </w:pPr>
            <w:r/>
            <w:r>
              <w:rPr>
                <w:rFonts w:ascii="Times New Roman" w:hAnsi="Times New Roman" w:cs="Times New Roman" w:eastAsia="바탕"/>
                <w:b w:val="0"/>
                <w:i w:val="0"/>
                <w:sz w:val="22"/>
              </w:rPr>
              <w:t>low</w:t>
            </w:r>
          </w:p>
        </w:tc>
        <w:tc>
          <w:tcPr>
            <w:tcW w:type="dxa" w:w="974"/>
          </w:tcPr>
          <w:p>
            <w:pPr>
              <w:spacing w:line="240" w:lineRule="auto" w:after="0"/>
            </w:pPr>
            <w:r/>
            <w:r>
              <w:rPr>
                <w:rFonts w:ascii="Times New Roman" w:hAnsi="Times New Roman" w:cs="Times New Roman" w:eastAsia="바탕"/>
                <w:b w:val="0"/>
                <w:i w:val="0"/>
                <w:sz w:val="22"/>
              </w:rPr>
              <w:t>+0.21 [+0.10, +0.31]</w:t>
            </w:r>
          </w:p>
        </w:tc>
      </w:tr>
      <w:tr>
        <w:tc>
          <w:tcPr>
            <w:tcW w:type="dxa" w:w="974"/>
          </w:tcPr>
          <w:p>
            <w:pPr>
              <w:spacing w:line="240" w:lineRule="auto" w:after="0"/>
            </w:pPr>
            <w:r/>
            <w:r>
              <w:rPr>
                <w:rFonts w:ascii="Times New Roman" w:hAnsi="Times New Roman" w:cs="Times New Roman" w:eastAsia="바탕"/>
                <w:b w:val="0"/>
                <w:i w:val="0"/>
                <w:sz w:val="22"/>
              </w:rPr>
              <w:t>13</w:t>
            </w:r>
          </w:p>
        </w:tc>
        <w:tc>
          <w:tcPr>
            <w:tcW w:type="dxa" w:w="974"/>
          </w:tcPr>
          <w:p>
            <w:pPr>
              <w:spacing w:line="240" w:lineRule="auto" w:after="0"/>
            </w:pPr>
            <w:r/>
            <w:r>
              <w:rPr>
                <w:rFonts w:ascii="Times New Roman" w:hAnsi="Times New Roman" w:cs="Times New Roman" w:eastAsia="바탕"/>
                <w:b w:val="0"/>
                <w:i w:val="0"/>
                <w:sz w:val="22"/>
              </w:rPr>
              <w:t>Mansouri 2025</w:t>
            </w:r>
          </w:p>
        </w:tc>
        <w:tc>
          <w:tcPr>
            <w:tcW w:type="dxa" w:w="974"/>
          </w:tcPr>
          <w:p>
            <w:pPr>
              <w:spacing w:line="240" w:lineRule="auto" w:after="0"/>
            </w:pPr>
            <w:r/>
            <w:r>
              <w:rPr>
                <w:rFonts w:ascii="Times New Roman" w:hAnsi="Times New Roman" w:cs="Times New Roman" w:eastAsia="바탕"/>
                <w:b w:val="0"/>
                <w:i w:val="0"/>
                <w:sz w:val="22"/>
              </w:rPr>
              <w:t>Algeria</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mixed</w:t>
            </w:r>
          </w:p>
        </w:tc>
        <w:tc>
          <w:tcPr>
            <w:tcW w:type="dxa" w:w="974"/>
          </w:tcPr>
          <w:p>
            <w:pPr>
              <w:spacing w:line="240" w:lineRule="auto" w:after="0"/>
            </w:pPr>
            <w:r/>
            <w:r>
              <w:rPr>
                <w:rFonts w:ascii="Times New Roman" w:hAnsi="Times New Roman" w:cs="Times New Roman" w:eastAsia="바탕"/>
                <w:b w:val="0"/>
                <w:i w:val="0"/>
                <w:sz w:val="22"/>
              </w:rPr>
              <w:t>sound comfort with walking comfort</w:t>
            </w:r>
          </w:p>
        </w:tc>
        <w:tc>
          <w:tcPr>
            <w:tcW w:type="dxa" w:w="974"/>
          </w:tcPr>
          <w:p>
            <w:pPr>
              <w:spacing w:line="240" w:lineRule="auto" w:after="0"/>
            </w:pPr>
            <w:r/>
            <w:r>
              <w:rPr>
                <w:rFonts w:ascii="Times New Roman" w:hAnsi="Times New Roman" w:cs="Times New Roman" w:eastAsia="바탕"/>
                <w:b w:val="0"/>
                <w:i w:val="0"/>
                <w:sz w:val="22"/>
              </w:rPr>
              <w:t>NR</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+0.40 [+0.04, +0.67]</w:t>
            </w:r>
          </w:p>
        </w:tc>
      </w:tr>
      <w:tr>
        <w:tc>
          <w:tcPr>
            <w:tcW w:type="dxa" w:w="974"/>
          </w:tcPr>
          <w:p>
            <w:pPr>
              <w:spacing w:line="240" w:lineRule="auto" w:after="0"/>
            </w:pPr>
            <w:r/>
            <w:r>
              <w:rPr>
                <w:rFonts w:ascii="Times New Roman" w:hAnsi="Times New Roman" w:cs="Times New Roman" w:eastAsia="바탕"/>
                <w:b w:val="0"/>
                <w:i w:val="0"/>
                <w:sz w:val="22"/>
              </w:rPr>
              <w:t>14</w:t>
            </w:r>
          </w:p>
        </w:tc>
        <w:tc>
          <w:tcPr>
            <w:tcW w:type="dxa" w:w="974"/>
          </w:tcPr>
          <w:p>
            <w:pPr>
              <w:spacing w:line="240" w:lineRule="auto" w:after="0"/>
            </w:pPr>
            <w:r/>
            <w:r>
              <w:rPr>
                <w:rFonts w:ascii="Times New Roman" w:hAnsi="Times New Roman" w:cs="Times New Roman" w:eastAsia="바탕"/>
                <w:b w:val="0"/>
                <w:i w:val="0"/>
                <w:sz w:val="22"/>
              </w:rPr>
              <w:t>Bao 2023</w:t>
            </w:r>
          </w:p>
        </w:tc>
        <w:tc>
          <w:tcPr>
            <w:tcW w:type="dxa" w:w="974"/>
          </w:tcPr>
          <w:p>
            <w:pPr>
              <w:spacing w:line="240" w:lineRule="auto" w:after="0"/>
            </w:pPr>
            <w:r/>
            <w:r>
              <w:rPr>
                <w:rFonts w:ascii="Times New Roman" w:hAnsi="Times New Roman" w:cs="Times New Roman" w:eastAsia="바탕"/>
                <w:b w:val="0"/>
                <w:i w:val="0"/>
                <w:sz w:val="22"/>
              </w:rPr>
              <w:t>China</w:t>
            </w:r>
          </w:p>
        </w:tc>
        <w:tc>
          <w:tcPr>
            <w:tcW w:type="dxa" w:w="974"/>
          </w:tcPr>
          <w:p>
            <w:pPr>
              <w:spacing w:line="240" w:lineRule="auto" w:after="0"/>
            </w:pPr>
            <w:r/>
            <w:r>
              <w:rPr>
                <w:rFonts w:ascii="Times New Roman" w:hAnsi="Times New Roman" w:cs="Times New Roman" w:eastAsia="바탕"/>
                <w:b w:val="0"/>
                <w:i w:val="0"/>
                <w:sz w:val="22"/>
              </w:rPr>
              <w:t>park</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dwell time with restorativeness</w:t>
            </w:r>
          </w:p>
        </w:tc>
        <w:tc>
          <w:tcPr>
            <w:tcW w:type="dxa" w:w="974"/>
          </w:tcPr>
          <w:p>
            <w:pPr>
              <w:spacing w:line="240" w:lineRule="auto" w:after="0"/>
            </w:pPr>
            <w:r/>
            <w:r>
              <w:rPr>
                <w:rFonts w:ascii="Times New Roman" w:hAnsi="Times New Roman" w:cs="Times New Roman" w:eastAsia="바탕"/>
                <w:b w:val="0"/>
                <w:i w:val="0"/>
                <w:sz w:val="22"/>
              </w:rPr>
              <w:t>180</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+0.55 [+0.44, +0.65]</w:t>
            </w:r>
          </w:p>
        </w:tc>
      </w:tr>
      <w:tr>
        <w:tc>
          <w:tcPr>
            <w:tcW w:type="dxa" w:w="974"/>
          </w:tcPr>
          <w:p>
            <w:pPr>
              <w:spacing w:line="240" w:lineRule="auto" w:after="0"/>
            </w:pPr>
            <w:r/>
            <w:r>
              <w:rPr>
                <w:rFonts w:ascii="Times New Roman" w:hAnsi="Times New Roman" w:cs="Times New Roman" w:eastAsia="바탕"/>
                <w:b w:val="0"/>
                <w:i w:val="0"/>
                <w:sz w:val="22"/>
              </w:rPr>
              <w:t>15</w:t>
            </w:r>
          </w:p>
        </w:tc>
        <w:tc>
          <w:tcPr>
            <w:tcW w:type="dxa" w:w="974"/>
          </w:tcPr>
          <w:p>
            <w:pPr>
              <w:spacing w:line="240" w:lineRule="auto" w:after="0"/>
            </w:pPr>
            <w:r/>
            <w:r>
              <w:rPr>
                <w:rFonts w:ascii="Times New Roman" w:hAnsi="Times New Roman" w:cs="Times New Roman" w:eastAsia="바탕"/>
                <w:b w:val="0"/>
                <w:i w:val="0"/>
                <w:sz w:val="22"/>
              </w:rPr>
              <w:t>Montes González 2023 ▲</w:t>
            </w:r>
          </w:p>
        </w:tc>
        <w:tc>
          <w:tcPr>
            <w:tcW w:type="dxa" w:w="974"/>
          </w:tcPr>
          <w:p>
            <w:pPr>
              <w:spacing w:line="240" w:lineRule="auto" w:after="0"/>
            </w:pPr>
            <w:r/>
            <w:r>
              <w:rPr>
                <w:rFonts w:ascii="Times New Roman" w:hAnsi="Times New Roman" w:cs="Times New Roman" w:eastAsia="바탕"/>
                <w:b w:val="0"/>
                <w:i w:val="0"/>
                <w:sz w:val="22"/>
              </w:rPr>
              <w:t>Spain</w:t>
            </w:r>
          </w:p>
        </w:tc>
        <w:tc>
          <w:tcPr>
            <w:tcW w:type="dxa" w:w="974"/>
          </w:tcPr>
          <w:p>
            <w:pPr>
              <w:spacing w:line="240" w:lineRule="auto" w:after="0"/>
            </w:pPr>
            <w:r/>
            <w:r>
              <w:rPr>
                <w:rFonts w:ascii="Times New Roman" w:hAnsi="Times New Roman" w:cs="Times New Roman" w:eastAsia="바탕"/>
                <w:b w:val="0"/>
                <w:i w:val="0"/>
                <w:sz w:val="22"/>
              </w:rPr>
              <w:t>street</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LAeq with vocal effort</w:t>
            </w:r>
          </w:p>
        </w:tc>
        <w:tc>
          <w:tcPr>
            <w:tcW w:type="dxa" w:w="974"/>
          </w:tcPr>
          <w:p>
            <w:pPr>
              <w:spacing w:line="240" w:lineRule="auto" w:after="0"/>
            </w:pPr>
            <w:r/>
            <w:r>
              <w:rPr>
                <w:rFonts w:ascii="Times New Roman" w:hAnsi="Times New Roman" w:cs="Times New Roman" w:eastAsia="바탕"/>
                <w:b w:val="0"/>
                <w:i w:val="0"/>
                <w:sz w:val="22"/>
              </w:rPr>
              <w:t>29</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+0.65 [+0.37, +0.82]</w:t>
            </w:r>
          </w:p>
        </w:tc>
      </w:tr>
      <w:tr>
        <w:tc>
          <w:tcPr>
            <w:tcW w:type="dxa" w:w="974"/>
          </w:tcPr>
          <w:p>
            <w:pPr>
              <w:spacing w:line="240" w:lineRule="auto" w:after="0"/>
            </w:pPr>
            <w:r/>
            <w:r>
              <w:rPr>
                <w:rFonts w:ascii="Times New Roman" w:hAnsi="Times New Roman" w:cs="Times New Roman" w:eastAsia="바탕"/>
                <w:b w:val="0"/>
                <w:i w:val="0"/>
                <w:sz w:val="22"/>
              </w:rPr>
              <w:t>16</w:t>
            </w:r>
          </w:p>
        </w:tc>
        <w:tc>
          <w:tcPr>
            <w:tcW w:type="dxa" w:w="974"/>
          </w:tcPr>
          <w:p>
            <w:pPr>
              <w:spacing w:line="240" w:lineRule="auto" w:after="0"/>
            </w:pPr>
            <w:r/>
            <w:r>
              <w:rPr>
                <w:rFonts w:ascii="Times New Roman" w:hAnsi="Times New Roman" w:cs="Times New Roman" w:eastAsia="바탕"/>
                <w:b w:val="0"/>
                <w:i w:val="0"/>
                <w:sz w:val="22"/>
              </w:rPr>
              <w:t>Cao &amp; Kang 2021 ▲</w:t>
            </w:r>
          </w:p>
        </w:tc>
        <w:tc>
          <w:tcPr>
            <w:tcW w:type="dxa" w:w="974"/>
          </w:tcPr>
          <w:p>
            <w:pPr>
              <w:spacing w:line="240" w:lineRule="auto" w:after="0"/>
            </w:pPr>
            <w:r/>
            <w:r>
              <w:rPr>
                <w:rFonts w:ascii="Times New Roman" w:hAnsi="Times New Roman" w:cs="Times New Roman" w:eastAsia="바탕"/>
                <w:b w:val="0"/>
                <w:i w:val="0"/>
                <w:sz w:val="22"/>
              </w:rPr>
              <w:t>United Kingdom</w:t>
            </w:r>
          </w:p>
        </w:tc>
        <w:tc>
          <w:tcPr>
            <w:tcW w:type="dxa" w:w="974"/>
          </w:tcPr>
          <w:p>
            <w:pPr>
              <w:spacing w:line="240" w:lineRule="auto" w:after="0"/>
            </w:pPr>
            <w:r/>
            <w:r>
              <w:rPr>
                <w:rFonts w:ascii="Times New Roman" w:hAnsi="Times New Roman" w:cs="Times New Roman" w:eastAsia="바탕"/>
                <w:b w:val="0"/>
                <w:i w:val="0"/>
                <w:sz w:val="22"/>
              </w:rPr>
              <w:t>square</w:t>
            </w:r>
          </w:p>
        </w:tc>
        <w:tc>
          <w:tcPr>
            <w:tcW w:type="dxa" w:w="974"/>
          </w:tcPr>
          <w:p>
            <w:pPr>
              <w:spacing w:line="240" w:lineRule="auto" w:after="0"/>
            </w:pPr>
            <w:r/>
            <w:r>
              <w:rPr>
                <w:rFonts w:ascii="Times New Roman" w:hAnsi="Times New Roman" w:cs="Times New Roman" w:eastAsia="바탕"/>
                <w:b w:val="0"/>
                <w:i w:val="0"/>
                <w:sz w:val="22"/>
              </w:rPr>
              <w:t>survey</w:t>
            </w:r>
          </w:p>
        </w:tc>
        <w:tc>
          <w:tcPr>
            <w:tcW w:type="dxa" w:w="974"/>
          </w:tcPr>
          <w:p>
            <w:pPr>
              <w:spacing w:line="240" w:lineRule="auto" w:after="0"/>
            </w:pPr>
            <w:r/>
            <w:r>
              <w:rPr>
                <w:rFonts w:ascii="Times New Roman" w:hAnsi="Times New Roman" w:cs="Times New Roman" w:eastAsia="바탕"/>
                <w:b w:val="0"/>
                <w:i w:val="0"/>
                <w:sz w:val="22"/>
              </w:rPr>
              <w:t>companionship with sound noticing</w:t>
            </w:r>
          </w:p>
        </w:tc>
        <w:tc>
          <w:tcPr>
            <w:tcW w:type="dxa" w:w="974"/>
          </w:tcPr>
          <w:p>
            <w:pPr>
              <w:spacing w:line="240" w:lineRule="auto" w:after="0"/>
            </w:pPr>
            <w:r/>
            <w:r>
              <w:rPr>
                <w:rFonts w:ascii="Times New Roman" w:hAnsi="Times New Roman" w:cs="Times New Roman" w:eastAsia="바탕"/>
                <w:b w:val="0"/>
                <w:i w:val="0"/>
                <w:sz w:val="22"/>
              </w:rPr>
              <w:t>301</w:t>
            </w:r>
          </w:p>
        </w:tc>
        <w:tc>
          <w:tcPr>
            <w:tcW w:type="dxa" w:w="974"/>
          </w:tcPr>
          <w:p>
            <w:pPr>
              <w:spacing w:line="240" w:lineRule="auto" w:after="0"/>
            </w:pPr>
            <w:r/>
            <w:r>
              <w:rPr>
                <w:rFonts w:ascii="Times New Roman" w:hAnsi="Times New Roman" w:cs="Times New Roman" w:eastAsia="바탕"/>
                <w:b w:val="0"/>
                <w:i w:val="0"/>
                <w:sz w:val="22"/>
              </w:rPr>
              <w:t>moderate</w:t>
            </w:r>
          </w:p>
        </w:tc>
        <w:tc>
          <w:tcPr>
            <w:tcW w:type="dxa" w:w="974"/>
          </w:tcPr>
          <w:p>
            <w:pPr>
              <w:spacing w:line="240" w:lineRule="auto" w:after="0"/>
            </w:pPr>
            <w:r/>
            <w:r>
              <w:rPr>
                <w:rFonts w:ascii="Times New Roman" w:hAnsi="Times New Roman" w:cs="Times New Roman" w:eastAsia="바탕"/>
                <w:b w:val="0"/>
                <w:i w:val="0"/>
                <w:sz w:val="22"/>
              </w:rPr>
              <w:t>+0.16 [+0.05, +0.27]</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532120" cy="6584130"/>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532120" cy="65841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All four estimates point the way theory predicts (Fig. 4): noise speeds passage, positive sound lengthens stays, quiet and natural sound increase social interaction, and appraisal covaries with behaviour at moderate strength. </w:t>
      </w:r>
      <w:r>
        <w:rPr>
          <w:rFonts w:ascii="Times New Roman" w:hAnsi="Times New Roman" w:cs="Times New Roman" w:eastAsia="바탕"/>
          <w:b/>
          <w:i w:val="0"/>
          <w:sz w:val="24"/>
        </w:rPr>
        <w:t>How precisely each direction is established differs sharply across clusters, and that difference is the heart of this section.</w:t>
      </w:r>
    </w:p>
    <w:p>
      <w:pPr>
        <w:spacing w:after="0" w:before="0"/>
        <w:ind w:firstLine="288"/>
      </w:pPr>
      <w:r>
        <w:rPr>
          <w:rFonts w:ascii="Times New Roman" w:hAnsi="Times New Roman" w:cs="Times New Roman" w:eastAsia="바탕"/>
          <w:b w:val="0"/>
          <w:i w:val="0"/>
          <w:sz w:val="24"/>
        </w:rPr>
        <w:t xml:space="preserve">Social interaction reached significance on the strength of </w:t>
      </w:r>
      <w:r>
        <w:rPr>
          <w:rFonts w:ascii="Times New Roman" w:hAnsi="Times New Roman" w:cs="Times New Roman" w:eastAsia="바탕"/>
          <w:b/>
          <w:i w:val="0"/>
          <w:sz w:val="24"/>
        </w:rPr>
        <w:t>two field experiments thirteen years apart</w:t>
      </w:r>
      <w:r>
        <w:rPr>
          <w:rFonts w:ascii="Times New Roman" w:hAnsi="Times New Roman" w:cs="Times New Roman" w:eastAsia="바탕"/>
          <w:b w:val="0"/>
          <w:i w:val="0"/>
          <w:sz w:val="24"/>
        </w:rPr>
        <w:t xml:space="preserve">. In Mathews and Canon [28], a lawnmower with its muffler removed raised ambient sound from about 50 to 87 dB(C), and the share of passers-by helping to pick up dropped items fell from 20 of 40 to 5 of 40 (OR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[21] applied the same 2 × 2 logic on a Paris street using roadworks noise and reached the same sign. The two studies used unrelated noise sources and different helping paradigms; that they agree carries more information than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alone suggests. Because Mathews and Canon do not state where their data were collected, however, </w:t>
      </w:r>
      <w:r>
        <w:rPr>
          <w:rFonts w:ascii="Times New Roman" w:hAnsi="Times New Roman" w:cs="Times New Roman" w:eastAsia="바탕"/>
          <w:b/>
          <w:i w:val="0"/>
          <w:sz w:val="24"/>
        </w:rPr>
        <w:t>we do not claim cross-country replication.</w:t>
      </w:r>
    </w:p>
    <w:p>
      <w:pPr>
        <w:spacing w:after="0" w:before="0"/>
        <w:ind w:firstLine="288"/>
      </w:pPr>
      <w:r>
        <w:rPr>
          <w:rFonts w:ascii="Times New Roman" w:hAnsi="Times New Roman" w:cs="Times New Roman" w:eastAsia="바탕"/>
          <w:b/>
          <w:i w:val="0"/>
          <w:sz w:val="24"/>
        </w:rPr>
        <w:t>Even so, the significance is conditional on one study retrieved by citation searching.</w:t>
      </w:r>
      <w:r>
        <w:rPr>
          <w:rFonts w:ascii="Times New Roman" w:hAnsi="Times New Roman" w:cs="Times New Roman" w:eastAsia="바탕"/>
          <w:b w:val="0"/>
          <w:i w:val="0"/>
          <w:sz w:val="24"/>
        </w:rPr>
        <w:t xml:space="preserve"> The full leave-one-out: removing Chen and Kang [29] gives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removing Chen et al. [30], +0.775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removing Moser [21], +0.803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removing Mathews and Canon [28], +0.596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 </w:t>
      </w:r>
      <w:r>
        <w:rPr>
          <w:rFonts w:ascii="Times New Roman" w:hAnsi="Times New Roman" w:cs="Times New Roman" w:eastAsia="바탕"/>
          <w:b/>
          <w:i w:val="0"/>
          <w:sz w:val="24"/>
        </w:rPr>
        <w:t>Three of the four removals cross back over *p* = .05.</w:t>
      </w:r>
      <w:r>
        <w:rPr>
          <w:rFonts w:ascii="Times New Roman" w:hAnsi="Times New Roman" w:cs="Times New Roman" w:eastAsia="바탕"/>
          <w:b w:val="0"/>
          <w:i w:val="0"/>
          <w:sz w:val="24"/>
        </w:rPr>
        <w:t xml:space="preserve"> The cluster is significant as a set rather than through any single study, and the study whose removal returns it to its pre-retrieval state is precisely the one the supplementary search recovered. This is a limitation of the result and, at the same time, evidence that </w:t>
      </w:r>
      <w:r>
        <w:rPr>
          <w:rFonts w:ascii="Times New Roman" w:hAnsi="Times New Roman" w:cs="Times New Roman" w:eastAsia="바탕"/>
          <w:b/>
          <w:i w:val="0"/>
          <w:sz w:val="24"/>
        </w:rPr>
        <w:t>the registered supplementary search route was not a formality.</w:t>
      </w:r>
    </w:p>
    <w:p>
      <w:pPr>
        <w:spacing w:after="0" w:before="0"/>
        <w:ind w:firstLine="288"/>
      </w:pPr>
      <w:r>
        <w:rPr>
          <w:rFonts w:ascii="Times New Roman" w:hAnsi="Times New Roman" w:cs="Times New Roman" w:eastAsia="바탕"/>
          <w:b w:val="0"/>
          <w:i w:val="0"/>
          <w:sz w:val="24"/>
        </w:rPr>
        <w:t>The correlational cluster behaves in the opposite way. It is insensitive to search route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with citation tracking, .445 without) and to any single study (leave-one-out range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to .484), but its heterogeneity is very high (</w:t>
      </w:r>
      <w:r>
        <w:rPr>
          <w:rFonts w:ascii="Times New Roman" w:hAnsi="Times New Roman" w:cs="Times New Roman" w:eastAsia="바탕"/>
          <w:b w:val="0"/>
          <w:i/>
          <w:sz w:val="24"/>
        </w:rPr>
        <w:t>I</w:t>
      </w:r>
      <w:r>
        <w:rPr>
          <w:rFonts w:ascii="Times New Roman" w:hAnsi="Times New Roman" w:cs="Times New Roman" w:eastAsia="바탕"/>
          <w:b w:val="0"/>
          <w:i w:val="0"/>
          <w:sz w:val="24"/>
        </w:rPr>
        <w:t>² = 92.0%), as expected of a pool that mixes forward and reverse pathways and several behavioural outcomes. What it supports is that perception and behaviour broadly move together; which perception moves with which behaviour, and by how much, it cannot say.</w:t>
      </w:r>
    </w:p>
    <w:p>
      <w:pPr>
        <w:spacing w:after="0" w:before="0"/>
        <w:ind w:firstLine="288"/>
      </w:pPr>
      <w:r>
        <w:rPr>
          <w:rFonts w:ascii="Times New Roman" w:hAnsi="Times New Roman" w:cs="Times New Roman" w:eastAsia="바탕"/>
          <w:b/>
          <w:i w:val="0"/>
          <w:sz w:val="24"/>
        </w:rPr>
        <w:t>The prediction intervals qualify both significant results.</w:t>
      </w:r>
      <w:r>
        <w:rPr>
          <w:rFonts w:ascii="Times New Roman" w:hAnsi="Times New Roman" w:cs="Times New Roman" w:eastAsia="바탕"/>
          <w:b w:val="0"/>
          <w:i w:val="0"/>
          <w:sz w:val="24"/>
        </w:rPr>
        <w:t xml:space="preserve"> The two intervals that exclude zero do so for the </w:t>
      </w:r>
      <w:r>
        <w:rPr>
          <w:rFonts w:ascii="Times New Roman" w:hAnsi="Times New Roman" w:cs="Times New Roman" w:eastAsia="바탕"/>
          <w:b/>
          <w:i w:val="0"/>
          <w:sz w:val="24"/>
        </w:rPr>
        <w:t>mean effect</w:t>
      </w:r>
      <w:r>
        <w:rPr>
          <w:rFonts w:ascii="Times New Roman" w:hAnsi="Times New Roman" w:cs="Times New Roman" w:eastAsia="바탕"/>
          <w:b w:val="0"/>
          <w:i w:val="0"/>
          <w:sz w:val="24"/>
        </w:rPr>
        <w:t xml:space="preserve"> only; the interval within which a new study's effect is expected to fall </w:t>
      </w:r>
      <w:r>
        <w:rPr>
          <w:rFonts w:ascii="Times New Roman" w:hAnsi="Times New Roman" w:cs="Times New Roman" w:eastAsia="바탕"/>
          <w:b/>
          <w:i w:val="0"/>
          <w:sz w:val="24"/>
        </w:rPr>
        <w:t>includes zero in all four clusters</w:t>
      </w:r>
      <w:r>
        <w:rPr>
          <w:rFonts w:ascii="Times New Roman" w:hAnsi="Times New Roman" w:cs="Times New Roman" w:eastAsia="바탕"/>
          <w:b w:val="0"/>
          <w:i w:val="0"/>
          <w:sz w:val="24"/>
        </w:rPr>
        <w:t xml:space="preserve">: −0.42 to +1.78 for social interaction,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to +0.82 for the correlational cluster. Neither result establishes that the next study will carry the same sign. Reporting bias compounds this: with a maximum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of 6, below the pre-specified threshold of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 neither funnel plots nor Egger tests were run, and small-study effects can neither be detected nor excluded. The walking-speed prediction interval (−9.13 to +8.19), with one degree of freedom at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 carries essentially no information; we print it unchanged rather than conceal that this cluster cannot predict anything.</w:t>
      </w:r>
    </w:p>
    <w:p>
      <w:pPr>
        <w:spacing w:after="0" w:before="0"/>
        <w:ind w:firstLine="288"/>
      </w:pPr>
      <w:r>
        <w:rPr>
          <w:rFonts w:ascii="Times New Roman" w:hAnsi="Times New Roman" w:cs="Times New Roman" w:eastAsia="바탕"/>
          <w:b/>
          <w:i w:val="0"/>
          <w:sz w:val="24"/>
        </w:rPr>
        <w:t>The walking-speed cluster is the weakest in the corpus, and its weakness is instructive.</w:t>
      </w:r>
      <w:r>
        <w:rPr>
          <w:rFonts w:ascii="Times New Roman" w:hAnsi="Times New Roman" w:cs="Times New Roman" w:eastAsia="바탕"/>
          <w:b w:val="0"/>
          <w:i w:val="0"/>
          <w:sz w:val="24"/>
        </w:rPr>
        <w:t xml:space="preserve"> All three contributing effects come from MMAT low studies, so excluding low quality leaves nothing to pool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The corpus holds three high-quality walking studies, and none enters the pool: one manipulated music tempo rather than environmental sound [31], one did not test noise against speed directly [32], and one delivered augmented footstep sounds through headphones [33]. </w:t>
      </w:r>
      <w:r>
        <w:rPr>
          <w:rFonts w:ascii="Times New Roman" w:hAnsi="Times New Roman" w:cs="Times New Roman" w:eastAsia="바탕"/>
          <w:b/>
          <w:i w:val="0"/>
          <w:sz w:val="24"/>
        </w:rPr>
        <w:t>A claim widely cited in this literature, that noise makes people walk faster, rests on some of its least stable evidence.</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Of the 212 domain-level records extracted from the 98 studies, 113 are forward (sound → behaviour), 74 reverse (behaviour → sound) and 25 bidirectional. </w:t>
      </w:r>
      <w:r>
        <w:rPr>
          <w:rFonts w:ascii="Times New Roman" w:hAnsi="Times New Roman" w:cs="Times New Roman" w:eastAsia="바탕"/>
          <w:b/>
          <w:i w:val="0"/>
          <w:sz w:val="24"/>
        </w:rPr>
        <w:t>Reverse records are 40% of directional records</w:t>
      </w:r>
      <w:r>
        <w:rPr>
          <w:rFonts w:ascii="Times New Roman" w:hAnsi="Times New Roman" w:cs="Times New Roman" w:eastAsia="바탕"/>
          <w:b w:val="0"/>
          <w:i w:val="0"/>
          <w:sz w:val="24"/>
        </w:rPr>
        <w:t>: 74 of the 187 that are forward or reverse, or 35% if bidirectional records enter the denominator. The unit here is the study × behavioural-domain record, not the study.</w:t>
      </w:r>
    </w:p>
    <w:p>
      <w:pPr>
        <w:spacing w:line="240" w:lineRule="auto" w:before="200" w:after="80"/>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532120" cy="2405536"/>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The reverse pathway is not evenly spread, and that unevenness is the point of this section (Fig. 5). Movement (33 forward to 8 reverse) and staying (16 to 8) are dominated by forward designs; these are behaviours that are easy to manipulate: put headphones on people and have them walk, or switch on speakers and time their stays. Space use (26 to 23), activity (18 to 21) and social behaviour (20 to 14) sit near parity.</w:t>
      </w:r>
    </w:p>
    <w:p>
      <w:pPr>
        <w:spacing w:after="0" w:before="0"/>
        <w:ind w:firstLine="288"/>
      </w:pPr>
      <w:r>
        <w:rPr>
          <w:rFonts w:ascii="Times New Roman" w:hAnsi="Times New Roman" w:cs="Times New Roman" w:eastAsia="바탕"/>
          <w:b w:val="0"/>
          <w:i w:val="0"/>
          <w:sz w:val="24"/>
        </w:rPr>
        <w:t xml:space="preserve">Where behaviour is collective and sustained, researchers have measured how it </w:t>
      </w:r>
      <w:r>
        <w:rPr>
          <w:rFonts w:ascii="Times New Roman" w:hAnsi="Times New Roman" w:cs="Times New Roman" w:eastAsia="바탕"/>
          <w:b w:val="0"/>
          <w:i/>
          <w:sz w:val="24"/>
        </w:rPr>
        <w:t>produces</w:t>
      </w:r>
      <w:r>
        <w:rPr>
          <w:rFonts w:ascii="Times New Roman" w:hAnsi="Times New Roman" w:cs="Times New Roman" w:eastAsia="바탕"/>
          <w:b w:val="0"/>
          <w:i w:val="0"/>
          <w:sz w:val="24"/>
        </w:rPr>
        <w:t xml:space="preserve"> the acoustic environment. Crowd density predicts sound pressure, activity programming brings broadcast music, and companionship changes what is noticed. These studies do not fit the dominant frame that casts sound as exposure, but from the standpoint of planning practice they are the more direct ones, because what designers place includes not only sound sources but </w:t>
      </w:r>
      <w:r>
        <w:rPr>
          <w:rFonts w:ascii="Times New Roman" w:hAnsi="Times New Roman" w:cs="Times New Roman" w:eastAsia="바탕"/>
          <w:b/>
          <w:i w:val="0"/>
          <w:sz w:val="24"/>
        </w:rPr>
        <w:t>activity</w:t>
      </w:r>
      <w:r>
        <w:rPr>
          <w:rFonts w:ascii="Times New Roman" w:hAnsi="Times New Roman" w:cs="Times New Roman" w:eastAsia="바탕"/>
          <w:b w:val="0"/>
          <w:i w:val="0"/>
          <w:sz w:val="24"/>
        </w:rPr>
        <w:t xml:space="preserve"> itself. A one-way frame discards nearly half of what this literature has measured.</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The answer to RQ3 is unambiguous: </w:t>
      </w:r>
      <w:r>
        <w:rPr>
          <w:rFonts w:ascii="Times New Roman" w:hAnsi="Times New Roman" w:cs="Times New Roman" w:eastAsia="바탕"/>
          <w:b/>
          <w:i w:val="0"/>
          <w:sz w:val="24"/>
        </w:rPr>
        <w:t>accumulation, not succession</w:t>
      </w:r>
      <w:r>
        <w:rPr>
          <w:rFonts w:ascii="Times New Roman" w:hAnsi="Times New Roman" w:cs="Times New Roman" w:eastAsia="바탕"/>
          <w:b w:val="0"/>
          <w:i w:val="0"/>
          <w:sz w:val="24"/>
        </w:rPr>
        <w:t xml:space="preserve"> (Fig. 6).</w:t>
      </w:r>
    </w:p>
    <w:p>
      <w:pPr>
        <w:spacing w:line="240" w:lineRule="auto" w:before="200" w:after="80"/>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532120" cy="24116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Behavioural measurement by sensors, GPS, video and big data grew from 4 studies in 2010–2019 to 20 from 2020 onwards, a fivefold rise. Over the same interval, self-report grew from 14 to 39 and systematic observation from 11 to 28. </w:t>
      </w:r>
      <w:r>
        <w:rPr>
          <w:rFonts w:ascii="Times New Roman" w:hAnsi="Times New Roman" w:cs="Times New Roman" w:eastAsia="바탕"/>
          <w:b/>
          <w:i w:val="0"/>
          <w:sz w:val="24"/>
        </w:rPr>
        <w:t>New instrumentation did not push out the older methods; it stacked on top of them.</w:t>
      </w:r>
      <w:r>
        <w:rPr>
          <w:rFonts w:ascii="Times New Roman" w:hAnsi="Times New Roman" w:cs="Times New Roman" w:eastAsia="바탕"/>
          <w:b w:val="0"/>
          <w:i w:val="0"/>
          <w:sz w:val="24"/>
        </w:rPr>
        <w:t xml:space="preserve"> 22 studies use two or more generations at once.</w:t>
      </w:r>
    </w:p>
    <w:p>
      <w:pPr>
        <w:spacing w:after="0" w:before="0"/>
        <w:ind w:firstLine="288"/>
      </w:pPr>
      <w:r>
        <w:rPr>
          <w:rFonts w:ascii="Times New Roman" w:hAnsi="Times New Roman" w:cs="Times New Roman" w:eastAsia="바탕"/>
          <w:b w:val="0"/>
          <w:i w:val="0"/>
          <w:sz w:val="24"/>
        </w:rPr>
        <w:t xml:space="preserve">This matters for two reasons. One is that the field's </w:t>
      </w:r>
      <w:r>
        <w:rPr>
          <w:rFonts w:ascii="Times New Roman" w:hAnsi="Times New Roman" w:cs="Times New Roman" w:eastAsia="바탕"/>
          <w:b/>
          <w:i w:val="0"/>
          <w:sz w:val="24"/>
        </w:rPr>
        <w:t>basis for triangulation is widening</w:t>
      </w:r>
      <w:r>
        <w:rPr>
          <w:rFonts w:ascii="Times New Roman" w:hAnsi="Times New Roman" w:cs="Times New Roman" w:eastAsia="바탕"/>
          <w:b w:val="0"/>
          <w:i w:val="0"/>
          <w:sz w:val="24"/>
        </w:rPr>
        <w:t xml:space="preserve">: studies combining two or more generations rose from 5 in the 2010s to 17 from 2020. Where the movement a GPS trace shows and the movement a participant reports can be compared within one study, things invisible to either alone become visible. The other is a caution. As generations accumulate, </w:t>
      </w:r>
      <w:r>
        <w:rPr>
          <w:rFonts w:ascii="Times New Roman" w:hAnsi="Times New Roman" w:cs="Times New Roman" w:eastAsia="바탕"/>
          <w:b/>
          <w:i w:val="0"/>
          <w:sz w:val="24"/>
        </w:rPr>
        <w:t>results that measure the same concept in different ways come to coexist in one literature</w:t>
      </w:r>
      <w:r>
        <w:rPr>
          <w:rFonts w:ascii="Times New Roman" w:hAnsi="Times New Roman" w:cs="Times New Roman" w:eastAsia="바탕"/>
          <w:b w:val="0"/>
          <w:i w:val="0"/>
          <w:sz w:val="24"/>
        </w:rPr>
        <w:t xml:space="preserve">, and a synthesis that does not separate them leaves much of its heterogeneity unexplained. The </w:t>
      </w:r>
      <w:r>
        <w:rPr>
          <w:rFonts w:ascii="Times New Roman" w:hAnsi="Times New Roman" w:cs="Times New Roman" w:eastAsia="바탕"/>
          <w:b w:val="0"/>
          <w:i/>
          <w:sz w:val="24"/>
        </w:rPr>
        <w:t>I</w:t>
      </w:r>
      <w:r>
        <w:rPr>
          <w:rFonts w:ascii="Times New Roman" w:hAnsi="Times New Roman" w:cs="Times New Roman" w:eastAsia="바탕"/>
          <w:b w:val="0"/>
          <w:i w:val="0"/>
          <w:sz w:val="24"/>
        </w:rPr>
        <w:t>² = 92% of our correlational cluster very likely contains this factor.</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The evidence map's behavioural domain × sound source combinations are filled except for one source (Fig. 7).</w:t>
      </w:r>
    </w:p>
    <w:p>
      <w:pPr>
        <w:spacing w:line="240" w:lineRule="auto" w:before="200" w:after="80"/>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532120" cy="2497585"/>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The exception is </w:t>
      </w:r>
      <w:r>
        <w:rPr>
          <w:rFonts w:ascii="Times New Roman" w:hAnsi="Times New Roman" w:cs="Times New Roman" w:eastAsia="바탕"/>
          <w:b/>
          <w:i w:val="0"/>
          <w:sz w:val="24"/>
        </w:rPr>
        <w:t>aircraft noise</w:t>
      </w:r>
      <w:r>
        <w:rPr>
          <w:rFonts w:ascii="Times New Roman" w:hAnsi="Times New Roman" w:cs="Times New Roman" w:eastAsia="바탕"/>
          <w:b w:val="0"/>
          <w:i w:val="0"/>
          <w:sz w:val="24"/>
        </w:rPr>
        <w:t xml:space="preserve">. Three of the five domains (movement, staying, social behaviour) are empty, and the two filled cells hold four domain-level records from two studies in total. This is no accidental gap. Aircraft noise is among the most densely studied topics in environmental noise research: the systematic reviews underpinning the WHO Environmental Noise Guidelines for the European Region treat aircraft noise as an object of synthesis in its own right for annoyance [34] and for sleep [35], and the picture for health effects generally is no different [5]. Yet </w:t>
      </w:r>
      <w:r>
        <w:rPr>
          <w:rFonts w:ascii="Times New Roman" w:hAnsi="Times New Roman" w:cs="Times New Roman" w:eastAsia="바탕"/>
          <w:b/>
          <w:i w:val="0"/>
          <w:sz w:val="24"/>
        </w:rPr>
        <w:t>within our eligibility criteria, those two studies are all that measure what people do in the outdoor spaces around airports.</w:t>
      </w:r>
      <w:r>
        <w:rPr>
          <w:rFonts w:ascii="Times New Roman" w:hAnsi="Times New Roman" w:cs="Times New Roman" w:eastAsia="바탕"/>
          <w:b w:val="0"/>
          <w:i w:val="0"/>
          <w:sz w:val="24"/>
        </w:rPr>
        <w:t xml:space="preserve"> That behavioural evidence is thinnest exactly where noise exposure is most severe shows the frame within which this field has been confined.</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bidirectional framework for soundscape and behaviour</w:t>
      </w:r>
    </w:p>
    <w:p>
      <w:pPr>
        <w:spacing w:after="0" w:before="0"/>
        <w:ind w:firstLine="288"/>
      </w:pPr>
      <w:r>
        <w:rPr>
          <w:rFonts w:ascii="Times New Roman" w:hAnsi="Times New Roman" w:cs="Times New Roman" w:eastAsia="바탕"/>
          <w:b w:val="0"/>
          <w:i w:val="0"/>
          <w:sz w:val="24"/>
        </w:rPr>
        <w:t>The conceptual framework this review arrives at is presented in Fig. 8.</w:t>
      </w:r>
    </w:p>
    <w:p>
      <w:pPr>
        <w:spacing w:line="240" w:lineRule="auto" w:before="200" w:after="80"/>
        <w:jc w:val="center"/>
      </w:pPr>
      <w:r>
        <w:drawing>
          <wp:inline xmlns:a="http://schemas.openxmlformats.org/drawingml/2006/main" xmlns:pic="http://schemas.openxmlformats.org/drawingml/2006/picture">
            <wp:extent cx="5532120" cy="4740063"/>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5532120" cy="474006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a widely cited claim in this literature, comes entirely from studies that MMAT rates low, so excluding low-quality studies leaves nothing to pool.</w:t>
      </w:r>
    </w:p>
    <w:p>
      <w:pPr>
        <w:spacing w:after="0" w:before="0"/>
        <w:ind w:firstLine="288"/>
      </w:pPr>
      <w:r>
        <w:rPr>
          <w:rFonts w:ascii="Times New Roman" w:hAnsi="Times New Roman" w:cs="Times New Roman" w:eastAsia="바탕"/>
          <w:b w:val="0"/>
          <w:i w:val="0"/>
          <w:sz w:val="24"/>
        </w:rPr>
        <w:t xml:space="preserve">Two arcs close one loop. The </w:t>
      </w:r>
      <w:r>
        <w:rPr>
          <w:rFonts w:ascii="Times New Roman" w:hAnsi="Times New Roman" w:cs="Times New Roman" w:eastAsia="바탕"/>
          <w:b/>
          <w:i w:val="0"/>
          <w:sz w:val="24"/>
        </w:rPr>
        <w:t>forward</w:t>
      </w:r>
      <w:r>
        <w:rPr>
          <w:rFonts w:ascii="Times New Roman" w:hAnsi="Times New Roman" w:cs="Times New Roman" w:eastAsia="바탕"/>
          <w:b w:val="0"/>
          <w:i w:val="0"/>
          <w:sz w:val="24"/>
        </w:rPr>
        <w:t xml:space="preserve"> arc runs acoustic environment → appraisal → behaviour and is what the field has presupposed. The </w:t>
      </w:r>
      <w:r>
        <w:rPr>
          <w:rFonts w:ascii="Times New Roman" w:hAnsi="Times New Roman" w:cs="Times New Roman" w:eastAsia="바탕"/>
          <w:b/>
          <w:i w:val="0"/>
          <w:sz w:val="24"/>
        </w:rPr>
        <w:t>reverse</w:t>
      </w:r>
      <w:r>
        <w:rPr>
          <w:rFonts w:ascii="Times New Roman" w:hAnsi="Times New Roman" w:cs="Times New Roman" w:eastAsia="바탕"/>
          <w:b w:val="0"/>
          <w:i w:val="0"/>
          <w:sz w:val="24"/>
        </w:rPr>
        <w:t xml:space="preserve"> arc runs activity and occupancy → sound production → acoustic environment and accounts for 40% of directional records. Between the two sit the moderators that decide whether a given sound produces approach or avoidance: setting type, visual–acoustic congruence, purpose of stay and cultural context, factors that soundscape-perception research has confirmed repeatedly [10,9].</w:t>
      </w:r>
    </w:p>
    <w:p>
      <w:pPr>
        <w:spacing w:after="0" w:before="0"/>
        <w:ind w:firstLine="288"/>
      </w:pPr>
      <w:r>
        <w:rPr>
          <w:rFonts w:ascii="Times New Roman" w:hAnsi="Times New Roman" w:cs="Times New Roman" w:eastAsia="바탕"/>
          <w:b w:val="0"/>
          <w:i w:val="0"/>
          <w:sz w:val="24"/>
        </w:rPr>
        <w:t xml:space="preserve">What we would emphasise in this framework is that behaviour is not treated as a single outcome. Behaviour is an </w:t>
      </w:r>
      <w:r>
        <w:rPr>
          <w:rFonts w:ascii="Times New Roman" w:hAnsi="Times New Roman" w:cs="Times New Roman" w:eastAsia="바탕"/>
          <w:b/>
          <w:i w:val="0"/>
          <w:sz w:val="24"/>
        </w:rPr>
        <w:t>engagement gradient</w:t>
      </w:r>
      <w:r>
        <w:rPr>
          <w:rFonts w:ascii="Times New Roman" w:hAnsi="Times New Roman" w:cs="Times New Roman" w:eastAsia="바탕"/>
          <w:b w:val="0"/>
          <w:i w:val="0"/>
          <w:sz w:val="24"/>
        </w:rPr>
        <w:t xml:space="preserve">: avoiding, passing, lingering, interacting, appropriating. The same space is a thoroughfare to one person and a destination to another, and what planning tries to change is usually a position on this gradient. Placing the pooled estimates on the gradient makes the shape of the field visible at a glance: </w:t>
      </w:r>
      <w:r>
        <w:rPr>
          <w:rFonts w:ascii="Times New Roman" w:hAnsi="Times New Roman" w:cs="Times New Roman" w:eastAsia="바탕"/>
          <w:b/>
          <w:i w:val="0"/>
          <w:sz w:val="24"/>
        </w:rPr>
        <w:t>the evidence is weak at both ends, and the strongest quantitative signal sits at 'interacting'.</w:t>
      </w:r>
    </w:p>
    <w:p>
      <w:pPr>
        <w:spacing w:after="0" w:before="0"/>
        <w:ind w:firstLine="288"/>
      </w:pPr>
      <w:r>
        <w:rPr>
          <w:rFonts w:ascii="Times New Roman" w:hAnsi="Times New Roman" w:cs="Times New Roman" w:eastAsia="바탕"/>
          <w:b w:val="0"/>
          <w:i w:val="0"/>
          <w:sz w:val="24"/>
        </w:rPr>
        <w:t xml:space="preserve">The framework's value is </w:t>
      </w:r>
      <w:r>
        <w:rPr>
          <w:rFonts w:ascii="Times New Roman" w:hAnsi="Times New Roman" w:cs="Times New Roman" w:eastAsia="바탕"/>
          <w:b/>
          <w:i w:val="0"/>
          <w:sz w:val="24"/>
        </w:rPr>
        <w:t>diagnostic</w:t>
      </w:r>
      <w:r>
        <w:rPr>
          <w:rFonts w:ascii="Times New Roman" w:hAnsi="Times New Roman" w:cs="Times New Roman" w:eastAsia="바탕"/>
          <w:b w:val="0"/>
          <w:i w:val="0"/>
          <w:sz w:val="24"/>
        </w:rPr>
        <w:t xml:space="preserve"> rather than descriptive. It shows that this literature produces nearly half of its measurements on the reverse arc while organising itself around the forward arc, and that the behaviour gradient has been sampled with little regard to where planning actually intervenes. 'Appropriating', for instance, is close to the ultimate aim of public-space design, and it is among the cells with the thinnest quantitative evidence in this corpus.</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We translated the corpus into ten </w:t>
      </w:r>
      <w:r>
        <w:rPr>
          <w:rFonts w:ascii="Times New Roman" w:hAnsi="Times New Roman" w:cs="Times New Roman" w:eastAsia="바탕"/>
          <w:b/>
          <w:i w:val="0"/>
          <w:sz w:val="24"/>
        </w:rPr>
        <w:t>planning levers</w:t>
      </w:r>
      <w:r>
        <w:rPr>
          <w:rFonts w:ascii="Times New Roman" w:hAnsi="Times New Roman" w:cs="Times New Roman" w:eastAsia="바탕"/>
          <w:b w:val="0"/>
          <w:i w:val="0"/>
          <w:sz w:val="24"/>
        </w:rPr>
        <w:t>. A lever is something a designer or operator can actually move. "The noise is loud" is a description of state, not a lever; "move the ventilation fan to the opposite façade" and "shift mowing to the morning" are levers. The distinction exists so that the review's results can be carried into practice documents as they stand.</w:t>
      </w:r>
    </w:p>
    <w:p>
      <w:pPr>
        <w:spacing w:after="0" w:before="0"/>
        <w:ind w:firstLine="288"/>
      </w:pPr>
      <w:r>
        <w:rPr>
          <w:rFonts w:ascii="Times New Roman" w:hAnsi="Times New Roman" w:cs="Times New Roman" w:eastAsia="바탕"/>
          <w:b w:val="0"/>
          <w:i w:val="0"/>
          <w:sz w:val="24"/>
        </w:rPr>
        <w:t>Each lever carries a confidence grade, set by five things considered together: how many studies contribute; their MMAT composition; whether a pooled interval excludes zero; whether the effect is observed across different settings; and whether the result survives sensitivity analysis.</w:t>
      </w:r>
    </w:p>
    <w:p>
      <w:pPr>
        <w:spacing w:line="240" w:lineRule="auto" w:after="80" w:before="160"/>
      </w:pPr>
      <w:r>
        <w:rPr>
          <w:rFonts w:ascii="Times New Roman" w:hAnsi="Times New Roman" w:cs="Times New Roman" w:eastAsia="바탕"/>
          <w:b/>
          <w:i w:val="0"/>
          <w:sz w:val="22"/>
        </w:rPr>
        <w:t>Table 4.</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after="0" w:before="0"/>
        <w:ind w:firstLine="288"/>
      </w:pPr>
      <w:r>
        <w:rPr>
          <w:rFonts w:ascii="Times New Roman" w:hAnsi="Times New Roman" w:cs="Times New Roman" w:eastAsia="바탕"/>
          <w:b/>
          <w:i w:val="0"/>
          <w:sz w:val="24"/>
        </w:rPr>
        <w:t>No lever reaches high confidence.</w:t>
      </w:r>
      <w:r>
        <w:rPr>
          <w:rFonts w:ascii="Times New Roman" w:hAnsi="Times New Roman" w:cs="Times New Roman" w:eastAsia="바탕"/>
          <w:b w:val="0"/>
          <w:i w:val="0"/>
          <w:sz w:val="24"/>
        </w:rPr>
        <w:t xml:space="preserve"> Four are moderate (programmed music, natural sound provision, quiet routes, control of mechanical plant noise), five are low, and one is very low. This distribution is itself the review's central finding for practice: </w:t>
      </w:r>
      <w:r>
        <w:rPr>
          <w:rFonts w:ascii="Times New Roman" w:hAnsi="Times New Roman" w:cs="Times New Roman" w:eastAsia="바탕"/>
          <w:b/>
          <w:i w:val="0"/>
          <w:sz w:val="24"/>
        </w:rPr>
        <w:t>the field currently supports hypotheses to be verified through monitoring, not design standards.</w:t>
      </w:r>
    </w:p>
    <w:p>
      <w:pPr>
        <w:spacing w:after="0" w:before="0"/>
        <w:ind w:firstLine="288"/>
      </w:pPr>
      <w:r>
        <w:rPr>
          <w:rFonts w:ascii="Times New Roman" w:hAnsi="Times New Roman" w:cs="Times New Roman" w:eastAsia="바탕"/>
          <w:b w:val="0"/>
          <w:i w:val="0"/>
          <w:sz w:val="24"/>
        </w:rPr>
        <w:t>Two attribution judgements matter more than the grades. Both block readings that are plausible but unsupported by our data.</w:t>
      </w:r>
    </w:p>
    <w:p>
      <w:pPr>
        <w:spacing w:after="0" w:before="0"/>
        <w:ind w:firstLine="288"/>
      </w:pPr>
      <w:r>
        <w:rPr>
          <w:rFonts w:ascii="Times New Roman" w:hAnsi="Times New Roman" w:cs="Times New Roman" w:eastAsia="바탕"/>
          <w:b/>
          <w:i w:val="0"/>
          <w:sz w:val="24"/>
        </w:rPr>
        <w:t>First, the social-interaction result is attributable neither to adding natural sound nor to removing noise.</w:t>
      </w:r>
      <w:r>
        <w:rPr>
          <w:rFonts w:ascii="Times New Roman" w:hAnsi="Times New Roman" w:cs="Times New Roman" w:eastAsia="바탕"/>
          <w:b w:val="0"/>
          <w:i w:val="0"/>
          <w:sz w:val="24"/>
        </w:rPr>
        <w:t xml:space="preserve"> Reading the significant cluster as a case for water features and birdsong is convenient; so is reading it as a case for silencing machinery. Neither is supported. Split the four effects by exposure and the means are nearly identical (natural +0.76, mechanical +0.75); remove the roadworks study and the pooled estimate does not fall but </w:t>
      </w:r>
      <w:r>
        <w:rPr>
          <w:rFonts w:ascii="Times New Roman" w:hAnsi="Times New Roman" w:cs="Times New Roman" w:eastAsia="바탕"/>
          <w:b/>
          <w:i w:val="0"/>
          <w:sz w:val="24"/>
        </w:rPr>
        <w:t>rises</w:t>
      </w:r>
      <w:r>
        <w:rPr>
          <w:rFonts w:ascii="Times New Roman" w:hAnsi="Times New Roman" w:cs="Times New Roman" w:eastAsia="바탕"/>
          <w:b w:val="0"/>
          <w:i w:val="0"/>
          <w:sz w:val="24"/>
        </w:rPr>
        <w:t xml:space="preserve"> (+0.68 → +0.80). More fundamentally, the two natural-sound studies contrast birdsong and water against traffic and construction noise: they add pleasant sound and remove noise </w:t>
      </w:r>
      <w:r>
        <w:rPr>
          <w:rFonts w:ascii="Times New Roman" w:hAnsi="Times New Roman" w:cs="Times New Roman" w:eastAsia="바탕"/>
          <w:b/>
          <w:i w:val="0"/>
          <w:sz w:val="24"/>
        </w:rPr>
        <w:t>at the same time</w:t>
      </w:r>
      <w:r>
        <w:rPr>
          <w:rFonts w:ascii="Times New Roman" w:hAnsi="Times New Roman" w:cs="Times New Roman" w:eastAsia="바탕"/>
          <w:b w:val="0"/>
          <w:i w:val="0"/>
          <w:sz w:val="24"/>
        </w:rPr>
        <w:t xml:space="preserve">. Because </w:t>
      </w:r>
      <w:r>
        <w:rPr>
          <w:rFonts w:ascii="Times New Roman" w:hAnsi="Times New Roman" w:cs="Times New Roman" w:eastAsia="바탕"/>
          <w:b/>
          <w:i w:val="0"/>
          <w:sz w:val="24"/>
        </w:rPr>
        <w:t>no study in the corpus contrasts natural sound against quiet</w:t>
      </w:r>
      <w:r>
        <w:rPr>
          <w:rFonts w:ascii="Times New Roman" w:hAnsi="Times New Roman" w:cs="Times New Roman" w:eastAsia="바탕"/>
          <w:b w:val="0"/>
          <w:i w:val="0"/>
          <w:sz w:val="24"/>
        </w:rPr>
        <w:t>, the two mechanisms cannot be identified separately from anything in it. What can be said is narrower: the increment that pushed this cluster over the significance threshold came from one mechanical-noise experiment recovered by citation searching.</w:t>
      </w:r>
    </w:p>
    <w:p>
      <w:pPr>
        <w:spacing w:after="0" w:before="0"/>
        <w:ind w:firstLine="288"/>
      </w:pPr>
      <w:r>
        <w:rPr>
          <w:rFonts w:ascii="Times New Roman" w:hAnsi="Times New Roman" w:cs="Times New Roman" w:eastAsia="바탕"/>
          <w:b/>
          <w:i w:val="0"/>
          <w:sz w:val="24"/>
        </w:rPr>
        <w:t>Second, the walking-speed literature is narrower than it appears from outside.</w:t>
      </w:r>
      <w:r>
        <w:rPr>
          <w:rFonts w:ascii="Times New Roman" w:hAnsi="Times New Roman" w:cs="Times New Roman" w:eastAsia="바탕"/>
          <w:b w:val="0"/>
          <w:i w:val="0"/>
          <w:sz w:val="24"/>
        </w:rPr>
        <w:t xml:space="preserve"> Beyond the quality collapse already reported, two structural features emerged during appraisal. One is the mode of delivery: most of the pooled effects manipulated audio delivered over </w:t>
      </w:r>
      <w:r>
        <w:rPr>
          <w:rFonts w:ascii="Times New Roman" w:hAnsi="Times New Roman" w:cs="Times New Roman" w:eastAsia="바탕"/>
          <w:b/>
          <w:i w:val="0"/>
          <w:sz w:val="24"/>
        </w:rPr>
        <w:t>headphones</w:t>
      </w:r>
      <w:r>
        <w:rPr>
          <w:rFonts w:ascii="Times New Roman" w:hAnsi="Times New Roman" w:cs="Times New Roman" w:eastAsia="바탕"/>
          <w:b w:val="0"/>
          <w:i w:val="0"/>
          <w:sz w:val="24"/>
        </w:rPr>
        <w:t xml:space="preserve"> during walking, not the sound of the space, and headphones differ fundamentally from environmental sound in masking, personal choice and the allocation of attention. The other is concentration of provenance: the walking evidence is effectively </w:t>
      </w:r>
      <w:r>
        <w:rPr>
          <w:rFonts w:ascii="Times New Roman" w:hAnsi="Times New Roman" w:cs="Times New Roman" w:eastAsia="바탕"/>
          <w:b/>
          <w:i w:val="0"/>
          <w:sz w:val="24"/>
        </w:rPr>
        <w:t>one research programme</w:t>
      </w:r>
      <w:r>
        <w:rPr>
          <w:rFonts w:ascii="Times New Roman" w:hAnsi="Times New Roman" w:cs="Times New Roman" w:eastAsia="바탕"/>
          <w:b w:val="0"/>
          <w:i w:val="0"/>
          <w:sz w:val="24"/>
        </w:rPr>
        <w:t>. Two of the three pooled effects come from the same Czech group [36,37]; the two newly added high-quality walking papers are by the same group on the same 1.75–1.8 km circuit, two of them sharing the same belt-camera annotation protocol. The remaining effect is an Algerian field observation with the opposite sign [38].</w:t>
      </w:r>
    </w:p>
    <w:p>
      <w:pPr>
        <w:spacing w:after="0" w:before="0"/>
        <w:ind w:firstLine="288"/>
      </w:pPr>
      <w:r>
        <w:rPr>
          <w:rFonts w:ascii="Times New Roman" w:hAnsi="Times New Roman" w:cs="Times New Roman" w:eastAsia="바탕"/>
          <w:b w:val="0"/>
          <w:i w:val="0"/>
          <w:sz w:val="24"/>
        </w:rPr>
        <w:t xml:space="preserve">One study outside the pool changed the sound of a real street. Ba et al. [39] crossed traffic noise at 55.6 and 70.5 dB(A) with plant-scent concentration under covert observation. Mean crowd speed was about 1.14 m/s in the quieter condition and 1.21 m/s in the noisier, </w:t>
      </w:r>
      <w:r>
        <w:rPr>
          <w:rFonts w:ascii="Times New Roman" w:hAnsi="Times New Roman" w:cs="Times New Roman" w:eastAsia="바탕"/>
          <w:b/>
          <w:i w:val="0"/>
          <w:sz w:val="24"/>
        </w:rPr>
        <w:t>about 0.07 m/s faster under noise</w:t>
      </w:r>
      <w:r>
        <w:rPr>
          <w:rFonts w:ascii="Times New Roman" w:hAnsi="Times New Roman" w:cs="Times New Roman" w:eastAsia="바탕"/>
          <w:b w:val="0"/>
          <w:i w:val="0"/>
          <w:sz w:val="24"/>
        </w:rPr>
        <w:t xml:space="preserve">, the direction the literature predicts; the authors report a maximum difference of 0.06 m/s between measurement grids. The study is MMAT low. In sum, </w:t>
      </w:r>
      <w:r>
        <w:rPr>
          <w:rFonts w:ascii="Times New Roman" w:hAnsi="Times New Roman" w:cs="Times New Roman" w:eastAsia="바탕"/>
          <w:b/>
          <w:i w:val="0"/>
          <w:sz w:val="24"/>
        </w:rPr>
        <w:t>the only evidence from a manipulated real environment yields an effect of a few centimetres per second.</w:t>
      </w:r>
      <w:r>
        <w:rPr>
          <w:rFonts w:ascii="Times New Roman" w:hAnsi="Times New Roman" w:cs="Times New Roman" w:eastAsia="바탕"/>
          <w:b w:val="0"/>
          <w:i w:val="0"/>
          <w:sz w:val="24"/>
        </w:rPr>
        <w:t xml:space="preserve"> A claim replicated mostly through headphones, in one city on one circuit, is not a replicated finding, and the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of a meta-analysis does not reveal this.</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The practical reading of Table 4, in order of defensibility.</w:t>
      </w:r>
    </w:p>
    <w:p>
      <w:pPr>
        <w:spacing w:after="0" w:before="0"/>
        <w:ind w:firstLine="288"/>
      </w:pPr>
      <w:r>
        <w:rPr>
          <w:rFonts w:ascii="Times New Roman" w:hAnsi="Times New Roman" w:cs="Times New Roman" w:eastAsia="바탕"/>
          <w:b/>
          <w:i w:val="0"/>
          <w:sz w:val="24"/>
        </w:rPr>
        <w:t>Start with operational noise.</w:t>
      </w:r>
      <w:r>
        <w:rPr>
          <w:rFonts w:ascii="Times New Roman" w:hAnsi="Times New Roman" w:cs="Times New Roman" w:eastAsia="바탕"/>
          <w:b w:val="0"/>
          <w:i w:val="0"/>
          <w:sz w:val="24"/>
        </w:rPr>
        <w:t xml:space="preserve"> The best-supported behavioural consequence in this corpus is that mechanical noise suppresses social behaviour, including help offered to strangers. The prescription is practically attractive not only because the evidence is comparatively strong. Ventilation plant, mowing schedules and construction hours sit </w:t>
      </w:r>
      <w:r>
        <w:rPr>
          <w:rFonts w:ascii="Times New Roman" w:hAnsi="Times New Roman" w:cs="Times New Roman" w:eastAsia="바탕"/>
          <w:b/>
          <w:i w:val="0"/>
          <w:sz w:val="24"/>
        </w:rPr>
        <w:t>within routine operational control</w:t>
      </w:r>
      <w:r>
        <w:rPr>
          <w:rFonts w:ascii="Times New Roman" w:hAnsi="Times New Roman" w:cs="Times New Roman" w:eastAsia="바탕"/>
          <w:b w:val="0"/>
          <w:i w:val="0"/>
          <w:sz w:val="24"/>
        </w:rPr>
        <w:t>; changing them costs little, requires no redesign and needs no budget approval. That two independent field experiments with different noise sources support it can be added.</w:t>
      </w:r>
    </w:p>
    <w:p>
      <w:pPr>
        <w:spacing w:after="0" w:before="0"/>
        <w:ind w:firstLine="288"/>
      </w:pPr>
      <w:r>
        <w:rPr>
          <w:rFonts w:ascii="Times New Roman" w:hAnsi="Times New Roman" w:cs="Times New Roman" w:eastAsia="바탕"/>
          <w:b/>
          <w:i w:val="0"/>
          <w:sz w:val="24"/>
        </w:rPr>
        <w:t>Treat added sound as a staying tool, not a draw.</w:t>
      </w:r>
      <w:r>
        <w:rPr>
          <w:rFonts w:ascii="Times New Roman" w:hAnsi="Times New Roman" w:cs="Times New Roman" w:eastAsia="바탕"/>
          <w:b w:val="0"/>
          <w:i w:val="0"/>
          <w:sz w:val="24"/>
        </w:rPr>
        <w:t xml:space="preserve"> Music lengthens the stay of people already present. The only high-quality study that tested attraction [40] found no effect on the number of people stopping. Programming justified by growth in visitor numbers outruns what the evidence shows. A common error of practice lies here: when a square-activation project sets "more users" as its performance indicator and deploys an acoustic intervention, indicator and evidence part company.</w:t>
      </w:r>
    </w:p>
    <w:p>
      <w:pPr>
        <w:spacing w:after="0" w:before="0"/>
        <w:ind w:firstLine="288"/>
      </w:pPr>
      <w:r>
        <w:rPr>
          <w:rFonts w:ascii="Times New Roman" w:hAnsi="Times New Roman" w:cs="Times New Roman" w:eastAsia="바탕"/>
          <w:b/>
          <w:i w:val="0"/>
          <w:sz w:val="24"/>
        </w:rPr>
        <w:t>Introduce a conversability criterion for siting social space</w:t>
      </w:r>
      <w:r>
        <w:rPr>
          <w:rFonts w:ascii="Times New Roman" w:hAnsi="Times New Roman" w:cs="Times New Roman" w:eastAsia="바탕"/>
          <w:b w:val="0"/>
          <w:i w:val="0"/>
          <w:sz w:val="24"/>
        </w:rPr>
        <w:t xml:space="preserve"> (lever L10, new in this revision). Where people are meant to talk (bench clusters, terraces, meeting places), the operative threshold is not annoyance but whether </w:t>
      </w:r>
      <w:r>
        <w:rPr>
          <w:rFonts w:ascii="Times New Roman" w:hAnsi="Times New Roman" w:cs="Times New Roman" w:eastAsia="바탕"/>
          <w:b/>
          <w:i w:val="0"/>
          <w:sz w:val="24"/>
        </w:rPr>
        <w:t>conversation holds</w:t>
      </w:r>
      <w:r>
        <w:rPr>
          <w:rFonts w:ascii="Times New Roman" w:hAnsi="Times New Roman" w:cs="Times New Roman" w:eastAsia="바탕"/>
          <w:b w:val="0"/>
          <w:i w:val="0"/>
          <w:sz w:val="24"/>
        </w:rPr>
        <w:t>, that is, speech interference. The evidence supports a continuous slope, not a cut-off: roughly 0.25 points of self-reported vocal effort per decibel [41]. That is enough to compare candidate sites and not enough to set a standard. Expect about one point of difference on a speech-interference scale between two sites whose equivalent sound levels differ by 4 dB; that is all this evidence can say.</w:t>
      </w:r>
    </w:p>
    <w:p>
      <w:pPr>
        <w:spacing w:after="0" w:before="0"/>
        <w:ind w:firstLine="288"/>
      </w:pPr>
      <w:r>
        <w:rPr>
          <w:rFonts w:ascii="Times New Roman" w:hAnsi="Times New Roman" w:cs="Times New Roman" w:eastAsia="바탕"/>
          <w:b/>
          <w:i w:val="0"/>
          <w:sz w:val="24"/>
        </w:rPr>
        <w:t>Do not use walking speed as a design performance indicator</w:t>
      </w:r>
      <w:r>
        <w:rPr>
          <w:rFonts w:ascii="Times New Roman" w:hAnsi="Times New Roman" w:cs="Times New Roman" w:eastAsia="바탕"/>
          <w:b w:val="0"/>
          <w:i w:val="0"/>
          <w:sz w:val="24"/>
        </w:rPr>
        <w:t>, and do not carry headphone results into public space, for the reasons of the previous section.</w:t>
      </w:r>
    </w:p>
    <w:p>
      <w:pPr>
        <w:spacing w:after="0" w:before="0"/>
        <w:ind w:firstLine="288"/>
      </w:pPr>
      <w:r>
        <w:rPr>
          <w:rFonts w:ascii="Times New Roman" w:hAnsi="Times New Roman" w:cs="Times New Roman" w:eastAsia="바탕"/>
          <w:b w:val="0"/>
          <w:i w:val="0"/>
          <w:sz w:val="24"/>
        </w:rPr>
        <w:t xml:space="preserve">The prescriptions we judge </w:t>
      </w:r>
      <w:r>
        <w:rPr>
          <w:rFonts w:ascii="Times New Roman" w:hAnsi="Times New Roman" w:cs="Times New Roman" w:eastAsia="바탕"/>
          <w:b/>
          <w:i w:val="0"/>
          <w:sz w:val="24"/>
        </w:rPr>
        <w:t>unsupported</w:t>
      </w:r>
      <w:r>
        <w:rPr>
          <w:rFonts w:ascii="Times New Roman" w:hAnsi="Times New Roman" w:cs="Times New Roman" w:eastAsia="바탕"/>
          <w:b w:val="0"/>
          <w:i w:val="0"/>
          <w:sz w:val="24"/>
        </w:rPr>
        <w:t xml:space="preserve"> are listed in the notes to Table 4. Two are common enough in practice to single out. Masking traffic noise with water features to increase use: </w:t>
      </w:r>
      <w:r>
        <w:rPr>
          <w:rFonts w:ascii="Times New Roman" w:hAnsi="Times New Roman" w:cs="Times New Roman" w:eastAsia="바탕"/>
          <w:b/>
          <w:i w:val="0"/>
          <w:sz w:val="24"/>
        </w:rPr>
        <w:t>not one study in this corpus tests it on behaviour.</w:t>
      </w:r>
      <w:r>
        <w:rPr>
          <w:rFonts w:ascii="Times New Roman" w:hAnsi="Times New Roman" w:cs="Times New Roman" w:eastAsia="바탕"/>
          <w:b w:val="0"/>
          <w:i w:val="0"/>
          <w:sz w:val="24"/>
        </w:rPr>
        <w:t xml:space="preserve"> The evidence that natural sound improves perceptual and psychological indicators is real [13], but improved perception and increased use are different propositions, and this prescription has not yet crossed from perception research into behaviour. And treating noise reduction as a route to physical activity is not merely unsupported but </w:t>
      </w:r>
      <w:r>
        <w:rPr>
          <w:rFonts w:ascii="Times New Roman" w:hAnsi="Times New Roman" w:cs="Times New Roman" w:eastAsia="바탕"/>
          <w:b/>
          <w:i w:val="0"/>
          <w:sz w:val="24"/>
        </w:rPr>
        <w:t>contradicted</w:t>
      </w:r>
      <w:r>
        <w:rPr>
          <w:rFonts w:ascii="Times New Roman" w:hAnsi="Times New Roman" w:cs="Times New Roman" w:eastAsia="바탕"/>
          <w:b w:val="0"/>
          <w:i w:val="0"/>
          <w:sz w:val="24"/>
        </w:rPr>
        <w:t>: the two largest datasets here report positive associations between noise and activity [42,43], because activity concentrates where cities are loud. Quiet places do not generate activity; active places generate noise.</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This field measures sound far better than it measures people.</w:t>
      </w:r>
      <w:r>
        <w:rPr>
          <w:rFonts w:ascii="Times New Roman" w:hAnsi="Times New Roman" w:cs="Times New Roman" w:eastAsia="바탕"/>
          <w:b w:val="0"/>
          <w:i w:val="0"/>
          <w:sz w:val="24"/>
        </w:rPr>
        <w:t xml:space="preserve"> The largest quality deficit is not confirmed design flaws but missing reporting. Sample representativeness is clear in about one study in five, low non-response bias in roughly one in three. The bottom-tier scores of the two randomised studies have exactly the same cause, and it is a fixable one: no new equipment, no new budget, a few lines of reporting.</w:t>
      </w:r>
    </w:p>
    <w:p>
      <w:pPr>
        <w:spacing w:after="0" w:before="0"/>
        <w:ind w:firstLine="288"/>
      </w:pPr>
      <w:r>
        <w:rPr>
          <w:rFonts w:ascii="Times New Roman" w:hAnsi="Times New Roman" w:cs="Times New Roman" w:eastAsia="바탕"/>
          <w:b/>
          <w:i w:val="0"/>
          <w:sz w:val="24"/>
        </w:rPr>
        <w:t>Measurement generations accumulate rather than replace.</w:t>
      </w:r>
      <w:r>
        <w:rPr>
          <w:rFonts w:ascii="Times New Roman" w:hAnsi="Times New Roman" w:cs="Times New Roman" w:eastAsia="바탕"/>
          <w:b w:val="0"/>
          <w:i w:val="0"/>
          <w:sz w:val="24"/>
        </w:rPr>
        <w:t xml:space="preserve"> As §3.6 showed, sensing grew fastest, but self-report and systematic observation grew alongside it, and 22 studies now combine two or more. If studies report enough for the layers to be compared, this is an opportunity.</w:t>
      </w:r>
    </w:p>
    <w:p>
      <w:pPr>
        <w:spacing w:after="0" w:before="0"/>
        <w:ind w:firstLine="288"/>
      </w:pPr>
      <w:r>
        <w:rPr>
          <w:rFonts w:ascii="Times New Roman" w:hAnsi="Times New Roman" w:cs="Times New Roman" w:eastAsia="바탕"/>
          <w:b/>
          <w:i w:val="0"/>
          <w:sz w:val="24"/>
        </w:rPr>
        <w:t>Three warnings concern evidence synthesis itself.</w:t>
      </w:r>
      <w:r>
        <w:rPr>
          <w:rFonts w:ascii="Times New Roman" w:hAnsi="Times New Roman" w:cs="Times New Roman" w:eastAsia="바탕"/>
          <w:b w:val="0"/>
          <w:i w:val="0"/>
          <w:sz w:val="24"/>
        </w:rPr>
        <w:t xml:space="preserve"> All three come from our own work.</w:t>
      </w:r>
    </w:p>
    <w:p>
      <w:pPr>
        <w:spacing w:after="0" w:before="0"/>
        <w:ind w:firstLine="288"/>
      </w:pPr>
      <w:r>
        <w:rPr>
          <w:rFonts w:ascii="Times New Roman" w:hAnsi="Times New Roman" w:cs="Times New Roman" w:eastAsia="바탕"/>
          <w:b w:val="0"/>
          <w:i w:val="0"/>
          <w:sz w:val="24"/>
        </w:rPr>
        <w:t xml:space="preserve">First, automated full-text extraction interacts badly with appraisal instruments that score unreported items as Can't tell. Truncated extraction lowered the quality tier of 4 of 16 studies by at least one tier, three of them by two, and </w:t>
      </w:r>
      <w:r>
        <w:rPr>
          <w:rFonts w:ascii="Times New Roman" w:hAnsi="Times New Roman" w:cs="Times New Roman" w:eastAsia="바탕"/>
          <w:b/>
          <w:i w:val="0"/>
          <w:sz w:val="24"/>
        </w:rPr>
        <w:t>made an entire search route appear to retrieve weaker literature.</w:t>
      </w:r>
      <w:r>
        <w:rPr>
          <w:rFonts w:ascii="Times New Roman" w:hAnsi="Times New Roman" w:cs="Times New Roman" w:eastAsia="바탕"/>
          <w:b w:val="0"/>
          <w:i w:val="0"/>
          <w:sz w:val="24"/>
        </w:rPr>
        <w:t xml:space="preserve"> The bias runs one way only and is invisible without a deliberate audit. Reviews using machine extraction should report their extraction limits and confirm that appraised studies were appraised on complete text.</w:t>
      </w:r>
    </w:p>
    <w:p>
      <w:pPr>
        <w:spacing w:after="0" w:before="0"/>
        <w:ind w:firstLine="288"/>
      </w:pPr>
      <w:r>
        <w:rPr>
          <w:rFonts w:ascii="Times New Roman" w:hAnsi="Times New Roman" w:cs="Times New Roman" w:eastAsia="바탕"/>
          <w:b w:val="0"/>
          <w:i w:val="0"/>
          <w:sz w:val="24"/>
        </w:rPr>
        <w:t>Second, index metadata cannot be trusted. Two of the five full texts retrieved through the supplementary index were indexed as English yet written in Korean and Japanese. A review that enforces its language criterion on metadata rather than on documents will violate its own protocol silently.</w:t>
      </w:r>
    </w:p>
    <w:p>
      <w:pPr>
        <w:spacing w:after="0" w:before="0"/>
        <w:ind w:firstLine="288"/>
      </w:pPr>
      <w:r>
        <w:rPr>
          <w:rFonts w:ascii="Times New Roman" w:hAnsi="Times New Roman" w:cs="Times New Roman" w:eastAsia="바탕"/>
          <w:b w:val="0"/>
          <w:i w:val="0"/>
          <w:sz w:val="24"/>
        </w:rPr>
        <w:t xml:space="preserve">Third, and most painfully, </w:t>
      </w:r>
      <w:r>
        <w:rPr>
          <w:rFonts w:ascii="Times New Roman" w:hAnsi="Times New Roman" w:cs="Times New Roman" w:eastAsia="바탕"/>
          <w:b/>
          <w:i w:val="0"/>
          <w:sz w:val="24"/>
        </w:rPr>
        <w:t>computational code cannot be verified by the person who wrote it.</w:t>
      </w:r>
      <w:r>
        <w:rPr>
          <w:rFonts w:ascii="Times New Roman" w:hAnsi="Times New Roman" w:cs="Times New Roman" w:eastAsia="바탕"/>
          <w:b w:val="0"/>
          <w:i w:val="0"/>
          <w:sz w:val="24"/>
        </w:rPr>
        <w:t xml:space="preserve"> Handing the meta-analysis implementation to an external verifier with instructions to refute it exposed four errors (§2.7). Two are especially telling. </w:t>
      </w:r>
      <w:r>
        <w:rPr>
          <w:rFonts w:ascii="Times New Roman" w:hAnsi="Times New Roman" w:cs="Times New Roman" w:eastAsia="바탕"/>
          <w:b/>
          <w:i w:val="0"/>
          <w:sz w:val="24"/>
        </w:rPr>
        <w:t>The same τ² estimation function was duplicated across three files, and all three solved maximum likelihood despite their name.</w:t>
      </w:r>
      <w:r>
        <w:rPr>
          <w:rFonts w:ascii="Times New Roman" w:hAnsi="Times New Roman" w:cs="Times New Roman" w:eastAsia="바탕"/>
          <w:b w:val="0"/>
          <w:i w:val="0"/>
          <w:sz w:val="24"/>
        </w:rPr>
        <w:t xml:space="preserve"> Without the duplication, one fix would have sufficed; with it, three outputs were wrong together. And </w:t>
      </w:r>
      <w:r>
        <w:rPr>
          <w:rFonts w:ascii="Times New Roman" w:hAnsi="Times New Roman" w:cs="Times New Roman" w:eastAsia="바탕"/>
          <w:b/>
          <w:i w:val="0"/>
          <w:sz w:val="24"/>
        </w:rPr>
        <w:t>a study whose extraction table recorded `NR` for effect statistics had acquired a value at the pooling stage.</w:t>
      </w:r>
      <w:r>
        <w:rPr>
          <w:rFonts w:ascii="Times New Roman" w:hAnsi="Times New Roman" w:cs="Times New Roman" w:eastAsia="바탕"/>
          <w:b w:val="0"/>
          <w:i w:val="0"/>
          <w:sz w:val="24"/>
        </w:rPr>
        <w:t xml:space="preserve"> When extraction and pooling pass through one person, that boundary blurs. Neither error fell to self-checking; both fell to a verifier who was not the author. Our experience is that </w:t>
      </w:r>
      <w:r>
        <w:rPr>
          <w:rFonts w:ascii="Times New Roman" w:hAnsi="Times New Roman" w:cs="Times New Roman" w:eastAsia="바탕"/>
          <w:b/>
          <w:i w:val="0"/>
          <w:sz w:val="24"/>
        </w:rPr>
        <w:t>reviews reporting meta-analyses should have their computation re-run independently.</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Of the gaps this corpus leaves, we present six with the largest return on effort, in that order.</w:t>
      </w:r>
    </w:p>
    <w:p>
      <w:pPr>
        <w:spacing w:after="0" w:before="0"/>
        <w:ind w:firstLine="288"/>
      </w:pPr>
      <w:r>
        <w:rPr>
          <w:rFonts w:ascii="Times New Roman" w:hAnsi="Times New Roman" w:cs="Times New Roman" w:eastAsia="바탕"/>
          <w:b/>
          <w:i w:val="0"/>
          <w:sz w:val="24"/>
        </w:rPr>
        <w:t>One: a single well-reported walking experiment moves an entire cell.</w:t>
      </w:r>
      <w:r>
        <w:rPr>
          <w:rFonts w:ascii="Times New Roman" w:hAnsi="Times New Roman" w:cs="Times New Roman" w:eastAsia="바탕"/>
          <w:b w:val="0"/>
          <w:i w:val="0"/>
          <w:sz w:val="24"/>
        </w:rPr>
        <w:t xml:space="preserve"> Nothing special is required. Manipulate the sound of a real space rather than headphones, randomise properly, and report procedure, baseline equivalence and blinding. The current pooled estimate stands on studies that each fail two MMAT criteria, and the capacity to run high-quality walking studies already exists in this field; the three studies seen in §3.4 are the proof. This is a matter of design choice, not capability.</w:t>
      </w:r>
    </w:p>
    <w:p>
      <w:pPr>
        <w:spacing w:after="0" w:before="0"/>
        <w:ind w:firstLine="288"/>
      </w:pPr>
      <w:r>
        <w:rPr>
          <w:rFonts w:ascii="Times New Roman" w:hAnsi="Times New Roman" w:cs="Times New Roman" w:eastAsia="바탕"/>
          <w:b/>
          <w:i w:val="0"/>
          <w:sz w:val="24"/>
        </w:rPr>
        <w:t>Two: aircraft noise and behaviour is effectively empty.</w:t>
      </w:r>
      <w:r>
        <w:rPr>
          <w:rFonts w:ascii="Times New Roman" w:hAnsi="Times New Roman" w:cs="Times New Roman" w:eastAsia="바탕"/>
          <w:b w:val="0"/>
          <w:i w:val="0"/>
          <w:sz w:val="24"/>
        </w:rPr>
        <w:t xml:space="preserve"> Two studies. The health effects of aircraft noise have a vast literature [5]; research around airports has stayed inside the health-and-annoyance frame. What is needed is a design that measures use, routes and stays in the outdoor spaces around airports as behaviour, not on an annoyance scale.</w:t>
      </w:r>
    </w:p>
    <w:p>
      <w:pPr>
        <w:spacing w:after="0" w:before="0"/>
        <w:ind w:firstLine="288"/>
      </w:pPr>
      <w:r>
        <w:rPr>
          <w:rFonts w:ascii="Times New Roman" w:hAnsi="Times New Roman" w:cs="Times New Roman" w:eastAsia="바탕"/>
          <w:b/>
          <w:i w:val="0"/>
          <w:sz w:val="24"/>
        </w:rPr>
        <w:t>Three: close the chain from design to acoustic outcome to behaviour.</w:t>
      </w:r>
      <w:r>
        <w:rPr>
          <w:rFonts w:ascii="Times New Roman" w:hAnsi="Times New Roman" w:cs="Times New Roman" w:eastAsia="바탕"/>
          <w:b w:val="0"/>
          <w:i w:val="0"/>
          <w:sz w:val="24"/>
        </w:rPr>
        <w:t xml:space="preserve"> The natural-sound evidence is almost entirely loudspeaker playback. In the three-link chain in which planting actually produces birdsong and that birdsong changes behaviour, no study verifies the first two links by manipulation. This question has direct stakes for landscape practice, because what designers place is trees, not speakers.</w:t>
      </w:r>
    </w:p>
    <w:p>
      <w:pPr>
        <w:spacing w:after="0" w:before="0"/>
        <w:ind w:firstLine="288"/>
      </w:pPr>
      <w:r>
        <w:rPr>
          <w:rFonts w:ascii="Times New Roman" w:hAnsi="Times New Roman" w:cs="Times New Roman" w:eastAsia="바탕"/>
          <w:b/>
          <w:i w:val="0"/>
          <w:sz w:val="24"/>
        </w:rPr>
        <w:t>Four: measure persistence.</w:t>
      </w:r>
      <w:r>
        <w:rPr>
          <w:rFonts w:ascii="Times New Roman" w:hAnsi="Times New Roman" w:cs="Times New Roman" w:eastAsia="바탕"/>
          <w:b w:val="0"/>
          <w:i w:val="0"/>
          <w:sz w:val="24"/>
        </w:rPr>
        <w:t xml:space="preserve"> Nearly every intervention runs from hours to days, the longest for one season. Whether behavioural change survives the removal of an intervention or fades through habituation, nobody knows. Budget decisions hang exactly here: install-once versus operate-forever changes the cost structure of a project.</w:t>
      </w:r>
    </w:p>
    <w:p>
      <w:pPr>
        <w:spacing w:after="0" w:before="0"/>
        <w:ind w:firstLine="288"/>
      </w:pPr>
      <w:r>
        <w:rPr>
          <w:rFonts w:ascii="Times New Roman" w:hAnsi="Times New Roman" w:cs="Times New Roman" w:eastAsia="바탕"/>
          <w:b/>
          <w:i w:val="0"/>
          <w:sz w:val="24"/>
        </w:rPr>
        <w:t>Five: build reverse-direction prediction rules.</w:t>
      </w:r>
      <w:r>
        <w:rPr>
          <w:rFonts w:ascii="Times New Roman" w:hAnsi="Times New Roman" w:cs="Times New Roman" w:eastAsia="바탕"/>
          <w:b w:val="0"/>
          <w:i w:val="0"/>
          <w:sz w:val="24"/>
        </w:rPr>
        <w:t xml:space="preserve"> Even though the two directions are balanced for space use, activity and social behaviour, few studies provide rules that predict what sound a programme of activities will produce. A handful of equations predict sound pressure from density, but their coefficients cannot be transplanted from one setting to another.</w:t>
      </w:r>
    </w:p>
    <w:p>
      <w:pPr>
        <w:spacing w:after="0" w:before="0"/>
        <w:ind w:firstLine="288"/>
      </w:pPr>
      <w:r>
        <w:rPr>
          <w:rFonts w:ascii="Times New Roman" w:hAnsi="Times New Roman" w:cs="Times New Roman" w:eastAsia="바탕"/>
          <w:b/>
          <w:i w:val="0"/>
          <w:sz w:val="24"/>
        </w:rPr>
        <w:t>Six: report the basics.</w:t>
      </w:r>
      <w:r>
        <w:rPr>
          <w:rFonts w:ascii="Times New Roman" w:hAnsi="Times New Roman" w:cs="Times New Roman" w:eastAsia="바탕"/>
          <w:b w:val="0"/>
          <w:i w:val="0"/>
          <w:sz w:val="24"/>
        </w:rPr>
        <w:t xml:space="preserve"> Many otherwise eligible studies specified no per-group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no standard deviation, or no analytic unit, and entered no pool. That so few effects could be pooled in this review owes less to a shortage of studies than to </w:t>
      </w:r>
      <w:r>
        <w:rPr>
          <w:rFonts w:ascii="Times New Roman" w:hAnsi="Times New Roman" w:cs="Times New Roman" w:eastAsia="바탕"/>
          <w:b/>
          <w:i w:val="0"/>
          <w:sz w:val="24"/>
        </w:rPr>
        <w:t>insufficient reporting.</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The corpus is geographically narrow (China 39%) and young (71% from 2020 onwards); pooled estimates must not be read as culturally general. The English-language, journal-only restriction fixed at registration excludes a literature with substantial Chinese-language contributions, and this interacts with the geographic skew: with Chinese studies at 39% of the corpus while Chinese-language work is excluded, the Chinese research we see is the subset that chose to publish in English.</w:t>
      </w:r>
    </w:p>
    <w:p>
      <w:pPr>
        <w:spacing w:after="0" w:before="0"/>
        <w:ind w:firstLine="288"/>
      </w:pPr>
      <w:r>
        <w:rPr>
          <w:rFonts w:ascii="Times New Roman" w:hAnsi="Times New Roman" w:cs="Times New Roman" w:eastAsia="바탕"/>
          <w:b w:val="0"/>
          <w:i w:val="0"/>
          <w:sz w:val="24"/>
        </w:rPr>
        <w:t>Across the three routes, 122 full texts could not be retrieved (databases 89, citation tracking 25, supplementary index 8). Retrieval reached 92% for citation-tracked records whose abstracts confirmed a behavioural outcome; the unretrieved records were overwhelmingly title-judged, and none of the title-judged records that were retrieved proved eligible (§3.1). This observation does not eliminate the influence of the unretrieved reports, but it indicates its direction.</w:t>
      </w:r>
    </w:p>
    <w:p>
      <w:pPr>
        <w:spacing w:after="0" w:before="0"/>
        <w:ind w:firstLine="288"/>
      </w:pPr>
      <w:r>
        <w:rPr>
          <w:rFonts w:ascii="Times New Roman" w:hAnsi="Times New Roman" w:cs="Times New Roman" w:eastAsia="바탕"/>
          <w:b w:val="0"/>
          <w:i w:val="0"/>
          <w:sz w:val="24"/>
        </w:rPr>
        <w:t>Screening and extraction were performed by a single reviewer working with AI assistance and stepwise verification, not by two independent reviewers. Two pairs of papers share samples; one member of each pair entered any pool.</w:t>
      </w:r>
    </w:p>
    <w:p>
      <w:pPr>
        <w:spacing w:after="0" w:before="0"/>
        <w:ind w:firstLine="288"/>
      </w:pPr>
      <w:r>
        <w:rPr>
          <w:rFonts w:ascii="Times New Roman" w:hAnsi="Times New Roman" w:cs="Times New Roman" w:eastAsia="바탕"/>
          <w:b w:val="0"/>
          <w:i w:val="0"/>
          <w:sz w:val="24"/>
        </w:rPr>
        <w:t xml:space="preserve">The limits of the quantitative synthesis are as stated repeatedly above. Reporting bias could not be assessed in any cluster,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never reaching the pre-specified threshold of 10, so small-study effects remain a live possibility. The registered subgroup analyses could not be run for the same reason: clusters of three to six estimates cannot be split. </w:t>
      </w:r>
      <w:r>
        <w:rPr>
          <w:rFonts w:ascii="Times New Roman" w:hAnsi="Times New Roman" w:cs="Times New Roman" w:eastAsia="바탕"/>
          <w:b/>
          <w:i w:val="0"/>
          <w:sz w:val="24"/>
        </w:rPr>
        <w:t>With prediction intervals including zero in all four clusters, no significant result should be read as a forecast of what a new study will find.</w:t>
      </w:r>
      <w:r>
        <w:rPr>
          <w:rFonts w:ascii="Times New Roman" w:hAnsi="Times New Roman" w:cs="Times New Roman" w:eastAsia="바탕"/>
          <w:b w:val="0"/>
          <w:i w:val="0"/>
          <w:sz w:val="24"/>
        </w:rPr>
        <w:t xml:space="preserve"> Finally, the significance of the social-interaction cluster depends on one study retrieved by citation searching and would not have been observed from database searching alone.</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Sound changes what people do in urban open space. The evidence for that claim is unevenly distributed across behaviours, and </w:t>
      </w:r>
      <w:r>
        <w:rPr>
          <w:rFonts w:ascii="Times New Roman" w:hAnsi="Times New Roman" w:cs="Times New Roman" w:eastAsia="바탕"/>
          <w:b/>
          <w:i w:val="0"/>
          <w:sz w:val="24"/>
        </w:rPr>
        <w:t>its strongest and weakest parts are not where received wisdom suggests.</w:t>
      </w:r>
    </w:p>
    <w:p>
      <w:pPr>
        <w:spacing w:after="0" w:before="0"/>
        <w:ind w:firstLine="288"/>
      </w:pPr>
      <w:r>
        <w:rPr>
          <w:rFonts w:ascii="Times New Roman" w:hAnsi="Times New Roman" w:cs="Times New Roman" w:eastAsia="바탕"/>
          <w:b w:val="0"/>
          <w:i w:val="0"/>
          <w:sz w:val="24"/>
        </w:rPr>
        <w:t xml:space="preserve">Across 98 studies, all four meta-analytic clusters point in the theoretically predicted direction, but only two mean effects exclude zero and </w:t>
      </w:r>
      <w:r>
        <w:rPr>
          <w:rFonts w:ascii="Times New Roman" w:hAnsi="Times New Roman" w:cs="Times New Roman" w:eastAsia="바탕"/>
          <w:b/>
          <w:i w:val="0"/>
          <w:sz w:val="24"/>
        </w:rPr>
        <w:t>no prediction interval does.</w:t>
      </w:r>
      <w:r>
        <w:rPr>
          <w:rFonts w:ascii="Times New Roman" w:hAnsi="Times New Roman" w:cs="Times New Roman" w:eastAsia="바탕"/>
          <w:b w:val="0"/>
          <w:i w:val="0"/>
          <w:sz w:val="24"/>
        </w:rPr>
        <w:t xml:space="preserve"> The best-established behavioural consequence of the acoustic environment is </w:t>
      </w:r>
      <w:r>
        <w:rPr>
          <w:rFonts w:ascii="Times New Roman" w:hAnsi="Times New Roman" w:cs="Times New Roman" w:eastAsia="바탕"/>
          <w:b/>
          <w:i w:val="0"/>
          <w:sz w:val="24"/>
        </w:rPr>
        <w:t>social</w:t>
      </w:r>
      <w:r>
        <w:rPr>
          <w:rFonts w:ascii="Times New Roman" w:hAnsi="Times New Roman" w:cs="Times New Roman" w:eastAsia="바탕"/>
          <w:b w:val="0"/>
          <w:i w:val="0"/>
          <w:sz w:val="24"/>
        </w:rPr>
        <w:t>: mechanical noise was associated with reduced interaction between strangers in two independent field experiments using different noise sources. By contrast, the widely cited claim that noise makes people walk faster rests on three effects all appraised as low quality, mostly manipulating headphone audio rather than places, and drawn substantially from one research programme on one circuit.</w:t>
      </w:r>
    </w:p>
    <w:p>
      <w:pPr>
        <w:spacing w:after="0" w:before="0"/>
        <w:ind w:firstLine="288"/>
      </w:pPr>
      <w:r>
        <w:rPr>
          <w:rFonts w:ascii="Times New Roman" w:hAnsi="Times New Roman" w:cs="Times New Roman" w:eastAsia="바탕"/>
          <w:b w:val="0"/>
          <w:i w:val="0"/>
          <w:sz w:val="24"/>
        </w:rPr>
        <w:t>Nearly half of the evidence runs in reverse: people's activity makes the soundscape as much as the soundscape shapes activity. A planning frame that treats sound only as exposure discards this.</w:t>
      </w:r>
    </w:p>
    <w:p>
      <w:pPr>
        <w:spacing w:after="0" w:before="0"/>
        <w:ind w:firstLine="288"/>
      </w:pPr>
      <w:r>
        <w:rPr>
          <w:rFonts w:ascii="Times New Roman" w:hAnsi="Times New Roman" w:cs="Times New Roman" w:eastAsia="바탕"/>
          <w:b w:val="0"/>
          <w:i w:val="0"/>
          <w:sz w:val="24"/>
        </w:rPr>
        <w:t xml:space="preserve">For practice, the defensible actions are narrow but real. </w:t>
      </w:r>
      <w:r>
        <w:rPr>
          <w:rFonts w:ascii="Times New Roman" w:hAnsi="Times New Roman" w:cs="Times New Roman" w:eastAsia="바탕"/>
          <w:b/>
          <w:i w:val="0"/>
          <w:sz w:val="24"/>
        </w:rPr>
        <w:t>Control operational noise</w:t>
      </w:r>
      <w:r>
        <w:rPr>
          <w:rFonts w:ascii="Times New Roman" w:hAnsi="Times New Roman" w:cs="Times New Roman" w:eastAsia="바탕"/>
          <w:b w:val="0"/>
          <w:i w:val="0"/>
          <w:sz w:val="24"/>
        </w:rPr>
        <w:t xml:space="preserve"> where people are meant to interact. Use added sound to lengthen </w:t>
      </w:r>
      <w:r>
        <w:rPr>
          <w:rFonts w:ascii="Times New Roman" w:hAnsi="Times New Roman" w:cs="Times New Roman" w:eastAsia="바탕"/>
          <w:b/>
          <w:i w:val="0"/>
          <w:sz w:val="24"/>
        </w:rPr>
        <w:t>stays</w:t>
      </w:r>
      <w:r>
        <w:rPr>
          <w:rFonts w:ascii="Times New Roman" w:hAnsi="Times New Roman" w:cs="Times New Roman" w:eastAsia="바탕"/>
          <w:b w:val="0"/>
          <w:i w:val="0"/>
          <w:sz w:val="24"/>
        </w:rPr>
        <w:t xml:space="preserve">, not to draw visitors. Judge the siting of social space by whether </w:t>
      </w:r>
      <w:r>
        <w:rPr>
          <w:rFonts w:ascii="Times New Roman" w:hAnsi="Times New Roman" w:cs="Times New Roman" w:eastAsia="바탕"/>
          <w:b/>
          <w:i w:val="0"/>
          <w:sz w:val="24"/>
        </w:rPr>
        <w:t>conversation holds</w:t>
      </w:r>
      <w:r>
        <w:rPr>
          <w:rFonts w:ascii="Times New Roman" w:hAnsi="Times New Roman" w:cs="Times New Roman" w:eastAsia="바탕"/>
          <w:b w:val="0"/>
          <w:i w:val="0"/>
          <w:sz w:val="24"/>
        </w:rPr>
        <w:t>. And do not prescribe from perception research what has never been tested on behaviour.</w:t>
      </w:r>
    </w:p>
    <w:p>
      <w:pPr>
        <w:spacing w:after="0" w:before="0"/>
        <w:ind w:firstLine="288"/>
      </w:pPr>
      <w:r>
        <w:rPr>
          <w:rFonts w:ascii="Times New Roman" w:hAnsi="Times New Roman" w:cs="Times New Roman" w:eastAsia="바탕"/>
          <w:b w:val="0"/>
          <w:i w:val="0"/>
          <w:sz w:val="24"/>
        </w:rPr>
        <w:t>For research, the most valuable next study is unglamorous: one field experiment that manipulates the sound of a real place, randomises properly, and reports its methods completely. That single study would move a cell of evidence that half a century of citation has not.</w:t>
      </w:r>
    </w:p>
    <w:p>
      <w:pPr>
        <w:keepNext/>
        <w:jc w:val="both"/>
      </w:pPr>
      <w:r>
        <w:rPr>
          <w:rFonts w:ascii="Times New Roman" w:hAnsi="Times New Roman" w:cs="Times New Roman" w:eastAsia="바탕"/>
          <w:b/>
          <w:i w:val="0"/>
          <w:color w:val="000000"/>
        </w:rPr>
        <w:t>References</w:t>
      </w:r>
    </w:p>
    <w:p>
      <w:pPr>
        <w:spacing w:after="0" w:before="0"/>
        <w:ind w:firstLine="288"/>
      </w:pPr>
      <w:r>
        <w:rPr>
          <w:rFonts w:ascii="Times New Roman" w:hAnsi="Times New Roman" w:cs="Times New Roman" w:eastAsia="바탕"/>
          <w:b w:val="0"/>
          <w:i w:val="0"/>
          <w:sz w:val="24"/>
        </w:rPr>
        <w:t>[1] Southworth M. The Sonic Environment of Cities. Environment and Behavior. 1969;1:49-70. doi:10.1177/001391656900100104</w:t>
      </w:r>
    </w:p>
    <w:p>
      <w:pPr>
        <w:spacing w:after="0" w:before="0"/>
        <w:ind w:firstLine="288"/>
      </w:pPr>
      <w:r>
        <w:rPr>
          <w:rFonts w:ascii="Times New Roman" w:hAnsi="Times New Roman" w:cs="Times New Roman" w:eastAsia="바탕"/>
          <w:b w:val="0"/>
          <w:i w:val="0"/>
          <w:sz w:val="24"/>
        </w:rPr>
        <w:t>[2]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[3] Gehl J. Life Between Buildings: Using Public Space. Washington (DC): Island Press; 2011.</w:t>
      </w:r>
    </w:p>
    <w:p>
      <w:pPr>
        <w:spacing w:after="0" w:before="0"/>
        <w:ind w:firstLine="288"/>
      </w:pPr>
      <w:r>
        <w:rPr>
          <w:rFonts w:ascii="Times New Roman" w:hAnsi="Times New Roman" w:cs="Times New Roman" w:eastAsia="바탕"/>
          <w:b w:val="0"/>
          <w:i w:val="0"/>
          <w:sz w:val="24"/>
        </w:rPr>
        <w:t>[4]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[5]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[6]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[7]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[8]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[9]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[10]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[11]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[12]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[13]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[14]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[15]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[16]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[17]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[18]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[19]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[20] Sterne JAC, Sutton AJ, Ioannidis JPA, Terrin N, Jones DR, Lau J, et al. Recommendations for examining and interpreting funnel plot asymmetry in meta-analyses of randomised controlled trials. BMJ. 2011;343:d4002. doi:10.1136/bmj.d4002</w:t>
      </w:r>
    </w:p>
    <w:p>
      <w:pPr>
        <w:spacing w:after="0" w:before="0"/>
        <w:ind w:firstLine="288"/>
      </w:pPr>
      <w:r>
        <w:rPr>
          <w:rFonts w:ascii="Times New Roman" w:hAnsi="Times New Roman" w:cs="Times New Roman" w:eastAsia="바탕"/>
          <w:b w:val="0"/>
          <w:i w:val="0"/>
          <w:sz w:val="24"/>
        </w:rPr>
        <w:t>[21]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[22] Culbert JH, Hobert A, Jahn N, Haupka N, Schmidt M, Donner P, et al. Reference coverage analysis of OpenAlex compared to Web of Science and Scopus. Scientometrics. 2025;130:2475-2492. doi:10.1007/s11192-025-05293-3</w:t>
      </w:r>
    </w:p>
    <w:p>
      <w:pPr>
        <w:spacing w:after="0" w:before="0"/>
        <w:ind w:firstLine="288"/>
      </w:pPr>
      <w:r>
        <w:rPr>
          <w:rFonts w:ascii="Times New Roman" w:hAnsi="Times New Roman" w:cs="Times New Roman" w:eastAsia="바탕"/>
          <w:b w:val="0"/>
          <w:i w:val="0"/>
          <w:sz w:val="24"/>
        </w:rPr>
        <w:t>[23] Stansfield C, Dehdarirad H, Thomas J, Mathew S, O'Mara‐Eves A. Analyzing the Utility of OpenAlex to Identify Studies for Systematic Reviews: Methods and a Case Study. Cochrane Evidence Synthesis and Methods. 2025;3. doi:10.1002/cesm.70038</w:t>
      </w:r>
    </w:p>
    <w:p>
      <w:pPr>
        <w:spacing w:after="0" w:before="0"/>
        <w:ind w:firstLine="288"/>
      </w:pPr>
      <w:r>
        <w:rPr>
          <w:rFonts w:ascii="Times New Roman" w:hAnsi="Times New Roman" w:cs="Times New Roman" w:eastAsia="바탕"/>
          <w:b w:val="0"/>
          <w:i w:val="0"/>
          <w:sz w:val="24"/>
        </w:rPr>
        <w:t>[24]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after="0" w:before="0"/>
        <w:ind w:firstLine="288"/>
      </w:pPr>
      <w:r>
        <w:rPr>
          <w:rFonts w:ascii="Times New Roman" w:hAnsi="Times New Roman" w:cs="Times New Roman" w:eastAsia="바탕"/>
          <w:b w:val="0"/>
          <w:i w:val="0"/>
          <w:sz w:val="24"/>
        </w:rPr>
        <w:t>[25] Deng L, Kang J, Zhao W, Jambrošić K. Cross-National Comparison of Soundscape in Urban Public Open Spaces between China and Croatia. Applied Sciences. 2020;10:960. doi:10.3390/app10030960</w:t>
      </w:r>
    </w:p>
    <w:p>
      <w:pPr>
        <w:spacing w:after="0" w:before="0"/>
        <w:ind w:firstLine="288"/>
      </w:pPr>
      <w:r>
        <w:rPr>
          <w:rFonts w:ascii="Times New Roman" w:hAnsi="Times New Roman" w:cs="Times New Roman" w:eastAsia="바탕"/>
          <w:b w:val="0"/>
          <w:i w:val="0"/>
          <w:sz w:val="24"/>
        </w:rPr>
        <w:t>[26] Nguyen TL, Puyoo-Hialle M, Nguyen TTHN. Cultural influences on urban soundscape perception: A comparison of French, Japanese, and Vietnamese participants. Applied Acoustics. 2026;254:111414. doi:10.1016/j.apacoust.2026.111414</w:t>
      </w:r>
    </w:p>
    <w:p>
      <w:pPr>
        <w:spacing w:after="0" w:before="0"/>
        <w:ind w:firstLine="288"/>
      </w:pPr>
      <w:r>
        <w:rPr>
          <w:rFonts w:ascii="Times New Roman" w:hAnsi="Times New Roman" w:cs="Times New Roman" w:eastAsia="바탕"/>
          <w:b w:val="0"/>
          <w:i w:val="0"/>
          <w:sz w:val="24"/>
        </w:rPr>
        <w:t>[27]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after="0" w:before="0"/>
        <w:ind w:firstLine="288"/>
      </w:pPr>
      <w:r>
        <w:rPr>
          <w:rFonts w:ascii="Times New Roman" w:hAnsi="Times New Roman" w:cs="Times New Roman" w:eastAsia="바탕"/>
          <w:b w:val="0"/>
          <w:i w:val="0"/>
          <w:sz w:val="24"/>
        </w:rPr>
        <w:t>[28]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[29]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[30]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[31]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[32]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[33]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[34] Guski R, Schreckenberg D, Schuemer R. WHO Environmental Noise Guidelines for the European Region: A Systematic Review on Environmental Noise and Annoyance. International Journal of Environmental Research and Public Health. 2017;14:1539. doi:10.3390/ijerph14121539</w:t>
      </w:r>
    </w:p>
    <w:p>
      <w:pPr>
        <w:spacing w:after="0" w:before="0"/>
        <w:ind w:firstLine="288"/>
      </w:pPr>
      <w:r>
        <w:rPr>
          <w:rFonts w:ascii="Times New Roman" w:hAnsi="Times New Roman" w:cs="Times New Roman" w:eastAsia="바탕"/>
          <w:b w:val="0"/>
          <w:i w:val="0"/>
          <w:sz w:val="24"/>
        </w:rPr>
        <w:t>[35] Basner M, McGuire S. WHO Environmental Noise Guidelines for the European Region: A Systematic Review on Environmental Noise and Effects on Sleep. International Journal of Environmental Research and Public Health. 2018;15:519. doi:10.3390/ijerph15030519</w:t>
      </w:r>
    </w:p>
    <w:p>
      <w:pPr>
        <w:spacing w:after="0" w:before="0"/>
        <w:ind w:firstLine="288"/>
      </w:pPr>
      <w:r>
        <w:rPr>
          <w:rFonts w:ascii="Times New Roman" w:hAnsi="Times New Roman" w:cs="Times New Roman" w:eastAsia="바탕"/>
          <w:b w:val="0"/>
          <w:i w:val="0"/>
          <w:sz w:val="24"/>
        </w:rPr>
        <w:t>[36]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[37]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[38]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[39]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[40]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[41]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[42]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[43]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search_strings_20260802_205110.md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4,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