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a bidirectional relationship</w:t>
      </w:r>
    </w:p>
    <w:p>
      <w:pPr>
        <w:spacing w:after="80" w:before="0"/>
      </w:pPr>
      <w:r>
        <w:rPr>
          <w:rFonts w:ascii="Times New Roman" w:hAnsi="Times New Roman" w:cs="Times New Roman" w:eastAsia="바탕"/>
          <w:b w:val="0"/>
          <w:i w:val="0"/>
          <w:sz w:val="24"/>
        </w:rPr>
        <w:t>Hyun In Jo¹*</w:t>
      </w:r>
    </w:p>
    <w:p>
      <w:pPr>
        <w:spacing w:after="80" w:before="0"/>
      </w:pPr>
      <w:r>
        <w:rPr>
          <w:rFonts w:ascii="Times New Roman" w:hAnsi="Times New Roman" w:cs="Times New Roman" w:eastAsia="바탕"/>
          <w:b w:val="0"/>
          <w:i w:val="0"/>
          <w:sz w:val="24"/>
        </w:rPr>
        <w:t>¹ Department of Architectural Engineering, Hanyang University, Seoul 04763, Korea</w:t>
      </w:r>
    </w:p>
    <w:p>
      <w:pPr>
        <w:spacing w:after="80" w:before="0"/>
      </w:pPr>
      <w:r>
        <w:rPr>
          <w:rFonts w:ascii="Times New Roman" w:hAnsi="Times New Roman" w:cs="Times New Roman" w:eastAsia="바탕"/>
          <w:b/>
          <w:i w:val="0"/>
          <w:sz w:val="24"/>
        </w:rPr>
        <w:t>[Corresponding author]</w:t>
      </w:r>
    </w:p>
    <w:p>
      <w:pPr>
        <w:spacing w:after="80" w:before="0"/>
      </w:pPr>
      <w:r>
        <w:rPr>
          <w:rFonts w:ascii="Times New Roman" w:hAnsi="Times New Roman" w:cs="Times New Roman" w:eastAsia="바탕"/>
          <w:b w:val="0"/>
          <w:i w:val="0"/>
          <w:sz w:val="24"/>
        </w:rPr>
        <w:t>*Send correspondence to: Hyun In Jo (best2012@hanyang.ac.kr)</w:t>
      </w:r>
    </w:p>
    <w:p>
      <w:pPr>
        <w:spacing w:after="80" w:before="0"/>
      </w:pPr>
      <w:r>
        <w:rPr>
          <w:rFonts w:ascii="Times New Roman" w:hAnsi="Times New Roman" w:cs="Times New Roman" w:eastAsia="바탕"/>
          <w:b w:val="0"/>
          <w:i w:val="0"/>
          <w:sz w:val="24"/>
        </w:rPr>
        <w:t>Department of Architectural Engineering</w:t>
      </w:r>
    </w:p>
    <w:p>
      <w:pPr>
        <w:spacing w:after="80" w:before="0"/>
      </w:pPr>
      <w:r>
        <w:rPr>
          <w:rFonts w:ascii="Times New Roman" w:hAnsi="Times New Roman" w:cs="Times New Roman" w:eastAsia="바탕"/>
          <w:b w:val="0"/>
          <w:i w:val="0"/>
          <w:sz w:val="24"/>
        </w:rPr>
        <w:t>Hanyang University</w:t>
      </w:r>
    </w:p>
    <w:p>
      <w:pPr>
        <w:spacing w:after="80" w:before="0"/>
      </w:pPr>
      <w:r>
        <w:rPr>
          <w:rFonts w:ascii="Times New Roman" w:hAnsi="Times New Roman" w:cs="Times New Roman" w:eastAsia="바탕"/>
          <w:b w:val="0"/>
          <w:i w:val="0"/>
          <w:sz w:val="24"/>
        </w:rPr>
        <w:t>222 Wangsimni-ro, Seongdong-gu</w:t>
      </w:r>
    </w:p>
    <w:p>
      <w:pPr>
        <w:spacing w:after="80" w:before="0"/>
      </w:pPr>
      <w:r>
        <w:rPr>
          <w:rFonts w:ascii="Times New Roman" w:hAnsi="Times New Roman" w:cs="Times New Roman" w:eastAsia="바탕"/>
          <w:b w:val="0"/>
          <w:i w:val="0"/>
          <w:sz w:val="24"/>
        </w:rPr>
        <w:t>Seoul 04763, Republic of Korea</w:t>
      </w:r>
    </w:p>
    <w:p>
      <w:pPr>
        <w:spacing w:after="80" w:before="0"/>
      </w:pPr>
      <w:r>
        <w:rPr>
          <w:rFonts w:ascii="Times New Roman" w:hAnsi="Times New Roman" w:cs="Times New Roman" w:eastAsia="바탕"/>
          <w:b/>
          <w:i w:val="0"/>
          <w:sz w:val="24"/>
        </w:rPr>
        <w:t>CRediT authorship contribution statement</w:t>
      </w:r>
    </w:p>
    <w:p>
      <w:pPr>
        <w:spacing w:after="80" w:before="0"/>
      </w:pPr>
      <w:r>
        <w:rPr>
          <w:rFonts w:ascii="Times New Roman" w:hAnsi="Times New Roman" w:cs="Times New Roman" w:eastAsia="바탕"/>
          <w:b w:val="0"/>
          <w:i w:val="0"/>
          <w:sz w:val="24"/>
        </w:rPr>
        <w:t>Hyun In Jo: Conceptualization, Methodology, Software, Formal analysis, Data curation, Writing, original draft, Writing, review &amp; editing, Visualization.</w:t>
      </w:r>
    </w:p>
    <w:p>
      <w:pPr>
        <w:spacing w:after="80" w:before="0"/>
      </w:pPr>
      <w:r>
        <w:rPr>
          <w:rFonts w:ascii="Times New Roman" w:hAnsi="Times New Roman" w:cs="Times New Roman" w:eastAsia="바탕"/>
          <w:b/>
          <w:i w:val="0"/>
          <w:sz w:val="24"/>
        </w:rPr>
        <w:t>Declaration of competing interest</w:t>
      </w:r>
    </w:p>
    <w:p>
      <w:pPr>
        <w:spacing w:after="80" w:before="0"/>
      </w:pPr>
      <w:r>
        <w:rPr>
          <w:rFonts w:ascii="Times New Roman" w:hAnsi="Times New Roman" w:cs="Times New Roman" w:eastAsia="바탕"/>
          <w:b w:val="0"/>
          <w:i w:val="0"/>
          <w:sz w:val="24"/>
        </w:rPr>
        <w:t>The authors declare no competing financial interests or personal relationships that could have appeared to influence the work reported in this paper.</w:t>
      </w:r>
    </w:p>
    <w:p>
      <w:pPr>
        <w:spacing w:after="80" w:before="0"/>
      </w:pPr>
      <w:r>
        <w:rPr>
          <w:rFonts w:ascii="Times New Roman" w:hAnsi="Times New Roman" w:cs="Times New Roman" w:eastAsia="바탕"/>
          <w:b/>
          <w:i w:val="0"/>
          <w:sz w:val="24"/>
        </w:rPr>
        <w:t>Funding</w:t>
      </w:r>
    </w:p>
    <w:p>
      <w:pPr>
        <w:spacing w:after="80" w:before="0"/>
      </w:pPr>
      <w:r>
        <w:rPr>
          <w:rFonts w:ascii="Times New Roman" w:hAnsi="Times New Roman" w:cs="Times New Roman" w:eastAsia="바탕"/>
          <w:b w:val="0"/>
          <w:i w:val="0"/>
          <w:sz w:val="24"/>
        </w:rPr>
        <w:t>This research received no specific grant from any funding agency in the public, commercial, or not-for-profit sectors.</w:t>
      </w:r>
    </w:p>
    <w:p>
      <w:pPr>
        <w:spacing w:after="80" w:before="0"/>
      </w:pPr>
      <w:r>
        <w:rPr>
          <w:rFonts w:ascii="Times New Roman" w:hAnsi="Times New Roman" w:cs="Times New Roman" w:eastAsia="바탕"/>
          <w:b/>
          <w:i w:val="0"/>
          <w:sz w:val="24"/>
        </w:rPr>
        <w:t>Ethics</w:t>
      </w:r>
    </w:p>
    <w:p>
      <w:pPr>
        <w:spacing w:after="80" w:before="0"/>
      </w:pPr>
      <w:r>
        <w:rPr>
          <w:rFonts w:ascii="Times New Roman" w:hAnsi="Times New Roman" w:cs="Times New Roman" w:eastAsia="바탕"/>
          <w:b w:val="0"/>
          <w:i w:val="0"/>
          <w:sz w:val="24"/>
        </w:rPr>
        <w:t>This study analysed only publicly available, aggregated and de-identified data and did not involve human participants directly; institutional review board approval was therefore not required.</w:t>
      </w:r>
    </w:p>
    <w:p>
      <w:pPr>
        <w:spacing w:after="80" w:before="0"/>
      </w:pPr>
      <w:r>
        <w:rPr>
          <w:rFonts w:ascii="Times New Roman" w:hAnsi="Times New Roman" w:cs="Times New Roman" w:eastAsia="바탕"/>
          <w:b/>
          <w:i w:val="0"/>
          <w:sz w:val="24"/>
        </w:rPr>
        <w:t>Data availability</w:t>
      </w:r>
    </w:p>
    <w:p>
      <w:pPr>
        <w:spacing w:after="80" w:before="0"/>
      </w:pPr>
      <w:r>
        <w:rPr>
          <w:rFonts w:ascii="Times New Roman" w:hAnsi="Times New Roman" w:cs="Times New Roman" w:eastAsia="바탕"/>
          <w:b w:val="0"/>
          <w:i w:val="0"/>
          <w:sz w:val="24"/>
        </w:rPr>
        <w:t>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rPr>
          <w:rFonts w:ascii="Times New Roman" w:hAnsi="Times New Roman" w:cs="Times New Roman" w:eastAsia="바탕"/>
          <w:b w:val="0"/>
          <w:i w:val="0"/>
          <w:sz w:val="24"/>
        </w:rPr>
        <w:t xml:space="preserve">도시 사운드스케이프 연구는 지난 이십여 년 동안 크게 축적됐으나, 음향 조건(acoustic conditions)과 도시 옥외공간의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 사이의 관계는 행태 도메인 전반에 걸쳐 체계적으로 종합된 적이 없다. 본 연구는 사전등록 프로토콜(osf.io/7ew8q)에 따라 체계적 문헌고찰과 메타분석을 수행했으며, 음환경에서 행태로 향하는 순방향 경로와 활동에서 음환경으로 향하는 역방향 경로를 처음부터 함께 고려했다. Web of Science, Scopus, PubMed 검색(2026년 8월 2일)에 인용 추적과 보조 색인(supplementary index)을 더해 98편의 적격 연구를 확인했다. 방법론적 질은 MMAT 2018(Mixed Methods Appraisal Tool)로 평가했고, 정량 효과는 Hartung–Knapp 보정을 적용한 REML 랜덤효과 모형으로 합성했다. 네 행태 클러스터 모두 이론적으로 기대되는 방향을 가리켰으나, 평균 추정치의 신뢰구간이 0을 배제한 것은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+0.20~+1.16)과 사운드스케이프 지각–행태 연관(</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+0.19~+0.61)뿐이었고, </w:t>
      </w:r>
      <w:r>
        <w:rPr>
          <w:rFonts w:ascii="Times New Roman" w:hAnsi="Times New Roman" w:cs="Times New Roman" w:eastAsia="바탕"/>
          <w:b/>
          <w:i w:val="0"/>
          <w:sz w:val="24"/>
        </w:rPr>
        <w:t>95% 예측구간은 네 클러스터 모두 0을 포함했다.</w:t>
      </w:r>
      <w:r>
        <w:rPr>
          <w:rFonts w:ascii="Times New Roman" w:hAnsi="Times New Roman" w:cs="Times New Roman" w:eastAsia="바탕"/>
          <w:b w:val="0"/>
          <w:i w:val="0"/>
          <w:sz w:val="24"/>
        </w:rPr>
        <w:t xml:space="preserve"> 널리 인용되는 보행속도 연관은 전부 저품질로 평가된 연구에 기반했고, 대부분 공공공간의 음환경을 조작한 것이 아니라 헤드폰으로 전달한 오디오에서 도출됐다. 방향성 레코드 187건 중 74건(40%)이 역방향이었으며, 공간이용·활동·사회적 행태에서는 두 방향이 대체로 균형을 이뤘다. 행태 측정의 세 세대(자기보고, 체계적 관찰, 센싱)는 서로를 대체하지 않고 누적됐다. 열 개의 계획 레버 가운데 계획 근거 강도(planning evidence strength)가 high에 도달한 것은 없었다. 현재 가장 방어 가능한 개입은 사회적 상호작용이 의도된 곳에서 운영 소음을 통제하는 것이며, 전반적으로 이 증거는 보편적 설계 기준이 아니라 모니터링으로 검증할 근거를 반영한 가설(evidence-informed hypotheses)을 지지한다.</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rPr>
          <w:rFonts w:ascii="Times New Roman" w:hAnsi="Times New Roman" w:cs="Times New Roman" w:eastAsia="바탕"/>
          <w:b w:val="0"/>
          <w:i w:val="0"/>
          <w:sz w:val="24"/>
        </w:rPr>
        <w:t>조경과 도시계획은 오랫동안 눈에 보이는 것을 우선해 왔다. 배치도와 투시도, 시각적 개방감과 위요감(enclosure), 식재가 설계의 관습적 언어를 이룬다. 도시 설계가 시각에 치우쳐 소리를 그만큼 다루지 않는다는 지적은 이미 반세기 전에 나왔다[1]. 그러나 공공공간을 머물 만하고 매력적이며 사회적으로 쓰일 수 있게 만드는 조건이 시각적인 것만은 아니다. 지나가는 차량, 환기 설비, 공사, 상점의 음악, 그리고 함께 온 사람의 목소리가 들리는지 여부가 모두 그 장소가 쓰이는 방식에 영향을 줄 수 있다. 소리는 시각적 차폐만으로 피하기 어렵고, 공간적·운영적 결정이 이미 내려진 뒤에야 계획의 문제로 드러나는 경우가 많다.</w:t>
      </w:r>
    </w:p>
    <w:p>
      <w:pPr>
        <w:spacing w:after="0" w:before="0"/>
        <w:ind w:firstLine="288"/>
      </w:pPr>
      <w:r>
        <w:rPr>
          <w:rFonts w:ascii="Times New Roman" w:hAnsi="Times New Roman" w:cs="Times New Roman" w:eastAsia="바탕"/>
          <w:b w:val="0"/>
          <w:i w:val="0"/>
          <w:sz w:val="24"/>
        </w:rPr>
        <w:t>공공공간의 질을 사람의 행태로 판단해야 한다는 주장 자체는 새롭지 않다. Whyte [2]는 소규모 도시 광장에서 사람들이 어디에 앉고 어디서 멈추는지를 기록했고, Gehl [3]은 옥외 활동을 필수적 활동, 선택적 활동, 사회적 활동으로 구분하면서 질 높은 환경이 선택적 활동과 사회적 활동을 더 많이 지지한다고 논했다. 이 전통에서 관찰된 행태는 공간 성과(spatial performance)를 가늠하는 실용적 지표다. 그러나 이 전통이 다룬 환경 변수는 주로 시각적이고 물리적인 것이었으며, 소리가 행태적 계획 변수로 통합된 경우는 드물었다.</w:t>
      </w:r>
    </w:p>
    <w:p>
      <w:pPr>
        <w:spacing w:after="0" w:before="0"/>
        <w:ind w:firstLine="288"/>
      </w:pPr>
      <w:r>
        <w:rPr>
          <w:rFonts w:ascii="Times New Roman" w:hAnsi="Times New Roman" w:cs="Times New Roman" w:eastAsia="바탕"/>
          <w:b w:val="0"/>
          <w:i w:val="0"/>
          <w:sz w:val="24"/>
        </w:rPr>
        <w:t>계획 실무에서 소리가 빠져 있었던 것은 아니지만, 대체로 더 좁은 규제의 틀 안에서 다뤄졌다[4]. 환경소음 규제는 흔히 등가소음도(LAeq) 같은 노출 지표와 용도지역별 기준치를 중심으로 짜여 있으며, 주된 목적은 건강 피해와 짜증도(annoyance)를 통제하는 것이다. 그 목적을 위한 근거는 충분하다. 교통소음 노출은 짜증도와 정량적으로 연관되며[5], 환경소음에는 수면 방해와 심혈관 위험을 포함한 비청각적 영향이 확립돼 있다[6]. 그러나 이 틀은 다른 설계 질문, 곧 공공공간이 이용과 체류, 사회적 상호작용을 지지하게 하려면 소리를 어떻게 구성해야 하는가에는 답하지 못한다. 노출 기준을 충족하는 것과 공공공간이 성공적으로 쓰이는 것은 같은 결과가 아니다.</w:t>
      </w:r>
    </w:p>
    <w:p>
      <w:pPr>
        <w:spacing w:after="0" w:before="0"/>
        <w:ind w:firstLine="288"/>
      </w:pPr>
      <w:r>
        <w:rPr>
          <w:rFonts w:ascii="Times New Roman" w:hAnsi="Times New Roman" w:cs="Times New Roman" w:eastAsia="바탕"/>
          <w:b/>
          <w:i w:val="0"/>
          <w:sz w:val="24"/>
        </w:rPr>
        <w:t>사운드스케이프(soundscape)</w:t>
      </w:r>
      <w:r>
        <w:rPr>
          <w:rFonts w:ascii="Times New Roman" w:hAnsi="Times New Roman" w:cs="Times New Roman" w:eastAsia="바탕"/>
          <w:b w:val="0"/>
          <w:i w:val="0"/>
          <w:sz w:val="24"/>
        </w:rPr>
        <w:t xml:space="preserve"> 개념은 소리를 단순히 줄여야 할 물리량이 아니라 맥락 속에서 지각되고 경험되며 해석되는 음환경으로 다룸으로써 이 간극에 답한다. Schafer [7]가 이 넓은 관점을 제시했고, ISO 12913-1 [8]은 이후 사운드스케이프를 "맥락 속에서 한 사람 또는 여러 사람이 지각하거나 경험하거나 이해하는 음환경"으로 표준화했다. 최근의 개념·실증 연구는 사운드스케이프의 결과가 공간적·물리적 맥락과 사회·문화적 맥락에 의해 형성되며, 사람과 장소와 소리 사이의 동적 관계의 일부로 이해될 수 있다는 점을 더 강조한다[9,10].</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이 틀이 자리 잡은 뒤 실증 문헌의 상당 부분은 </w:t>
      </w:r>
      <w:r>
        <w:rPr>
          <w:rFonts w:ascii="Times New Roman" w:hAnsi="Times New Roman" w:cs="Times New Roman" w:eastAsia="바탕"/>
          <w:b/>
          <w:i w:val="0"/>
          <w:sz w:val="24"/>
        </w:rPr>
        <w:t>지각(perception)</w:t>
      </w:r>
      <w:r>
        <w:rPr>
          <w:rFonts w:ascii="Times New Roman" w:hAnsi="Times New Roman" w:cs="Times New Roman" w:eastAsia="바탕"/>
          <w:b w:val="0"/>
          <w:i w:val="0"/>
          <w:sz w:val="24"/>
        </w:rPr>
        <w:t>에 집중됐다. Axelsson 등 [11]은 사운드스케이프 평가가 쾌적성(pleasantness)과 사건성(eventfulness)의 차원으로 표현될 수 있음을 보였고, Aletta 등 [12]은 이 평가의 예측 요인을 정리했으며, Kang 등 [13]은 건조환경 사운드스케이프 연구의 의제를 제시했다. 최근에는 경관 요소와 사운드스케이프 지각의 연관이 메타분석으로 정량 종합됐다[14].</w:t>
      </w:r>
    </w:p>
    <w:p>
      <w:pPr>
        <w:spacing w:after="0" w:before="0"/>
        <w:ind w:firstLine="288"/>
      </w:pPr>
      <w:r>
        <w:rPr>
          <w:rFonts w:ascii="Times New Roman" w:hAnsi="Times New Roman" w:cs="Times New Roman" w:eastAsia="바탕"/>
          <w:b w:val="0"/>
          <w:i w:val="0"/>
          <w:sz w:val="24"/>
        </w:rPr>
        <w:t xml:space="preserve">그러나 이렇게 축적된 증거에는 결과변수의 뚜렷한 편중이 있다. </w:t>
      </w:r>
      <w:r>
        <w:rPr>
          <w:rFonts w:ascii="Times New Roman" w:hAnsi="Times New Roman" w:cs="Times New Roman" w:eastAsia="바탕"/>
          <w:b/>
          <w:i w:val="0"/>
          <w:sz w:val="24"/>
        </w:rPr>
        <w:t>종속변수가 대부분 평정(rating)이다.</w:t>
      </w:r>
      <w:r>
        <w:rPr>
          <w:rFonts w:ascii="Times New Roman" w:hAnsi="Times New Roman" w:cs="Times New Roman" w:eastAsia="바탕"/>
          <w:b w:val="0"/>
          <w:i w:val="0"/>
          <w:sz w:val="24"/>
        </w:rPr>
        <w:t xml:space="preserve"> 쾌적성, 적합성, 회복감(restoration), 짜증도, 선호도처럼 설문으로 기록된 지각 판단이 중심을 이룬다.</w:t>
      </w:r>
    </w:p>
    <w:p>
      <w:pPr>
        <w:spacing w:after="0" w:before="0"/>
        <w:ind w:firstLine="288"/>
      </w:pPr>
      <w:r>
        <w:rPr>
          <w:rFonts w:ascii="Times New Roman" w:hAnsi="Times New Roman" w:cs="Times New Roman" w:eastAsia="바탕"/>
          <w:b w:val="0"/>
          <w:i w:val="0"/>
          <w:sz w:val="24"/>
        </w:rPr>
        <w:t xml:space="preserve">계획 의사결정은 그 평정만으로 내려지는 경우가 드물다. 광장을 조성할지, 벤치를 어디에 둘지, 환기 설비를 어느 면에 둘지, 야외 공연을 언제 허용할지는 부분적으로 </w:t>
      </w:r>
      <w:r>
        <w:rPr>
          <w:rFonts w:ascii="Times New Roman" w:hAnsi="Times New Roman" w:cs="Times New Roman" w:eastAsia="바탕"/>
          <w:b/>
          <w:i w:val="0"/>
          <w:sz w:val="24"/>
        </w:rPr>
        <w:t>사람들이 실제로 무엇을 하는가</w:t>
      </w:r>
      <w:r>
        <w:rPr>
          <w:rFonts w:ascii="Times New Roman" w:hAnsi="Times New Roman" w:cs="Times New Roman" w:eastAsia="바탕"/>
          <w:b w:val="0"/>
          <w:i w:val="0"/>
          <w:sz w:val="24"/>
        </w:rPr>
        <w:t>에 달려 있다. 사람들이 그 공간을 쓰는가. 머무는가, 지나가는가. 서로 대화하는가. 지각적 결과와 행태적 결과는 관련돼 있을 수 있지만, 그 관계의 강도와 방향은 가정할 것이 아니라 측정해야 한다.</w:t>
      </w:r>
    </w:p>
    <w:p>
      <w:pPr>
        <w:spacing w:after="0" w:before="0"/>
        <w:ind w:firstLine="288"/>
      </w:pPr>
      <w:r>
        <w:rPr>
          <w:rFonts w:ascii="Times New Roman" w:hAnsi="Times New Roman" w:cs="Times New Roman" w:eastAsia="바탕"/>
          <w:b w:val="0"/>
          <w:i w:val="0"/>
          <w:sz w:val="24"/>
        </w:rPr>
        <w:t>이것이 본 리뷰가 다루는 공백이다. 사운드스케이프 지각을 다룬 종합은 이미 여럿 있지만, 우리는 이동, 체류, 공간이용, 활동, 사회적 상호작용에 걸친 관찰 가능한 행태를 포괄하면서 관계의 두 방향을 모두 적격 증거로 다룬 체계적 종합을 찾지 못했다. 지각적 결과와 행태적 결과는 서로 바꿔 쓸 수 없다. 나쁘게 평가된 소리가 반드시 사람들을 떠나게 하는 것은 아니며, 크게 싫지 않은 사운드스케이프도 대화를 방해할 수 있다. 따라서 평가와 행태의 연결은 경험적으로 검증해야 할 질문이다.</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이 종합이 시의적절한 이유는 적격 문헌이 빠르게 늘었기 때문이다. </w:t>
      </w:r>
      <w:r>
        <w:rPr>
          <w:rFonts w:ascii="Times New Roman" w:hAnsi="Times New Roman" w:cs="Times New Roman" w:eastAsia="바탕"/>
          <w:b/>
          <w:i w:val="0"/>
          <w:sz w:val="24"/>
        </w:rPr>
        <w:t>포함 연구 98편 중 70편(71%)이 2020년 이후에 게재됐다.</w:t>
      </w:r>
      <w:r>
        <w:rPr>
          <w:rFonts w:ascii="Times New Roman" w:hAnsi="Times New Roman" w:cs="Times New Roman" w:eastAsia="바탕"/>
          <w:b w:val="0"/>
          <w:i w:val="0"/>
          <w:sz w:val="24"/>
        </w:rPr>
        <w:t xml:space="preserve"> 최근의 증가는 일종의 측정 문턱(measurement threshold)을 반영한다. 관찰 가능한 행태를 대규모로 기록하기가 쉬워진 것이다.</w:t>
      </w:r>
    </w:p>
    <w:p>
      <w:pPr>
        <w:spacing w:after="0" w:before="0"/>
        <w:ind w:firstLine="288"/>
      </w:pPr>
      <w:r>
        <w:rPr>
          <w:rFonts w:ascii="Times New Roman" w:hAnsi="Times New Roman" w:cs="Times New Roman" w:eastAsia="바탕"/>
          <w:b w:val="0"/>
          <w:i w:val="0"/>
          <w:sz w:val="24"/>
        </w:rPr>
        <w:t>과거에는 옥외공간의 행태를 기록하려면 조사원이 사람들을 현장에서 직접 코딩하거나 참가자를 모집해 설문을 해야 했다. 표본은 대개 작았고 관찰 기간은 짧았다. 지금은 GPS 궤적, 스마트폰 위치 자료, 크라우드소싱 활동 기록, 영상 분석, 웨어러블 센싱이 훨씬 큰 규모의 측정을 가능하게 한다. 본 코퍼스에도 자전거 통행 81,403건과 가로 구간 13,322개를 다룬 연구가 포함돼 있다.</w:t>
      </w:r>
    </w:p>
    <w:p>
      <w:pPr>
        <w:spacing w:after="0" w:before="0"/>
        <w:ind w:firstLine="288"/>
      </w:pPr>
      <w:r>
        <w:rPr>
          <w:rFonts w:ascii="Times New Roman" w:hAnsi="Times New Roman" w:cs="Times New Roman" w:eastAsia="바탕"/>
          <w:b w:val="0"/>
          <w:i w:val="0"/>
          <w:sz w:val="24"/>
        </w:rPr>
        <w:t>음향 측정도 저가 센서망, 이미지 기반 추정, 모바일 사운드워크(soundwalk) 같은 분산형 방법이 확산되면서 한결 쉬워졌다. 행태 측정과 음향 측정의 비용이 함께 낮아지면서 같은 장소, 같은 시간대에 사람과 소리를 함께 관찰하는 일이 점점 현실화됐다.</w:t>
      </w:r>
    </w:p>
    <w:p>
      <w:pPr>
        <w:spacing w:after="0" w:before="0"/>
        <w:ind w:firstLine="288"/>
      </w:pPr>
      <w:r>
        <w:rPr>
          <w:rFonts w:ascii="Times New Roman" w:hAnsi="Times New Roman" w:cs="Times New Roman" w:eastAsia="바탕"/>
          <w:b w:val="0"/>
          <w:i w:val="0"/>
          <w:sz w:val="24"/>
        </w:rPr>
        <w:t xml:space="preserve">이 확장은 방법론적 위험도 만든다. 새 연구의 상당수는 관찰 연구이거나 대규모 자료에 기반하며, 관찰은 인과보다 연관을 더 쉽게 보여 준다. 뒤에서 보이듯 </w:t>
      </w:r>
      <w:r>
        <w:rPr>
          <w:rFonts w:ascii="Times New Roman" w:hAnsi="Times New Roman" w:cs="Times New Roman" w:eastAsia="바탕"/>
          <w:b/>
          <w:i w:val="0"/>
          <w:sz w:val="24"/>
        </w:rPr>
        <w:t>코퍼스에서 현장실험이나 자연실험(field or natural experiment) 설계를 쓴 연구는 19%뿐이다.</w:t>
      </w:r>
      <w:r>
        <w:rPr>
          <w:rFonts w:ascii="Times New Roman" w:hAnsi="Times New Roman" w:cs="Times New Roman" w:eastAsia="바탕"/>
          <w:b w:val="0"/>
          <w:i w:val="0"/>
          <w:sz w:val="24"/>
        </w:rPr>
        <w:t xml:space="preserve"> 자료는 많아졌지만 음환경을 조작(manipulation)한 연구는 여전히 드물다.</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rPr>
          <w:rFonts w:ascii="Times New Roman" w:hAnsi="Times New Roman" w:cs="Times New Roman" w:eastAsia="바탕"/>
          <w:b w:val="0"/>
          <w:i w:val="0"/>
          <w:sz w:val="24"/>
        </w:rPr>
        <w:t xml:space="preserve">선행 문헌을 검토하는 단계에서 두 번째 경로가 보였고, 이에 따라 본 리뷰는 역방향 연구도 등록 시점부터 적격으로 규정했다(§2.2). 지배적인 연구 프레임은 소리를 </w:t>
      </w:r>
      <w:r>
        <w:rPr>
          <w:rFonts w:ascii="Times New Roman" w:hAnsi="Times New Roman" w:cs="Times New Roman" w:eastAsia="바탕"/>
          <w:b/>
          <w:i w:val="0"/>
          <w:sz w:val="24"/>
        </w:rPr>
        <w:t>노출(exposure)</w:t>
      </w:r>
      <w:r>
        <w:rPr>
          <w:rFonts w:ascii="Times New Roman" w:hAnsi="Times New Roman" w:cs="Times New Roman" w:eastAsia="바탕"/>
          <w:b w:val="0"/>
          <w:i w:val="0"/>
          <w:sz w:val="24"/>
        </w:rPr>
        <w:t xml:space="preserve">로, 행태를 </w:t>
      </w:r>
      <w:r>
        <w:rPr>
          <w:rFonts w:ascii="Times New Roman" w:hAnsi="Times New Roman" w:cs="Times New Roman" w:eastAsia="바탕"/>
          <w:b/>
          <w:i w:val="0"/>
          <w:sz w:val="24"/>
        </w:rPr>
        <w:t>결과(outcome)</w:t>
      </w:r>
      <w:r>
        <w:rPr>
          <w:rFonts w:ascii="Times New Roman" w:hAnsi="Times New Roman" w:cs="Times New Roman" w:eastAsia="바탕"/>
          <w:b w:val="0"/>
          <w:i w:val="0"/>
          <w:sz w:val="24"/>
        </w:rPr>
        <w:t xml:space="preserve">로 다룬다. 그런데 코퍼스에서 추출한 방향성 레코드 187건 가운데 </w:t>
      </w:r>
      <w:r>
        <w:rPr>
          <w:rFonts w:ascii="Times New Roman" w:hAnsi="Times New Roman" w:cs="Times New Roman" w:eastAsia="바탕"/>
          <w:b/>
          <w:i w:val="0"/>
          <w:sz w:val="24"/>
        </w:rPr>
        <w:t>74건(40%)은 실제로 반대 방향이었다.</w:t>
      </w:r>
    </w:p>
    <w:p>
      <w:pPr>
        <w:spacing w:after="0" w:before="0"/>
        <w:ind w:firstLine="288"/>
      </w:pPr>
      <w:r>
        <w:rPr>
          <w:rFonts w:ascii="Times New Roman" w:hAnsi="Times New Roman" w:cs="Times New Roman" w:eastAsia="바탕"/>
          <w:b w:val="0"/>
          <w:i w:val="0"/>
          <w:sz w:val="24"/>
        </w:rPr>
        <w:t>역방향 연구는 군중 밀도가 높아지면 음압이 달라지는지, 무용 활동이 인접 주거의 음환경을 바꾸는지, 동반자가 같은 소리를 알아차리는 방식을 바꾸는지, 시장 배치로 발생 소음을 줄일 수 있는지 같은 질문을 던진다. 여기서는 활동과 점유(occupancy)가 선행 요인으로, 음환경 또는 사운드스케이프가 결과로 다뤄진다.</w:t>
      </w:r>
    </w:p>
    <w:p>
      <w:pPr>
        <w:spacing w:after="0" w:before="0"/>
        <w:ind w:firstLine="288"/>
      </w:pPr>
      <w:r>
        <w:rPr>
          <w:rFonts w:ascii="Times New Roman" w:hAnsi="Times New Roman" w:cs="Times New Roman" w:eastAsia="바탕"/>
          <w:b w:val="0"/>
          <w:i w:val="0"/>
          <w:sz w:val="24"/>
        </w:rPr>
        <w:t xml:space="preserve">역방향 경로는 고르게 분포하지 않는다. 실험적으로 조작하기가 비교적 쉬운 이동과 체류는 순방향 설계가 지배한다. 반면 </w:t>
      </w:r>
      <w:r>
        <w:rPr>
          <w:rFonts w:ascii="Times New Roman" w:hAnsi="Times New Roman" w:cs="Times New Roman" w:eastAsia="바탕"/>
          <w:b/>
          <w:i w:val="0"/>
          <w:sz w:val="24"/>
        </w:rPr>
        <w:t>공간이용, 활동, 사회적 행태에서는 순방향과 역방향 증거가 대체로 균형을 이룬다.</w:t>
      </w:r>
      <w:r>
        <w:rPr>
          <w:rFonts w:ascii="Times New Roman" w:hAnsi="Times New Roman" w:cs="Times New Roman" w:eastAsia="바탕"/>
          <w:b w:val="0"/>
          <w:i w:val="0"/>
          <w:sz w:val="24"/>
        </w:rPr>
        <w:t xml:space="preserve"> 이 패턴은 집합적이고 지속적인 형태의 활동이 이미 음환경의 생성 요인으로 연구되고 있음을 시사한다. 다만 이 관점은 분야의 관습적 프레이밍에서 덜 부각돼 왔다.</w:t>
      </w:r>
    </w:p>
    <w:p>
      <w:pPr>
        <w:spacing w:after="0" w:before="0"/>
        <w:ind w:firstLine="288"/>
      </w:pPr>
      <w:r>
        <w:rPr>
          <w:rFonts w:ascii="Times New Roman" w:hAnsi="Times New Roman" w:cs="Times New Roman" w:eastAsia="바탕"/>
          <w:b w:val="0"/>
          <w:i w:val="0"/>
          <w:sz w:val="24"/>
        </w:rPr>
        <w:t xml:space="preserve">이것이 계획에 중요한 이유는 설계자와 운영자가 통제하는 것이 소음원만이 아니기 때문이다. 활동을 어디에 배치하는지, 사람들이 공간을 얼마나 밀도 있게 점유하는지, 벤치를 어디에 모으는지, 놀이 공간을 어디에 두는지, 야외 공연을 언제 허용하는지가 모두 결과적으로 형성되는 음환경에 기여한다. 따라서 소리를 노출로만 다루는 틀은 계획과 관련된 증거의 상당 부분을 배제하게 된다. 본 리뷰에서 양방향성은 두 방향의 연구가 함께 존재하는 증거의 구조, 곧 </w:t>
      </w:r>
      <w:r>
        <w:rPr>
          <w:rFonts w:ascii="Times New Roman" w:hAnsi="Times New Roman" w:cs="Times New Roman" w:eastAsia="바탕"/>
          <w:b/>
          <w:i w:val="0"/>
          <w:sz w:val="24"/>
        </w:rPr>
        <w:t>양방향 증거 구조(bidirectional evidence structure)</w:t>
      </w:r>
      <w:r>
        <w:rPr>
          <w:rFonts w:ascii="Times New Roman" w:hAnsi="Times New Roman" w:cs="Times New Roman" w:eastAsia="바탕"/>
          <w:b w:val="0"/>
          <w:i w:val="0"/>
          <w:sz w:val="24"/>
        </w:rPr>
        <w:t>를 뜻하며, 닫힌 인과 피드백 고리(closed causal feedback loop)가 입증됐다는 뜻이 아니다.</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rPr>
          <w:rFonts w:ascii="Times New Roman" w:hAnsi="Times New Roman" w:cs="Times New Roman" w:eastAsia="바탕"/>
          <w:b w:val="0"/>
          <w:i w:val="0"/>
          <w:sz w:val="24"/>
        </w:rPr>
        <w:t>인접한 종합 몇 편이 관련되지만, 본 리뷰의 범위를 온전히 다룬 것은 없다.</w:t>
      </w:r>
    </w:p>
    <w:p>
      <w:pPr>
        <w:spacing w:after="0" w:before="0"/>
        <w:ind w:firstLine="288"/>
      </w:pPr>
      <w:r>
        <w:rPr>
          <w:rFonts w:ascii="Times New Roman" w:hAnsi="Times New Roman" w:cs="Times New Roman" w:eastAsia="바탕"/>
          <w:b w:val="0"/>
          <w:i w:val="0"/>
          <w:sz w:val="24"/>
        </w:rPr>
        <w:t>가장 가까운 것은 Wang 등 [15]으로, 도시 사운드스케이프와 신체활동에 관한 체계적 문헌고찰이다. 소리와 행태에 대한 관심을 공유하지만 행태 결과가 신체활동으로 한정돼 있어 이동, 체류, 공간이용, 사회적 상호작용은 그 범위 밖이다.</w:t>
      </w:r>
    </w:p>
    <w:p>
      <w:pPr>
        <w:spacing w:after="0" w:before="0"/>
        <w:ind w:firstLine="288"/>
      </w:pPr>
      <w:r>
        <w:rPr>
          <w:rFonts w:ascii="Times New Roman" w:hAnsi="Times New Roman" w:cs="Times New Roman" w:eastAsia="바탕"/>
          <w:b w:val="0"/>
          <w:i w:val="0"/>
          <w:sz w:val="24"/>
        </w:rPr>
        <w:t xml:space="preserve">Zhang 등 [14]은 경관 요소와 사운드스케이프 지각의 연관을 종합해 본 리뷰의 바로 앞 고리를 다뤘다. 본 리뷰는 그다음 고리, 곧 음향 조건과 사운드스케이프 평가에서 관찰 가능한 행태로 가는 연결을 다룬다. 관련 개념 연구는 활동 적합성(activity appropriateness)과 사운드스케이프 어포던스(soundscape affordance)를 강조하며 소리를 활동 중심으로 계획에 통합하는 틀을 제안해 왔다[4,16]. 본 코퍼스에도 포함된 한 도시 사운드 개입 연구는 이용자가 직접 음악을 틀 수 있게 한 설치물이 체류와 상호작용을 늘리면서도 지각된 평온함과 적합성은 떨어뜨리지 않았다고 보고해, 활동과 사운드스케이프가 서로 얽혀 있음을 보여 주었다[17]. 본 리뷰의 기여는 이 흐름들을 체계적인 행태 증거 기반 안에 한데 모으고 </w:t>
      </w:r>
      <w:r>
        <w:rPr>
          <w:rFonts w:ascii="Times New Roman" w:hAnsi="Times New Roman" w:cs="Times New Roman" w:eastAsia="바탕"/>
          <w:b/>
          <w:i w:val="0"/>
          <w:sz w:val="24"/>
        </w:rPr>
        <w:t>양방향 증거 구조</w:t>
      </w:r>
      <w:r>
        <w:rPr>
          <w:rFonts w:ascii="Times New Roman" w:hAnsi="Times New Roman" w:cs="Times New Roman" w:eastAsia="바탕"/>
          <w:b w:val="0"/>
          <w:i w:val="0"/>
          <w:sz w:val="24"/>
        </w:rPr>
        <w:t>를 정량화하는 데 있다.</w:t>
      </w:r>
    </w:p>
    <w:p>
      <w:pPr>
        <w:spacing w:after="0" w:before="0"/>
        <w:ind w:firstLine="288"/>
      </w:pPr>
      <w:r>
        <w:rPr>
          <w:rFonts w:ascii="Times New Roman" w:hAnsi="Times New Roman" w:cs="Times New Roman" w:eastAsia="바탕"/>
          <w:b w:val="0"/>
          <w:i w:val="0"/>
          <w:sz w:val="24"/>
        </w:rPr>
        <w:t>자연음 연구도 또 하나의 인접 증거 기반이다. Buxton 등 [18]은 자연음의 건강 편익을 종합했지만, 결과는 도시 옥외공간의 관찰 가능한 행태가 아니라 스트레스, 정동(affect), 관련 건강 지표에 맞춰져 있다. 이런 결과는 의미 있는 맥락이지만 그 자체로 행태적 효과를 입증하지는 못한다.</w:t>
      </w:r>
    </w:p>
    <w:p>
      <w:pPr>
        <w:spacing w:after="0" w:before="0"/>
        <w:ind w:firstLine="288"/>
      </w:pPr>
      <w:r>
        <w:rPr>
          <w:rFonts w:ascii="Times New Roman" w:hAnsi="Times New Roman" w:cs="Times New Roman" w:eastAsia="바탕"/>
          <w:b w:val="0"/>
          <w:i w:val="0"/>
          <w:sz w:val="24"/>
        </w:rPr>
        <w:t xml:space="preserve">본 리뷰의 또 다른 기여는 방법론적이다. 우리는 </w:t>
      </w:r>
      <w:r>
        <w:rPr>
          <w:rFonts w:ascii="Times New Roman" w:hAnsi="Times New Roman" w:cs="Times New Roman" w:eastAsia="바탕"/>
          <w:b/>
          <w:i w:val="0"/>
          <w:sz w:val="24"/>
        </w:rPr>
        <w:t>행태 측정을 자기보고, 체계적 관찰, 센싱·궤적 자료의 세 세대로 분류</w:t>
      </w:r>
      <w:r>
        <w:rPr>
          <w:rFonts w:ascii="Times New Roman" w:hAnsi="Times New Roman" w:cs="Times New Roman" w:eastAsia="바탕"/>
          <w:b w:val="0"/>
          <w:i w:val="0"/>
          <w:sz w:val="24"/>
        </w:rPr>
        <w:t>하고, 새 방법이 옛 방법을 대체하는지 아니면 그 옆에 누적되는지 살핀다. 이 구분이 중요한 이유는 자기보고된 의도나 지각을 관찰된 행태와 자동으로 같은 것으로 해석해서는 안 되기 때문이다. 이 요인은 지각–행태 증거 기반의 큰 이질성에도 기여하고 있을 수 있다.</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rPr>
          <w:rFonts w:ascii="Times New Roman" w:hAnsi="Times New Roman" w:cs="Times New Roman" w:eastAsia="바탕"/>
          <w:b w:val="0"/>
          <w:i w:val="0"/>
          <w:sz w:val="24"/>
        </w:rPr>
        <w:t>이상의 배경에서 네 개의 연구 질문을 설정했다.</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도시 옥외공간에서 음환경·사운드스케이프와 관찰 가능한 행태의 연관은 어느 크기와 방향을 가지며, 행태 도메인에 따라 어떻게 달라지는가?</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증거 가운데 행태·활동에서 음환경 또는 사운드스케이프로 향하는 역방향의 비중은 얼마이며, 어느 행태 도메인에서 그러한가?</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행태 측정은 시간에 따라 어떻게 변해 왔으며, 새로운 센싱 접근은 이전 방법을 대체하는가 아니면 그 옆에 누적되는가?</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이 증거로부터 합리적으로 도출할 수 있는 계획 행동은 무엇이며, 각 행동을 뒷받침하는 계획 근거는 얼마나 강한가?</w:t>
      </w:r>
    </w:p>
    <w:p>
      <w:pPr>
        <w:spacing w:after="0" w:before="0"/>
        <w:ind w:firstLine="288"/>
      </w:pPr>
      <w:r>
        <w:rPr>
          <w:rFonts w:ascii="Times New Roman" w:hAnsi="Times New Roman" w:cs="Times New Roman" w:eastAsia="바탕"/>
          <w:b w:val="0"/>
          <w:i w:val="0"/>
          <w:sz w:val="24"/>
        </w:rPr>
        <w:t>앞의 세 질문은 증거 기반을 기술하고, 네 번째 질문은 그 증거를 계획의 언어로 옮긴다. 따라서 우리는 경험적 효과 추정치와 계획 권고를 구분하며, 통계적 유의성을 처방의 확실성과 같은 것으로 다루지 않는다.</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보고는 PRISMA 2020 성명[19]을 따랐다.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예컨대 "이 공원을 다시 방문하겠습니까" 같은 문항만 있는 연구는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세 경로의 전체 흐름은 Fig. 1에 있다.</w:t>
      </w:r>
    </w:p>
    <w:p>
      <w:pPr>
        <w:spacing w:line="240" w:lineRule="auto" w:before="200" w:after="80"/>
        <w:jc w:val="center"/>
      </w:pPr>
      <w:r>
        <w:drawing>
          <wp:inline xmlns:a="http://schemas.openxmlformats.org/drawingml/2006/main" xmlns:pic="http://schemas.openxmlformats.org/drawingml/2006/picture">
            <wp:extent cx="5532120" cy="708111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532120" cy="708111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사전분류(pre-classification)에 인간 검증을 결합했다. 이 단계에서 한 가지 결정이 결과에 크게 영향을 줬다.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평가했다[20].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바꿨다[21].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올렸다[22].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준다[23]. 연구 간 편차의 크기는 τ²로, 전체 변동 중 연구 간 편차가 차지하는 비율, 곧 이질성(heterogeneity)은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예측구간(prediction interval)</w:t>
      </w:r>
      <w:r>
        <w:rPr>
          <w:rFonts w:ascii="Times New Roman" w:hAnsi="Times New Roman" w:cs="Times New Roman" w:eastAsia="바탕"/>
          <w:b w:val="0"/>
          <w:i w:val="0"/>
          <w:sz w:val="24"/>
        </w:rPr>
        <w:t>을 보고한다[24].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"이 개입을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그림(funnel plot)과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이 문턱은 소수의 연구에서는 비대칭 검정의 검정력이 낮아 권장하지 않는 통상 지침을 따른 것이다[25]. 따라서 어느 클러스터에서도 검정을 수행하지 않았다. 소규모 연구 효과(small-study effects)는 </w:t>
      </w:r>
      <w:r>
        <w:rPr>
          <w:rFonts w:ascii="Times New Roman" w:hAnsi="Times New Roman" w:cs="Times New Roman" w:eastAsia="바탕"/>
          <w:b/>
          <w:i w:val="0"/>
          <w:sz w:val="24"/>
        </w:rPr>
        <w:t>탐지할 수단이 없으므로 배제할 수도 없다.</w:t>
      </w:r>
    </w:p>
    <w:p>
      <w:pPr>
        <w:spacing w:after="0" w:before="0"/>
        <w:ind w:firstLine="288"/>
      </w:pPr>
      <w:r>
        <w:rPr>
          <w:rFonts w:ascii="Times New Roman" w:hAnsi="Times New Roman" w:cs="Times New Roman" w:eastAsia="바탕"/>
          <w:b/>
          <w:i w:val="0"/>
          <w:sz w:val="24"/>
        </w:rPr>
        <w:t>하위그룹 분석(subgroup analysis)은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분석(sensitivity analysis)을 수행했다. 한 편씩 빼 보는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−0.773(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.145)으로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 [26]의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원고를 쓰지 않은 </w:t>
      </w:r>
      <w:r>
        <w:rPr>
          <w:rFonts w:ascii="Times New Roman" w:hAnsi="Times New Roman" w:cs="Times New Roman" w:eastAsia="바탕"/>
          <w:b/>
          <w:i w:val="0"/>
          <w:sz w:val="24"/>
        </w:rPr>
        <w:t>외부 검증자에게 메타분석 구현을 반박 임무로 넘긴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−0.474 vs −0.773)</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데이터베이스 산출의 19%에 해당한다.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OpenAlex의 색인이 Web of Science·Scopus보다 훨씬 크기 때문이다[27]. 체계적 문헌고찰에서 OpenAlex를 검색원으로 쓰면 관행적 검색원보다 훨씬 많은 레코드가 나오고 그만큼 스크리닝 부담이 커진다는 것도 이미 보고돼 있다[28]. 색인 범위가 넓다는 것은 관련 문헌을 더 많이 담는다는 뜻이기도 하지만, 걸러야 할 것도 그만큼 많이 담는다는 뜻이다. 세 데이터베이스 밖에서 2편이 추가됐다는 사실 자체는 </w:t>
      </w:r>
      <w:r>
        <w:rPr>
          <w:rFonts w:ascii="Times New Roman" w:hAnsi="Times New Roman" w:cs="Times New Roman" w:eastAsia="바탕"/>
          <w:b/>
          <w:i w:val="0"/>
          <w:sz w:val="24"/>
        </w:rPr>
        <w:t>데이터베이스 검색만으로 코퍼스가 닫히지 않았음</w:t>
      </w:r>
      <w:r>
        <w:rPr>
          <w:rFonts w:ascii="Times New Roman" w:hAnsi="Times New Roman" w:cs="Times New Roman" w:eastAsia="바탕"/>
          <w:b w:val="0"/>
          <w:i w:val="0"/>
          <w:sz w:val="24"/>
        </w:rPr>
        <w:t>을 보여 준다.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여부가 최종 포함과 강하게 연관됐다.</w:t>
      </w:r>
      <w:r>
        <w:rPr>
          <w:rFonts w:ascii="Times New Roman" w:hAnsi="Times New Roman" w:cs="Times New Roman" w:eastAsia="바탕"/>
          <w:b w:val="0"/>
          <w:i w:val="0"/>
          <w:sz w:val="24"/>
        </w:rPr>
        <w:t xml:space="preserve"> 제목만 보는 1차 선별이 제목과 초록을 함께 보는 선별보다 민감도가 낮다는 것은 방법론 연구에서도 보고된 바 있다[29]. 다만 초록을 확보한 레코드와 그러지 못한 레코드는 무작위로 나뉜 집단이 아니고 후자의 표본도 17건에 지나지 않으므로, 미확보로 남은 제목-판단 레코드 22건이 코퍼스에 미쳤을 영향은 배제할 수 없다.</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교차문화 연구는 같은 유형의 도시 옥외공간이라도 국가에 따라 사운드스케이프 평가가 달라진다고 보고해 왔다[30,31]. 이런 비교는 지각 속성(perceptual attributes)의 번역과 문화 간 적응(cross-cultural adaptation) 절차에 따라 결과가 달라질 수 있어 그 자체로 까다롭기도 하다[32]. 어느 쪽이든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5532120" cy="275997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 33편 가운데 31편이 2016년 이후에 나왔다.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현장실험이나 자연실험 설계를 쓴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개입 효과에 대한 추론을 직접 제약한다.</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532120" cy="5098108"/>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532120" cy="509810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확인된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 소음과 짜증도의 용량-반응이 대규모로 정량화될 수 있었던 것은 그 문헌이 노출과 응답을 함께 표준화해 보고했기 때문인데[5], 행태 연구는 아직 그 단계에 이르지 못했다.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기여 연구의 특성과 개별 효과는 Table 3에 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val="0"/>
                <w:i w:val="0"/>
                <w:sz w:val="22"/>
              </w:rPr>
              <w:t>Social interaction (natural/quiet vs noise)</w:t>
            </w:r>
          </w:p>
        </w:tc>
        <w:tc>
          <w:tcPr>
            <w:tcW w:type="dxa" w:w="1096"/>
          </w:tcPr>
          <w:p>
            <w:pPr>
              <w:spacing w:line="240" w:lineRule="auto" w:after="0"/>
            </w:pPr>
            <w:r/>
            <w:r>
              <w:rPr>
                <w:rFonts w:ascii="Times New Roman" w:hAnsi="Times New Roman" w:cs="Times New Roman" w:eastAsia="바탕"/>
                <w:b w:val="0"/>
                <w:i w:val="0"/>
                <w:sz w:val="22"/>
              </w:rPr>
              <w:t>4</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val="0"/>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i w:val="0"/>
                <w:sz w:val="22"/>
              </w:rPr>
              <w:t>.006</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Characteristics of the studies contributing to each meta-analytic cluster. ▲ marks studies retrieved by citation searching. </w:t>
      </w:r>
      <w:r>
        <w:rPr>
          <w:rFonts w:ascii="Times New Roman" w:hAnsi="Times New Roman" w:cs="Times New Roman" w:eastAsia="바탕"/>
          <w:b w:val="0"/>
          <w:i/>
          <w:sz w:val="22"/>
        </w:rPr>
        <w:t>n</w:t>
      </w:r>
      <w:r>
        <w:rPr>
          <w:rFonts w:ascii="Times New Roman" w:hAnsi="Times New Roman" w:cs="Times New Roman" w:eastAsia="바탕"/>
          <w:b w:val="0"/>
          <w:i w:val="0"/>
          <w:sz w:val="22"/>
        </w:rPr>
        <w:t xml:space="preserve"> is the analytic sample for the pooled contrast, which can differ from the study's total sample; per-effect values, variances and source locations are Supplementary S7. Effects are Hedges' </w:t>
      </w:r>
      <w:r>
        <w:rPr>
          <w:rFonts w:ascii="Times New Roman" w:hAnsi="Times New Roman" w:cs="Times New Roman" w:eastAsia="바탕"/>
          <w:b w:val="0"/>
          <w:i/>
          <w:sz w:val="22"/>
        </w:rPr>
        <w:t>g</w:t>
      </w:r>
      <w:r>
        <w:rPr>
          <w:rFonts w:ascii="Times New Roman" w:hAnsi="Times New Roman" w:cs="Times New Roman" w:eastAsia="바탕"/>
          <w:b w:val="0"/>
          <w:i w:val="0"/>
          <w:sz w:val="22"/>
        </w:rPr>
        <w:t xml:space="preserve"> with 95% CI, except the final cluster, which reports </w:t>
      </w:r>
      <w:r>
        <w:rPr>
          <w:rFonts w:ascii="Times New Roman" w:hAnsi="Times New Roman" w:cs="Times New Roman" w:eastAsia="바탕"/>
          <w:b w:val="0"/>
          <w:i/>
          <w:sz w:val="22"/>
        </w:rPr>
        <w:t>r</w:t>
      </w:r>
      <w:r>
        <w:rPr>
          <w:rFonts w:ascii="Times New Roman" w:hAnsi="Times New Roman" w:cs="Times New Roman" w:eastAsia="바탕"/>
          <w:b w:val="0"/>
          <w:i w:val="0"/>
          <w:sz w:val="22"/>
        </w:rPr>
        <w:t>. NR = not reported (variance back-calculated from the published CI).</w:t>
      </w:r>
    </w:p>
    <w:tbl>
      <w:tblPr>
        <w:tblStyle w:val="TableGrid"/>
        <w:tblW w:type="auto" w:w="0"/>
        <w:jc w:val="center"/>
        <w:tblLook w:firstColumn="1" w:firstRow="1" w:lastColumn="0" w:lastRow="0" w:noHBand="0" w:noVBand="1" w:val="04A0"/>
      </w:tblPr>
      <w:tblGrid>
        <w:gridCol w:w="974"/>
        <w:gridCol w:w="974"/>
        <w:gridCol w:w="974"/>
        <w:gridCol w:w="974"/>
        <w:gridCol w:w="974"/>
        <w:gridCol w:w="974"/>
        <w:gridCol w:w="974"/>
        <w:gridCol w:w="974"/>
        <w:gridCol w:w="974"/>
      </w:tblGrid>
      <w:tr>
        <w:tc>
          <w:tcPr>
            <w:tcW w:type="dxa" w:w="974"/>
          </w:tcPr>
          <w:p>
            <w:pPr>
              <w:spacing w:line="240" w:lineRule="auto" w:after="0"/>
            </w:pPr>
            <w:r/>
            <w:r>
              <w:rPr>
                <w:rFonts w:ascii="Times New Roman" w:hAnsi="Times New Roman" w:cs="Times New Roman" w:eastAsia="바탕"/>
                <w:b/>
                <w:i w:val="0"/>
                <w:sz w:val="22"/>
              </w:rPr>
              <w:t>No.</w:t>
            </w:r>
          </w:p>
        </w:tc>
        <w:tc>
          <w:tcPr>
            <w:tcW w:type="dxa" w:w="974"/>
          </w:tcPr>
          <w:p>
            <w:pPr>
              <w:spacing w:line="240" w:lineRule="auto" w:after="0"/>
            </w:pPr>
            <w:r/>
            <w:r>
              <w:rPr>
                <w:rFonts w:ascii="Times New Roman" w:hAnsi="Times New Roman" w:cs="Times New Roman" w:eastAsia="바탕"/>
                <w:b/>
                <w:i w:val="0"/>
                <w:sz w:val="22"/>
              </w:rPr>
              <w:t>Study</w:t>
            </w:r>
          </w:p>
        </w:tc>
        <w:tc>
          <w:tcPr>
            <w:tcW w:type="dxa" w:w="974"/>
          </w:tcPr>
          <w:p>
            <w:pPr>
              <w:spacing w:line="240" w:lineRule="auto" w:after="0"/>
            </w:pPr>
            <w:r/>
            <w:r>
              <w:rPr>
                <w:rFonts w:ascii="Times New Roman" w:hAnsi="Times New Roman" w:cs="Times New Roman" w:eastAsia="바탕"/>
                <w:b/>
                <w:i w:val="0"/>
                <w:sz w:val="22"/>
              </w:rPr>
              <w:t>Country</w:t>
            </w:r>
          </w:p>
        </w:tc>
        <w:tc>
          <w:tcPr>
            <w:tcW w:type="dxa" w:w="974"/>
          </w:tcPr>
          <w:p>
            <w:pPr>
              <w:spacing w:line="240" w:lineRule="auto" w:after="0"/>
            </w:pPr>
            <w:r/>
            <w:r>
              <w:rPr>
                <w:rFonts w:ascii="Times New Roman" w:hAnsi="Times New Roman" w:cs="Times New Roman" w:eastAsia="바탕"/>
                <w:b/>
                <w:i w:val="0"/>
                <w:sz w:val="22"/>
              </w:rPr>
              <w:t>Setting</w:t>
            </w:r>
          </w:p>
        </w:tc>
        <w:tc>
          <w:tcPr>
            <w:tcW w:type="dxa" w:w="974"/>
          </w:tcPr>
          <w:p>
            <w:pPr>
              <w:spacing w:line="240" w:lineRule="auto" w:after="0"/>
            </w:pPr>
            <w:r/>
            <w:r>
              <w:rPr>
                <w:rFonts w:ascii="Times New Roman" w:hAnsi="Times New Roman" w:cs="Times New Roman" w:eastAsia="바탕"/>
                <w:b/>
                <w:i w:val="0"/>
                <w:sz w:val="22"/>
              </w:rPr>
              <w:t>Design</w:t>
            </w:r>
          </w:p>
        </w:tc>
        <w:tc>
          <w:tcPr>
            <w:tcW w:type="dxa" w:w="974"/>
          </w:tcPr>
          <w:p>
            <w:pPr>
              <w:spacing w:line="240" w:lineRule="auto" w:after="0"/>
            </w:pPr>
            <w:r/>
            <w:r>
              <w:rPr>
                <w:rFonts w:ascii="Times New Roman" w:hAnsi="Times New Roman" w:cs="Times New Roman" w:eastAsia="바탕"/>
                <w:b/>
                <w:i w:val="0"/>
                <w:sz w:val="22"/>
              </w:rPr>
              <w:t>Contrast or measure</w:t>
            </w:r>
          </w:p>
        </w:tc>
        <w:tc>
          <w:tcPr>
            <w:tcW w:type="dxa" w:w="974"/>
          </w:tcPr>
          <w:p>
            <w:pPr>
              <w:spacing w:line="240" w:lineRule="auto" w:after="0"/>
            </w:pPr>
            <w:r/>
            <w:r>
              <w:rPr>
                <w:rFonts w:ascii="Times New Roman" w:hAnsi="Times New Roman" w:cs="Times New Roman" w:eastAsia="바탕"/>
                <w:b/>
                <w:i/>
                <w:sz w:val="22"/>
              </w:rPr>
              <w:t>n</w:t>
            </w:r>
          </w:p>
        </w:tc>
        <w:tc>
          <w:tcPr>
            <w:tcW w:type="dxa" w:w="974"/>
          </w:tcPr>
          <w:p>
            <w:pPr>
              <w:spacing w:line="240" w:lineRule="auto" w:after="0"/>
            </w:pPr>
            <w:r/>
            <w:r>
              <w:rPr>
                <w:rFonts w:ascii="Times New Roman" w:hAnsi="Times New Roman" w:cs="Times New Roman" w:eastAsia="바탕"/>
                <w:b/>
                <w:i w:val="0"/>
                <w:sz w:val="22"/>
              </w:rPr>
              <w:t>MMAT</w:t>
            </w:r>
          </w:p>
        </w:tc>
        <w:tc>
          <w:tcPr>
            <w:tcW w:type="dxa" w:w="974"/>
          </w:tcPr>
          <w:p>
            <w:pPr>
              <w:spacing w:line="240" w:lineRule="auto" w:after="0"/>
            </w:pPr>
            <w:r/>
            <w:r>
              <w:rPr>
                <w:rFonts w:ascii="Times New Roman" w:hAnsi="Times New Roman" w:cs="Times New Roman" w:eastAsia="바탕"/>
                <w:b/>
                <w:i w:val="0"/>
                <w:sz w:val="22"/>
              </w:rPr>
              <w:t>Effect [95% CI]</w:t>
            </w:r>
          </w:p>
        </w:tc>
      </w:tr>
      <w:tr>
        <w:tc>
          <w:tcPr>
            <w:tcW w:type="dxa" w:w="974"/>
          </w:tcPr>
          <w:p>
            <w:pPr>
              <w:spacing w:line="240" w:lineRule="auto" w:after="0"/>
            </w:pPr>
            <w:r/>
            <w:r>
              <w:rPr>
                <w:rFonts w:ascii="Times New Roman" w:hAnsi="Times New Roman" w:cs="Times New Roman" w:eastAsia="바탕"/>
                <w:b/>
                <w:i w:val="0"/>
                <w:sz w:val="22"/>
              </w:rPr>
              <w:t>Walking speed (Hedges' g; negative = faster under noise)</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1</w:t>
            </w:r>
          </w:p>
        </w:tc>
        <w:tc>
          <w:tcPr>
            <w:tcW w:type="dxa" w:w="974"/>
          </w:tcPr>
          <w:p>
            <w:pPr>
              <w:spacing w:line="240" w:lineRule="auto" w:after="0"/>
            </w:pPr>
            <w:r/>
            <w:r>
              <w:rPr>
                <w:rFonts w:ascii="Times New Roman" w:hAnsi="Times New Roman" w:cs="Times New Roman" w:eastAsia="바탕"/>
                <w:b w:val="0"/>
                <w:i w:val="0"/>
                <w:sz w:val="22"/>
              </w:rPr>
              <w:t>Franěk 2018</w:t>
            </w:r>
          </w:p>
        </w:tc>
        <w:tc>
          <w:tcPr>
            <w:tcW w:type="dxa" w:w="974"/>
          </w:tcPr>
          <w:p>
            <w:pPr>
              <w:spacing w:line="240" w:lineRule="auto" w:after="0"/>
            </w:pPr>
            <w:r/>
            <w:r>
              <w:rPr>
                <w:rFonts w:ascii="Times New Roman" w:hAnsi="Times New Roman" w:cs="Times New Roman" w:eastAsia="바탕"/>
                <w:b w:val="0"/>
                <w:i w:val="0"/>
                <w:sz w:val="22"/>
              </w:rPr>
              <w:t>Czechia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birdsong vs traffic noise</w:t>
            </w:r>
          </w:p>
        </w:tc>
        <w:tc>
          <w:tcPr>
            <w:tcW w:type="dxa" w:w="974"/>
          </w:tcPr>
          <w:p>
            <w:pPr>
              <w:spacing w:line="240" w:lineRule="auto" w:after="0"/>
            </w:pPr>
            <w:r/>
            <w:r>
              <w:rPr>
                <w:rFonts w:ascii="Times New Roman" w:hAnsi="Times New Roman" w:cs="Times New Roman" w:eastAsia="바탕"/>
                <w:b w:val="0"/>
                <w:i w:val="0"/>
                <w:sz w:val="22"/>
              </w:rPr>
              <w:t>57</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−1.02 [−1.58, −0.47]</w:t>
            </w:r>
          </w:p>
        </w:tc>
      </w:tr>
      <w:tr>
        <w:tc>
          <w:tcPr>
            <w:tcW w:type="dxa" w:w="974"/>
          </w:tcPr>
          <w:p>
            <w:pPr>
              <w:spacing w:line="240" w:lineRule="auto" w:after="0"/>
            </w:pPr>
            <w:r/>
            <w:r>
              <w:rPr>
                <w:rFonts w:ascii="Times New Roman" w:hAnsi="Times New Roman" w:cs="Times New Roman" w:eastAsia="바탕"/>
                <w:b w:val="0"/>
                <w:i w:val="0"/>
                <w:sz w:val="22"/>
              </w:rPr>
              <w:t>2</w:t>
            </w:r>
          </w:p>
        </w:tc>
        <w:tc>
          <w:tcPr>
            <w:tcW w:type="dxa" w:w="974"/>
          </w:tcPr>
          <w:p>
            <w:pPr>
              <w:spacing w:line="240" w:lineRule="auto" w:after="0"/>
            </w:pPr>
            <w:r/>
            <w:r>
              <w:rPr>
                <w:rFonts w:ascii="Times New Roman" w:hAnsi="Times New Roman" w:cs="Times New Roman" w:eastAsia="바탕"/>
                <w:b w:val="0"/>
                <w:i w:val="0"/>
                <w:sz w:val="22"/>
              </w:rPr>
              <w:t>Franěk 2019</w:t>
            </w:r>
          </w:p>
        </w:tc>
        <w:tc>
          <w:tcPr>
            <w:tcW w:type="dxa" w:w="974"/>
          </w:tcPr>
          <w:p>
            <w:pPr>
              <w:spacing w:line="240" w:lineRule="auto" w:after="0"/>
            </w:pPr>
            <w:r/>
            <w:r>
              <w:rPr>
                <w:rFonts w:ascii="Times New Roman" w:hAnsi="Times New Roman" w:cs="Times New Roman" w:eastAsia="바탕"/>
                <w:b w:val="0"/>
                <w:i w:val="0"/>
                <w:sz w:val="22"/>
              </w:rPr>
              <w:t>Czechia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birdsong vs city noise (Exp 1 and 2)</w:t>
            </w:r>
          </w:p>
        </w:tc>
        <w:tc>
          <w:tcPr>
            <w:tcW w:type="dxa" w:w="974"/>
          </w:tcPr>
          <w:p>
            <w:pPr>
              <w:spacing w:line="240" w:lineRule="auto" w:after="0"/>
            </w:pPr>
            <w:r/>
            <w:r>
              <w:rPr>
                <w:rFonts w:ascii="Times New Roman" w:hAnsi="Times New Roman" w:cs="Times New Roman" w:eastAsia="바탕"/>
                <w:b w:val="0"/>
                <w:i w:val="0"/>
                <w:sz w:val="22"/>
              </w:rPr>
              <w:t>102</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−0.63 [−1.12, −0.13]</w:t>
            </w:r>
          </w:p>
        </w:tc>
      </w:tr>
      <w:tr>
        <w:tc>
          <w:tcPr>
            <w:tcW w:type="dxa" w:w="974"/>
          </w:tcPr>
          <w:p>
            <w:pPr>
              <w:spacing w:line="240" w:lineRule="auto" w:after="0"/>
            </w:pPr>
            <w:r/>
            <w:r>
              <w:rPr>
                <w:rFonts w:ascii="Times New Roman" w:hAnsi="Times New Roman" w:cs="Times New Roman" w:eastAsia="바탕"/>
                <w:b w:val="0"/>
                <w:i w:val="0"/>
                <w:sz w:val="22"/>
              </w:rPr>
              <w:t>3</w:t>
            </w:r>
          </w:p>
        </w:tc>
        <w:tc>
          <w:tcPr>
            <w:tcW w:type="dxa" w:w="974"/>
          </w:tcPr>
          <w:p>
            <w:pPr>
              <w:spacing w:line="240" w:lineRule="auto" w:after="0"/>
            </w:pPr>
            <w:r/>
            <w:r>
              <w:rPr>
                <w:rFonts w:ascii="Times New Roman" w:hAnsi="Times New Roman" w:cs="Times New Roman" w:eastAsia="바탕"/>
                <w:b w:val="0"/>
                <w:i w:val="0"/>
                <w:sz w:val="22"/>
              </w:rPr>
              <w:t>Berkouk 2020</w:t>
            </w:r>
          </w:p>
        </w:tc>
        <w:tc>
          <w:tcPr>
            <w:tcW w:type="dxa" w:w="974"/>
          </w:tcPr>
          <w:p>
            <w:pPr>
              <w:spacing w:line="240" w:lineRule="auto" w:after="0"/>
            </w:pPr>
            <w:r/>
            <w:r>
              <w:rPr>
                <w:rFonts w:ascii="Times New Roman" w:hAnsi="Times New Roman" w:cs="Times New Roman" w:eastAsia="바탕"/>
                <w:b w:val="0"/>
                <w:i w:val="0"/>
                <w:sz w:val="22"/>
              </w:rPr>
              <w:t>Algeria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observational</w:t>
            </w:r>
          </w:p>
        </w:tc>
        <w:tc>
          <w:tcPr>
            <w:tcW w:type="dxa" w:w="974"/>
          </w:tcPr>
          <w:p>
            <w:pPr>
              <w:spacing w:line="240" w:lineRule="auto" w:after="0"/>
            </w:pPr>
            <w:r/>
            <w:r>
              <w:rPr>
                <w:rFonts w:ascii="Times New Roman" w:hAnsi="Times New Roman" w:cs="Times New Roman" w:eastAsia="바탕"/>
                <w:b w:val="0"/>
                <w:i w:val="0"/>
                <w:sz w:val="22"/>
              </w:rPr>
              <w:t>natural vs traffic sound</w:t>
            </w:r>
          </w:p>
        </w:tc>
        <w:tc>
          <w:tcPr>
            <w:tcW w:type="dxa" w:w="974"/>
          </w:tcPr>
          <w:p>
            <w:pPr>
              <w:spacing w:line="240" w:lineRule="auto" w:after="0"/>
            </w:pPr>
            <w:r/>
            <w:r>
              <w:rPr>
                <w:rFonts w:ascii="Times New Roman" w:hAnsi="Times New Roman" w:cs="Times New Roman" w:eastAsia="바탕"/>
                <w:b w:val="0"/>
                <w:i w:val="0"/>
                <w:sz w:val="22"/>
              </w:rPr>
              <w:t>54</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+0.23 [−0.31, +0.76]</w:t>
            </w:r>
          </w:p>
        </w:tc>
      </w:tr>
      <w:tr>
        <w:tc>
          <w:tcPr>
            <w:tcW w:type="dxa" w:w="974"/>
          </w:tcPr>
          <w:p>
            <w:pPr>
              <w:spacing w:line="240" w:lineRule="auto" w:after="0"/>
            </w:pPr>
            <w:r/>
            <w:r>
              <w:rPr>
                <w:rFonts w:ascii="Times New Roman" w:hAnsi="Times New Roman" w:cs="Times New Roman" w:eastAsia="바탕"/>
                <w:b/>
                <w:i w:val="0"/>
                <w:sz w:val="22"/>
              </w:rPr>
              <w:t>Staying / dwell time (Hedges' g; positive = longer stay)</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4</w:t>
            </w:r>
          </w:p>
        </w:tc>
        <w:tc>
          <w:tcPr>
            <w:tcW w:type="dxa" w:w="974"/>
          </w:tcPr>
          <w:p>
            <w:pPr>
              <w:spacing w:line="240" w:lineRule="auto" w:after="0"/>
            </w:pPr>
            <w:r/>
            <w:r>
              <w:rPr>
                <w:rFonts w:ascii="Times New Roman" w:hAnsi="Times New Roman" w:cs="Times New Roman" w:eastAsia="바탕"/>
                <w:b w:val="0"/>
                <w:i w:val="0"/>
                <w:sz w:val="22"/>
              </w:rPr>
              <w:t>Aletta 2016</w:t>
            </w:r>
          </w:p>
        </w:tc>
        <w:tc>
          <w:tcPr>
            <w:tcW w:type="dxa" w:w="974"/>
          </w:tcPr>
          <w:p>
            <w:pPr>
              <w:spacing w:line="240" w:lineRule="auto" w:after="0"/>
            </w:pPr>
            <w:r/>
            <w:r>
              <w:rPr>
                <w:rFonts w:ascii="Times New Roman" w:hAnsi="Times New Roman" w:cs="Times New Roman" w:eastAsia="바탕"/>
                <w:b w:val="0"/>
                <w:i w:val="0"/>
                <w:sz w:val="22"/>
              </w:rPr>
              <w:t>United Kingdom</w:t>
            </w:r>
          </w:p>
        </w:tc>
        <w:tc>
          <w:tcPr>
            <w:tcW w:type="dxa" w:w="974"/>
          </w:tcPr>
          <w:p>
            <w:pPr>
              <w:spacing w:line="240" w:lineRule="auto" w:after="0"/>
            </w:pPr>
            <w:r/>
            <w:r>
              <w:rPr>
                <w:rFonts w:ascii="Times New Roman" w:hAnsi="Times New Roman" w:cs="Times New Roman" w:eastAsia="바탕"/>
                <w:b w:val="0"/>
                <w:i w:val="0"/>
                <w:sz w:val="22"/>
              </w:rPr>
              <w:t>campus</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music vs no music</w:t>
            </w:r>
          </w:p>
        </w:tc>
        <w:tc>
          <w:tcPr>
            <w:tcW w:type="dxa" w:w="974"/>
          </w:tcPr>
          <w:p>
            <w:pPr>
              <w:spacing w:line="240" w:lineRule="auto" w:after="0"/>
            </w:pPr>
            <w:r/>
            <w:r>
              <w:rPr>
                <w:rFonts w:ascii="Times New Roman" w:hAnsi="Times New Roman" w:cs="Times New Roman" w:eastAsia="바탕"/>
                <w:b w:val="0"/>
                <w:i w:val="0"/>
                <w:sz w:val="22"/>
              </w:rPr>
              <w:t>596</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+0.39 [+0.19, +0.59]</w:t>
            </w:r>
          </w:p>
        </w:tc>
      </w:tr>
      <w:tr>
        <w:tc>
          <w:tcPr>
            <w:tcW w:type="dxa" w:w="974"/>
          </w:tcPr>
          <w:p>
            <w:pPr>
              <w:spacing w:line="240" w:lineRule="auto" w:after="0"/>
            </w:pPr>
            <w:r/>
            <w:r>
              <w:rPr>
                <w:rFonts w:ascii="Times New Roman" w:hAnsi="Times New Roman" w:cs="Times New Roman" w:eastAsia="바탕"/>
                <w:b w:val="0"/>
                <w:i w:val="0"/>
                <w:sz w:val="22"/>
              </w:rPr>
              <w:t>5</w:t>
            </w:r>
          </w:p>
        </w:tc>
        <w:tc>
          <w:tcPr>
            <w:tcW w:type="dxa" w:w="974"/>
          </w:tcPr>
          <w:p>
            <w:pPr>
              <w:spacing w:line="240" w:lineRule="auto" w:after="0"/>
            </w:pPr>
            <w:r/>
            <w:r>
              <w:rPr>
                <w:rFonts w:ascii="Times New Roman" w:hAnsi="Times New Roman" w:cs="Times New Roman" w:eastAsia="바탕"/>
                <w:b w:val="0"/>
                <w:i w:val="0"/>
                <w:sz w:val="22"/>
              </w:rPr>
              <w:t>Ba &amp; Kang 2020</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music vs no sound</w:t>
            </w:r>
          </w:p>
        </w:tc>
        <w:tc>
          <w:tcPr>
            <w:tcW w:type="dxa" w:w="974"/>
          </w:tcPr>
          <w:p>
            <w:pPr>
              <w:spacing w:line="240" w:lineRule="auto" w:after="0"/>
            </w:pPr>
            <w:r/>
            <w:r>
              <w:rPr>
                <w:rFonts w:ascii="Times New Roman" w:hAnsi="Times New Roman" w:cs="Times New Roman" w:eastAsia="바탕"/>
                <w:b w:val="0"/>
                <w:i w:val="0"/>
                <w:sz w:val="22"/>
              </w:rPr>
              <w:t>97</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+0.61 [+0.21, +1.02]</w:t>
            </w:r>
          </w:p>
        </w:tc>
      </w:tr>
      <w:tr>
        <w:tc>
          <w:tcPr>
            <w:tcW w:type="dxa" w:w="974"/>
          </w:tcPr>
          <w:p>
            <w:pPr>
              <w:spacing w:line="240" w:lineRule="auto" w:after="0"/>
            </w:pPr>
            <w:r/>
            <w:r>
              <w:rPr>
                <w:rFonts w:ascii="Times New Roman" w:hAnsi="Times New Roman" w:cs="Times New Roman" w:eastAsia="바탕"/>
                <w:b w:val="0"/>
                <w:i w:val="0"/>
                <w:sz w:val="22"/>
              </w:rPr>
              <w:t>6</w:t>
            </w:r>
          </w:p>
        </w:tc>
        <w:tc>
          <w:tcPr>
            <w:tcW w:type="dxa" w:w="974"/>
          </w:tcPr>
          <w:p>
            <w:pPr>
              <w:spacing w:line="240" w:lineRule="auto" w:after="0"/>
            </w:pPr>
            <w:r/>
            <w:r>
              <w:rPr>
                <w:rFonts w:ascii="Times New Roman" w:hAnsi="Times New Roman" w:cs="Times New Roman" w:eastAsia="바탕"/>
                <w:b w:val="0"/>
                <w:i w:val="0"/>
                <w:sz w:val="22"/>
              </w:rPr>
              <w:t>Fu 2026</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natural sound index (high vs low)</w:t>
            </w:r>
          </w:p>
        </w:tc>
        <w:tc>
          <w:tcPr>
            <w:tcW w:type="dxa" w:w="974"/>
          </w:tcPr>
          <w:p>
            <w:pPr>
              <w:spacing w:line="240" w:lineRule="auto" w:after="0"/>
            </w:pPr>
            <w:r/>
            <w:r>
              <w:rPr>
                <w:rFonts w:ascii="Times New Roman" w:hAnsi="Times New Roman" w:cs="Times New Roman" w:eastAsia="바탕"/>
                <w:b w:val="0"/>
                <w:i w:val="0"/>
                <w:sz w:val="22"/>
              </w:rPr>
              <w:t>241</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+0.21 [+0.07, +0.36]</w:t>
            </w:r>
          </w:p>
        </w:tc>
      </w:tr>
      <w:tr>
        <w:tc>
          <w:tcPr>
            <w:tcW w:type="dxa" w:w="974"/>
          </w:tcPr>
          <w:p>
            <w:pPr>
              <w:spacing w:line="240" w:lineRule="auto" w:after="0"/>
            </w:pPr>
            <w:r/>
            <w:r>
              <w:rPr>
                <w:rFonts w:ascii="Times New Roman" w:hAnsi="Times New Roman" w:cs="Times New Roman" w:eastAsia="바탕"/>
                <w:b/>
                <w:i w:val="0"/>
                <w:sz w:val="22"/>
              </w:rPr>
              <w:t>Social interaction (Hedges' g; positive = more interaction)</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7</w:t>
            </w:r>
          </w:p>
        </w:tc>
        <w:tc>
          <w:tcPr>
            <w:tcW w:type="dxa" w:w="974"/>
          </w:tcPr>
          <w:p>
            <w:pPr>
              <w:spacing w:line="240" w:lineRule="auto" w:after="0"/>
            </w:pPr>
            <w:r/>
            <w:r>
              <w:rPr>
                <w:rFonts w:ascii="Times New Roman" w:hAnsi="Times New Roman" w:cs="Times New Roman" w:eastAsia="바탕"/>
                <w:b w:val="0"/>
                <w:i w:val="0"/>
                <w:sz w:val="22"/>
              </w:rPr>
              <w:t>Chen 2023</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natural vs noise (group interaction)</w:t>
            </w:r>
          </w:p>
        </w:tc>
        <w:tc>
          <w:tcPr>
            <w:tcW w:type="dxa" w:w="974"/>
          </w:tcPr>
          <w:p>
            <w:pPr>
              <w:spacing w:line="240" w:lineRule="auto" w:after="0"/>
            </w:pPr>
            <w:r/>
            <w:r>
              <w:rPr>
                <w:rFonts w:ascii="Times New Roman" w:hAnsi="Times New Roman" w:cs="Times New Roman" w:eastAsia="바탕"/>
                <w:b w:val="0"/>
                <w:i w:val="0"/>
                <w:sz w:val="22"/>
              </w:rPr>
              <w:t>73</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+0.98 [+0.49, +1.46]</w:t>
            </w:r>
          </w:p>
        </w:tc>
      </w:tr>
      <w:tr>
        <w:tc>
          <w:tcPr>
            <w:tcW w:type="dxa" w:w="974"/>
          </w:tcPr>
          <w:p>
            <w:pPr>
              <w:spacing w:line="240" w:lineRule="auto" w:after="0"/>
            </w:pPr>
            <w:r/>
            <w:r>
              <w:rPr>
                <w:rFonts w:ascii="Times New Roman" w:hAnsi="Times New Roman" w:cs="Times New Roman" w:eastAsia="바탕"/>
                <w:b w:val="0"/>
                <w:i w:val="0"/>
                <w:sz w:val="22"/>
              </w:rPr>
              <w:t>8</w:t>
            </w:r>
          </w:p>
        </w:tc>
        <w:tc>
          <w:tcPr>
            <w:tcW w:type="dxa" w:w="974"/>
          </w:tcPr>
          <w:p>
            <w:pPr>
              <w:spacing w:line="240" w:lineRule="auto" w:after="0"/>
            </w:pPr>
            <w:r/>
            <w:r>
              <w:rPr>
                <w:rFonts w:ascii="Times New Roman" w:hAnsi="Times New Roman" w:cs="Times New Roman" w:eastAsia="바탕"/>
                <w:b w:val="0"/>
                <w:i w:val="0"/>
                <w:sz w:val="22"/>
              </w:rPr>
              <w:t>Chen 2024</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residential</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natural vs noise (paired interaction)</w:t>
            </w:r>
          </w:p>
        </w:tc>
        <w:tc>
          <w:tcPr>
            <w:tcW w:type="dxa" w:w="974"/>
          </w:tcPr>
          <w:p>
            <w:pPr>
              <w:spacing w:line="240" w:lineRule="auto" w:after="0"/>
            </w:pPr>
            <w:r/>
            <w:r>
              <w:rPr>
                <w:rFonts w:ascii="Times New Roman" w:hAnsi="Times New Roman" w:cs="Times New Roman" w:eastAsia="바탕"/>
                <w:b w:val="0"/>
                <w:i w:val="0"/>
                <w:sz w:val="22"/>
              </w:rPr>
              <w:t>146</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+0.55 [+0.22, +0.88]</w:t>
            </w:r>
          </w:p>
        </w:tc>
      </w:tr>
      <w:tr>
        <w:tc>
          <w:tcPr>
            <w:tcW w:type="dxa" w:w="974"/>
          </w:tcPr>
          <w:p>
            <w:pPr>
              <w:spacing w:line="240" w:lineRule="auto" w:after="0"/>
            </w:pPr>
            <w:r/>
            <w:r>
              <w:rPr>
                <w:rFonts w:ascii="Times New Roman" w:hAnsi="Times New Roman" w:cs="Times New Roman" w:eastAsia="바탕"/>
                <w:b w:val="0"/>
                <w:i w:val="0"/>
                <w:sz w:val="22"/>
              </w:rPr>
              <w:t>9</w:t>
            </w:r>
          </w:p>
        </w:tc>
        <w:tc>
          <w:tcPr>
            <w:tcW w:type="dxa" w:w="974"/>
          </w:tcPr>
          <w:p>
            <w:pPr>
              <w:spacing w:line="240" w:lineRule="auto" w:after="0"/>
            </w:pPr>
            <w:r/>
            <w:r>
              <w:rPr>
                <w:rFonts w:ascii="Times New Roman" w:hAnsi="Times New Roman" w:cs="Times New Roman" w:eastAsia="바탕"/>
                <w:b w:val="0"/>
                <w:i w:val="0"/>
                <w:sz w:val="22"/>
              </w:rPr>
              <w:t>Moser 1988</w:t>
            </w:r>
          </w:p>
        </w:tc>
        <w:tc>
          <w:tcPr>
            <w:tcW w:type="dxa" w:w="974"/>
          </w:tcPr>
          <w:p>
            <w:pPr>
              <w:spacing w:line="240" w:lineRule="auto" w:after="0"/>
            </w:pPr>
            <w:r/>
            <w:r>
              <w:rPr>
                <w:rFonts w:ascii="Times New Roman" w:hAnsi="Times New Roman" w:cs="Times New Roman" w:eastAsia="바탕"/>
                <w:b w:val="0"/>
                <w:i w:val="0"/>
                <w:sz w:val="22"/>
              </w:rPr>
              <w:t>France</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quiet vs roadworks noise (helping)</w:t>
            </w:r>
          </w:p>
        </w:tc>
        <w:tc>
          <w:tcPr>
            <w:tcW w:type="dxa" w:w="974"/>
          </w:tcPr>
          <w:p>
            <w:pPr>
              <w:spacing w:line="240" w:lineRule="auto" w:after="0"/>
            </w:pPr>
            <w:r/>
            <w:r>
              <w:rPr>
                <w:rFonts w:ascii="Times New Roman" w:hAnsi="Times New Roman" w:cs="Times New Roman" w:eastAsia="바탕"/>
                <w:b w:val="0"/>
                <w:i w:val="0"/>
                <w:sz w:val="22"/>
              </w:rPr>
              <w:t>150</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+0.43 [+0.13, +0.73]</w:t>
            </w:r>
          </w:p>
        </w:tc>
      </w:tr>
      <w:tr>
        <w:tc>
          <w:tcPr>
            <w:tcW w:type="dxa" w:w="974"/>
          </w:tcPr>
          <w:p>
            <w:pPr>
              <w:spacing w:line="240" w:lineRule="auto" w:after="0"/>
            </w:pPr>
            <w:r/>
            <w:r>
              <w:rPr>
                <w:rFonts w:ascii="Times New Roman" w:hAnsi="Times New Roman" w:cs="Times New Roman" w:eastAsia="바탕"/>
                <w:b w:val="0"/>
                <w:i w:val="0"/>
                <w:sz w:val="22"/>
              </w:rPr>
              <w:t>10</w:t>
            </w:r>
          </w:p>
        </w:tc>
        <w:tc>
          <w:tcPr>
            <w:tcW w:type="dxa" w:w="974"/>
          </w:tcPr>
          <w:p>
            <w:pPr>
              <w:spacing w:line="240" w:lineRule="auto" w:after="0"/>
            </w:pPr>
            <w:r/>
            <w:r>
              <w:rPr>
                <w:rFonts w:ascii="Times New Roman" w:hAnsi="Times New Roman" w:cs="Times New Roman" w:eastAsia="바탕"/>
                <w:b w:val="0"/>
                <w:i w:val="0"/>
                <w:sz w:val="22"/>
              </w:rPr>
              <w:t>Mathews &amp; Canon 1975 ▲</w:t>
            </w:r>
          </w:p>
        </w:tc>
        <w:tc>
          <w:tcPr>
            <w:tcW w:type="dxa" w:w="974"/>
          </w:tcPr>
          <w:p>
            <w:pPr>
              <w:spacing w:line="240" w:lineRule="auto" w:after="0"/>
            </w:pPr>
            <w:r/>
            <w:r>
              <w:rPr>
                <w:rFonts w:ascii="Times New Roman" w:hAnsi="Times New Roman" w:cs="Times New Roman" w:eastAsia="바탕"/>
                <w:b w:val="0"/>
                <w:i w:val="0"/>
                <w:sz w:val="22"/>
              </w:rPr>
              <w:t>NR</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quiet vs lawnmower noise (helping)</w:t>
            </w:r>
          </w:p>
        </w:tc>
        <w:tc>
          <w:tcPr>
            <w:tcW w:type="dxa" w:w="974"/>
          </w:tcPr>
          <w:p>
            <w:pPr>
              <w:spacing w:line="240" w:lineRule="auto" w:after="0"/>
            </w:pPr>
            <w:r/>
            <w:r>
              <w:rPr>
                <w:rFonts w:ascii="Times New Roman" w:hAnsi="Times New Roman" w:cs="Times New Roman" w:eastAsia="바탕"/>
                <w:b w:val="0"/>
                <w:i w:val="0"/>
                <w:sz w:val="22"/>
              </w:rPr>
              <w:t>80</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+1.07 [+0.45, +1.69]</w:t>
            </w:r>
          </w:p>
        </w:tc>
      </w:tr>
      <w:tr>
        <w:tc>
          <w:tcPr>
            <w:tcW w:type="dxa" w:w="974"/>
          </w:tcPr>
          <w:p>
            <w:pPr>
              <w:spacing w:line="240" w:lineRule="auto" w:after="0"/>
            </w:pPr>
            <w:r/>
            <w:r>
              <w:rPr>
                <w:rFonts w:ascii="Times New Roman" w:hAnsi="Times New Roman" w:cs="Times New Roman" w:eastAsia="바탕"/>
                <w:b/>
                <w:i w:val="0"/>
                <w:sz w:val="22"/>
              </w:rPr>
              <w:t>Soundscape perception and behaviour (r)</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11</w:t>
            </w:r>
          </w:p>
        </w:tc>
        <w:tc>
          <w:tcPr>
            <w:tcW w:type="dxa" w:w="974"/>
          </w:tcPr>
          <w:p>
            <w:pPr>
              <w:spacing w:line="240" w:lineRule="auto" w:after="0"/>
            </w:pPr>
            <w:r/>
            <w:r>
              <w:rPr>
                <w:rFonts w:ascii="Times New Roman" w:hAnsi="Times New Roman" w:cs="Times New Roman" w:eastAsia="바탕"/>
                <w:b w:val="0"/>
                <w:i w:val="0"/>
                <w:sz w:val="22"/>
              </w:rPr>
              <w:t>Guo 2024</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pleasantness with static behaviour</w:t>
            </w:r>
          </w:p>
        </w:tc>
        <w:tc>
          <w:tcPr>
            <w:tcW w:type="dxa" w:w="974"/>
          </w:tcPr>
          <w:p>
            <w:pPr>
              <w:spacing w:line="240" w:lineRule="auto" w:after="0"/>
            </w:pPr>
            <w:r/>
            <w:r>
              <w:rPr>
                <w:rFonts w:ascii="Times New Roman" w:hAnsi="Times New Roman" w:cs="Times New Roman" w:eastAsia="바탕"/>
                <w:b w:val="0"/>
                <w:i w:val="0"/>
                <w:sz w:val="22"/>
              </w:rPr>
              <w:t>419</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+0.56 [+0.49, +0.63]</w:t>
            </w:r>
          </w:p>
        </w:tc>
      </w:tr>
      <w:tr>
        <w:tc>
          <w:tcPr>
            <w:tcW w:type="dxa" w:w="974"/>
          </w:tcPr>
          <w:p>
            <w:pPr>
              <w:spacing w:line="240" w:lineRule="auto" w:after="0"/>
            </w:pPr>
            <w:r/>
            <w:r>
              <w:rPr>
                <w:rFonts w:ascii="Times New Roman" w:hAnsi="Times New Roman" w:cs="Times New Roman" w:eastAsia="바탕"/>
                <w:b w:val="0"/>
                <w:i w:val="0"/>
                <w:sz w:val="22"/>
              </w:rPr>
              <w:t>12</w:t>
            </w:r>
          </w:p>
        </w:tc>
        <w:tc>
          <w:tcPr>
            <w:tcW w:type="dxa" w:w="974"/>
          </w:tcPr>
          <w:p>
            <w:pPr>
              <w:spacing w:line="240" w:lineRule="auto" w:after="0"/>
            </w:pPr>
            <w:r/>
            <w:r>
              <w:rPr>
                <w:rFonts w:ascii="Times New Roman" w:hAnsi="Times New Roman" w:cs="Times New Roman" w:eastAsia="바탕"/>
                <w:b w:val="0"/>
                <w:i w:val="0"/>
                <w:sz w:val="22"/>
              </w:rPr>
              <w:t>Zhou 2026</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natural sound events with queuing</w:t>
            </w:r>
          </w:p>
        </w:tc>
        <w:tc>
          <w:tcPr>
            <w:tcW w:type="dxa" w:w="974"/>
          </w:tcPr>
          <w:p>
            <w:pPr>
              <w:spacing w:line="240" w:lineRule="auto" w:after="0"/>
            </w:pPr>
            <w:r/>
            <w:r>
              <w:rPr>
                <w:rFonts w:ascii="Times New Roman" w:hAnsi="Times New Roman" w:cs="Times New Roman" w:eastAsia="바탕"/>
                <w:b w:val="0"/>
                <w:i w:val="0"/>
                <w:sz w:val="22"/>
              </w:rPr>
              <w:t>315</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+0.21 [+0.10, +0.31]</w:t>
            </w:r>
          </w:p>
        </w:tc>
      </w:tr>
      <w:tr>
        <w:tc>
          <w:tcPr>
            <w:tcW w:type="dxa" w:w="974"/>
          </w:tcPr>
          <w:p>
            <w:pPr>
              <w:spacing w:line="240" w:lineRule="auto" w:after="0"/>
            </w:pPr>
            <w:r/>
            <w:r>
              <w:rPr>
                <w:rFonts w:ascii="Times New Roman" w:hAnsi="Times New Roman" w:cs="Times New Roman" w:eastAsia="바탕"/>
                <w:b w:val="0"/>
                <w:i w:val="0"/>
                <w:sz w:val="22"/>
              </w:rPr>
              <w:t>13</w:t>
            </w:r>
          </w:p>
        </w:tc>
        <w:tc>
          <w:tcPr>
            <w:tcW w:type="dxa" w:w="974"/>
          </w:tcPr>
          <w:p>
            <w:pPr>
              <w:spacing w:line="240" w:lineRule="auto" w:after="0"/>
            </w:pPr>
            <w:r/>
            <w:r>
              <w:rPr>
                <w:rFonts w:ascii="Times New Roman" w:hAnsi="Times New Roman" w:cs="Times New Roman" w:eastAsia="바탕"/>
                <w:b w:val="0"/>
                <w:i w:val="0"/>
                <w:sz w:val="22"/>
              </w:rPr>
              <w:t>Mansouri 2025</w:t>
            </w:r>
          </w:p>
        </w:tc>
        <w:tc>
          <w:tcPr>
            <w:tcW w:type="dxa" w:w="974"/>
          </w:tcPr>
          <w:p>
            <w:pPr>
              <w:spacing w:line="240" w:lineRule="auto" w:after="0"/>
            </w:pPr>
            <w:r/>
            <w:r>
              <w:rPr>
                <w:rFonts w:ascii="Times New Roman" w:hAnsi="Times New Roman" w:cs="Times New Roman" w:eastAsia="바탕"/>
                <w:b w:val="0"/>
                <w:i w:val="0"/>
                <w:sz w:val="22"/>
              </w:rPr>
              <w:t>Algeria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sound comfort with walking comfort</w:t>
            </w:r>
          </w:p>
        </w:tc>
        <w:tc>
          <w:tcPr>
            <w:tcW w:type="dxa" w:w="974"/>
          </w:tcPr>
          <w:p>
            <w:pPr>
              <w:spacing w:line="240" w:lineRule="auto" w:after="0"/>
            </w:pPr>
            <w:r/>
            <w:r>
              <w:rPr>
                <w:rFonts w:ascii="Times New Roman" w:hAnsi="Times New Roman" w:cs="Times New Roman" w:eastAsia="바탕"/>
                <w:b w:val="0"/>
                <w:i w:val="0"/>
                <w:sz w:val="22"/>
              </w:rPr>
              <w:t>NR</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+0.40 [+0.04, +0.67]</w:t>
            </w:r>
          </w:p>
        </w:tc>
      </w:tr>
      <w:tr>
        <w:tc>
          <w:tcPr>
            <w:tcW w:type="dxa" w:w="974"/>
          </w:tcPr>
          <w:p>
            <w:pPr>
              <w:spacing w:line="240" w:lineRule="auto" w:after="0"/>
            </w:pPr>
            <w:r/>
            <w:r>
              <w:rPr>
                <w:rFonts w:ascii="Times New Roman" w:hAnsi="Times New Roman" w:cs="Times New Roman" w:eastAsia="바탕"/>
                <w:b w:val="0"/>
                <w:i w:val="0"/>
                <w:sz w:val="22"/>
              </w:rPr>
              <w:t>14</w:t>
            </w:r>
          </w:p>
        </w:tc>
        <w:tc>
          <w:tcPr>
            <w:tcW w:type="dxa" w:w="974"/>
          </w:tcPr>
          <w:p>
            <w:pPr>
              <w:spacing w:line="240" w:lineRule="auto" w:after="0"/>
            </w:pPr>
            <w:r/>
            <w:r>
              <w:rPr>
                <w:rFonts w:ascii="Times New Roman" w:hAnsi="Times New Roman" w:cs="Times New Roman" w:eastAsia="바탕"/>
                <w:b w:val="0"/>
                <w:i w:val="0"/>
                <w:sz w:val="22"/>
              </w:rPr>
              <w:t>Bao 2023</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dwell time with restorativeness</w:t>
            </w:r>
          </w:p>
        </w:tc>
        <w:tc>
          <w:tcPr>
            <w:tcW w:type="dxa" w:w="974"/>
          </w:tcPr>
          <w:p>
            <w:pPr>
              <w:spacing w:line="240" w:lineRule="auto" w:after="0"/>
            </w:pPr>
            <w:r/>
            <w:r>
              <w:rPr>
                <w:rFonts w:ascii="Times New Roman" w:hAnsi="Times New Roman" w:cs="Times New Roman" w:eastAsia="바탕"/>
                <w:b w:val="0"/>
                <w:i w:val="0"/>
                <w:sz w:val="22"/>
              </w:rPr>
              <w:t>180</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+0.55 [+0.44, +0.65]</w:t>
            </w:r>
          </w:p>
        </w:tc>
      </w:tr>
      <w:tr>
        <w:tc>
          <w:tcPr>
            <w:tcW w:type="dxa" w:w="974"/>
          </w:tcPr>
          <w:p>
            <w:pPr>
              <w:spacing w:line="240" w:lineRule="auto" w:after="0"/>
            </w:pPr>
            <w:r/>
            <w:r>
              <w:rPr>
                <w:rFonts w:ascii="Times New Roman" w:hAnsi="Times New Roman" w:cs="Times New Roman" w:eastAsia="바탕"/>
                <w:b w:val="0"/>
                <w:i w:val="0"/>
                <w:sz w:val="22"/>
              </w:rPr>
              <w:t>15</w:t>
            </w:r>
          </w:p>
        </w:tc>
        <w:tc>
          <w:tcPr>
            <w:tcW w:type="dxa" w:w="974"/>
          </w:tcPr>
          <w:p>
            <w:pPr>
              <w:spacing w:line="240" w:lineRule="auto" w:after="0"/>
            </w:pPr>
            <w:r/>
            <w:r>
              <w:rPr>
                <w:rFonts w:ascii="Times New Roman" w:hAnsi="Times New Roman" w:cs="Times New Roman" w:eastAsia="바탕"/>
                <w:b w:val="0"/>
                <w:i w:val="0"/>
                <w:sz w:val="22"/>
              </w:rPr>
              <w:t>Montes González 2023 ▲</w:t>
            </w:r>
          </w:p>
        </w:tc>
        <w:tc>
          <w:tcPr>
            <w:tcW w:type="dxa" w:w="974"/>
          </w:tcPr>
          <w:p>
            <w:pPr>
              <w:spacing w:line="240" w:lineRule="auto" w:after="0"/>
            </w:pPr>
            <w:r/>
            <w:r>
              <w:rPr>
                <w:rFonts w:ascii="Times New Roman" w:hAnsi="Times New Roman" w:cs="Times New Roman" w:eastAsia="바탕"/>
                <w:b w:val="0"/>
                <w:i w:val="0"/>
                <w:sz w:val="22"/>
              </w:rPr>
              <w:t>Spain</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LAeq with vocal effort</w:t>
            </w:r>
          </w:p>
        </w:tc>
        <w:tc>
          <w:tcPr>
            <w:tcW w:type="dxa" w:w="974"/>
          </w:tcPr>
          <w:p>
            <w:pPr>
              <w:spacing w:line="240" w:lineRule="auto" w:after="0"/>
            </w:pPr>
            <w:r/>
            <w:r>
              <w:rPr>
                <w:rFonts w:ascii="Times New Roman" w:hAnsi="Times New Roman" w:cs="Times New Roman" w:eastAsia="바탕"/>
                <w:b w:val="0"/>
                <w:i w:val="0"/>
                <w:sz w:val="22"/>
              </w:rPr>
              <w:t>29</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+0.65 [+0.37, +0.82]</w:t>
            </w:r>
          </w:p>
        </w:tc>
      </w:tr>
      <w:tr>
        <w:tc>
          <w:tcPr>
            <w:tcW w:type="dxa" w:w="974"/>
          </w:tcPr>
          <w:p>
            <w:pPr>
              <w:spacing w:line="240" w:lineRule="auto" w:after="0"/>
            </w:pPr>
            <w:r/>
            <w:r>
              <w:rPr>
                <w:rFonts w:ascii="Times New Roman" w:hAnsi="Times New Roman" w:cs="Times New Roman" w:eastAsia="바탕"/>
                <w:b w:val="0"/>
                <w:i w:val="0"/>
                <w:sz w:val="22"/>
              </w:rPr>
              <w:t>16</w:t>
            </w:r>
          </w:p>
        </w:tc>
        <w:tc>
          <w:tcPr>
            <w:tcW w:type="dxa" w:w="974"/>
          </w:tcPr>
          <w:p>
            <w:pPr>
              <w:spacing w:line="240" w:lineRule="auto" w:after="0"/>
            </w:pPr>
            <w:r/>
            <w:r>
              <w:rPr>
                <w:rFonts w:ascii="Times New Roman" w:hAnsi="Times New Roman" w:cs="Times New Roman" w:eastAsia="바탕"/>
                <w:b w:val="0"/>
                <w:i w:val="0"/>
                <w:sz w:val="22"/>
              </w:rPr>
              <w:t>Cao &amp; Kang 2021 ▲</w:t>
            </w:r>
          </w:p>
        </w:tc>
        <w:tc>
          <w:tcPr>
            <w:tcW w:type="dxa" w:w="974"/>
          </w:tcPr>
          <w:p>
            <w:pPr>
              <w:spacing w:line="240" w:lineRule="auto" w:after="0"/>
            </w:pPr>
            <w:r/>
            <w:r>
              <w:rPr>
                <w:rFonts w:ascii="Times New Roman" w:hAnsi="Times New Roman" w:cs="Times New Roman" w:eastAsia="바탕"/>
                <w:b w:val="0"/>
                <w:i w:val="0"/>
                <w:sz w:val="22"/>
              </w:rPr>
              <w:t>United Kingdom</w:t>
            </w:r>
          </w:p>
        </w:tc>
        <w:tc>
          <w:tcPr>
            <w:tcW w:type="dxa" w:w="974"/>
          </w:tcPr>
          <w:p>
            <w:pPr>
              <w:spacing w:line="240" w:lineRule="auto" w:after="0"/>
            </w:pPr>
            <w:r/>
            <w:r>
              <w:rPr>
                <w:rFonts w:ascii="Times New Roman" w:hAnsi="Times New Roman" w:cs="Times New Roman" w:eastAsia="바탕"/>
                <w:b w:val="0"/>
                <w:i w:val="0"/>
                <w:sz w:val="22"/>
              </w:rPr>
              <w:t>square</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companionship with sound noticing</w:t>
            </w:r>
          </w:p>
        </w:tc>
        <w:tc>
          <w:tcPr>
            <w:tcW w:type="dxa" w:w="974"/>
          </w:tcPr>
          <w:p>
            <w:pPr>
              <w:spacing w:line="240" w:lineRule="auto" w:after="0"/>
            </w:pPr>
            <w:r/>
            <w:r>
              <w:rPr>
                <w:rFonts w:ascii="Times New Roman" w:hAnsi="Times New Roman" w:cs="Times New Roman" w:eastAsia="바탕"/>
                <w:b w:val="0"/>
                <w:i w:val="0"/>
                <w:sz w:val="22"/>
              </w:rPr>
              <w:t>301</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+0.16 [+0.05, +0.27]</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532120" cy="6584130"/>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532120" cy="658413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perception–behaviour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추정치의 부호는 모두 이론적 기대와 일치했다(Fig. 4). 소음이 큰 조건은 더 빠른 보행과, 긍정적 소리는 더 긴 체류와, 더 조용하거나 자연음이 있는 조건은 더 많은 사회적 상호작용과 연관됐고, 평가는 행태와 중간 강도로 공변했다.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 [33]의 가로 보도 현장실험(실험 2)에서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 [26]는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 [34]을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Chen 등 [35]을 빼면 +0.775(</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Moser [26]를 빼면 +0.803(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Mathews와 Canon [33]을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 .484)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92.0%). 순방향과 역방향 경로, 지각 지표와 객관적 음향 지표(LAeq), 그리고 여러 행태 결과를 한 풀에 섞고 있으므로 예상된 결과다. 이 클러스터가 말해 주는 것은 "지각과 행태가 대체로 함께 움직인다"는 정도이고, 어떤 지각이 어떤 행태와 얼마나 움직이는지는 말해 주지 않는다. 따라서 이 클러스터는 개입 효과가 아니라 </w:t>
      </w:r>
      <w:r>
        <w:rPr>
          <w:rFonts w:ascii="Times New Roman" w:hAnsi="Times New Roman" w:cs="Times New Roman" w:eastAsia="바탕"/>
          <w:b/>
          <w:i w:val="0"/>
          <w:sz w:val="24"/>
        </w:rPr>
        <w:t>연관적 증거 기반(associative evidence base)</w:t>
      </w:r>
      <w:r>
        <w:rPr>
          <w:rFonts w:ascii="Times New Roman" w:hAnsi="Times New Roman" w:cs="Times New Roman" w:eastAsia="바탕"/>
          <w:b w:val="0"/>
          <w:i w:val="0"/>
          <w:sz w:val="24"/>
        </w:rPr>
        <w:t>으로 해석해야 한다.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낼 것이라고 확립하지는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6으로 사전 지정한 문턱(</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10)에 미달해 깔때기 그림도 Egger 검정도 수행하지 않았고, 소규모 연구 효과는 탐지도 배제도 되지 않는다.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조작했고[36], 하나는 소음 대 속도를 직접 검정하지 않았으며[37], 하나는 헤드폰으로 전달된 증강 발소리를 다뤘다[38]. </w:t>
      </w:r>
      <w:r>
        <w:rPr>
          <w:rFonts w:ascii="Times New Roman" w:hAnsi="Times New Roman" w:cs="Times New Roman" w:eastAsia="바탕"/>
          <w:b/>
          <w:i w:val="0"/>
          <w:sz w:val="24"/>
        </w:rPr>
        <w:t>소음이 큰 조건에서 더 빨리 걷는다는, 이 문헌에서 널리 인용되는 연관이 그 안에서 가장 불안정한 근거 위에 서 있다.</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532120" cy="2405536"/>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여부는 무엇을 알아차리는지와 연관된다. 이 연구들은 소리를 노출로 놓는 지배적 프레임에는 들어맞지 않지만 계획 실무의 관점에서는 오히려 더 직접적이다. 설계자가 배치하는 것에는 소음원만이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 xml:space="preserve"> 자체가 포함되기 때문이다. 단방향 프레임은 이 문헌이 측정한 것의 상당 부분(방향성 레코드의 40%)을 놓치게 된다.</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532120" cy="241167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삼각검증(triangulation) 기반이 넓어지고 있다</w:t>
      </w:r>
      <w:r>
        <w:rPr>
          <w:rFonts w:ascii="Times New Roman" w:hAnsi="Times New Roman" w:cs="Times New Roman" w:eastAsia="바탕"/>
          <w:b w:val="0"/>
          <w:i w:val="0"/>
          <w:sz w:val="24"/>
        </w:rPr>
        <w:t xml:space="preserve">는 것이다. 두 세대 이상을 병용한 연구는 2010년대 5편에서 2020년 이후 17편으로 늘었다.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음원 하나를 빼면 모두 채워져 있다(Fig. 7).</w:t>
      </w:r>
    </w:p>
    <w:p>
      <w:pPr>
        <w:spacing w:line="240" w:lineRule="auto" w:before="200" w:after="80"/>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532120" cy="2497585"/>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이다. 다섯 도메인 중 셋(이동·체류·사회적 행태)이 비어 있고, 채워진 두 칸도 2편에서 나온 도메인 수준 레코드 4건이 전부다. 이것은 단순히 우연한 공백으로 보기 어렵다. 항공기 소음은 환경소음 연구에서 축적이 두터운 주제다. 세계보건기구 유럽지역 환경소음 지침을 뒷받침한 체계적 문헌고찰만 보아도 짜증도(annoyance)[39]와 수면[40]에서 항공기 소음은 별도의 종합 대상이 될 만큼 연구가 모여 있고, 건강 영향 전반에서도 사정은 다르지 않다[6]. 그런데 </w:t>
      </w:r>
      <w:r>
        <w:rPr>
          <w:rFonts w:ascii="Times New Roman" w:hAnsi="Times New Roman" w:cs="Times New Roman" w:eastAsia="바탕"/>
          <w:b/>
          <w:i w:val="0"/>
          <w:sz w:val="24"/>
        </w:rPr>
        <w:t>공항 주변 옥외공간에서 사람들이 무엇을 하는지를 측정한 연구는 우리 적격성 기준 안에서 그 2편이 전부였다.</w:t>
      </w:r>
      <w:r>
        <w:rPr>
          <w:rFonts w:ascii="Times New Roman" w:hAnsi="Times New Roman" w:cs="Times New Roman" w:eastAsia="바탕"/>
          <w:b w:val="0"/>
          <w:i w:val="0"/>
          <w:sz w:val="24"/>
        </w:rPr>
        <w:t xml:space="preserve"> 주거 소음 노출과 비특정 신체활동을 결합한 연구를 배제한 경계 규칙(§2.4)이 이 공백의 일부를 만들었을 수 있다. 그럼에도 소음 노출이 가장 심한 곳의 행태 증거가 가장 얇다는 것은 이 분야가 건강·짜증도 중심의 프레임에 머물러 왔음을 시사한다.</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reciprocal evidence framework for soundscape and behaviour</w:t>
      </w:r>
    </w:p>
    <w:p>
      <w:pPr>
        <w:spacing w:after="0" w:before="0"/>
        <w:ind w:firstLine="288"/>
      </w:pPr>
      <w:r>
        <w:rPr>
          <w:rFonts w:ascii="Times New Roman" w:hAnsi="Times New Roman" w:cs="Times New Roman" w:eastAsia="바탕"/>
          <w:b w:val="0"/>
          <w:i w:val="0"/>
          <w:sz w:val="24"/>
        </w:rPr>
        <w:t xml:space="preserve">본 리뷰가 제시하는 개념 틀(Fig. 8)을 닫힌 인과 피드백 고리(closed causal feedback loop)의 증명이 아니라 </w:t>
      </w:r>
      <w:r>
        <w:rPr>
          <w:rFonts w:ascii="Times New Roman" w:hAnsi="Times New Roman" w:cs="Times New Roman" w:eastAsia="바탕"/>
          <w:b/>
          <w:i w:val="0"/>
          <w:sz w:val="24"/>
        </w:rPr>
        <w:t>상호적 증거 프레임워크(reciprocal evidence framework)</w:t>
      </w:r>
      <w:r>
        <w:rPr>
          <w:rFonts w:ascii="Times New Roman" w:hAnsi="Times New Roman" w:cs="Times New Roman" w:eastAsia="바탕"/>
          <w:b w:val="0"/>
          <w:i w:val="0"/>
          <w:sz w:val="24"/>
        </w:rPr>
        <w:t>로 정의한다.</w:t>
      </w:r>
    </w:p>
    <w:p>
      <w:pPr>
        <w:spacing w:line="240" w:lineRule="auto" w:before="200" w:after="80"/>
        <w:jc w:val="center"/>
      </w:pPr>
      <w:r>
        <w:drawing>
          <wp:inline xmlns:a="http://schemas.openxmlformats.org/drawingml/2006/main" xmlns:pic="http://schemas.openxmlformats.org/drawingml/2006/picture">
            <wp:extent cx="5532120" cy="4599773"/>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5532120" cy="459977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pPr>
        <w:spacing w:after="0" w:before="0"/>
        <w:ind w:firstLine="288"/>
      </w:pPr>
      <w:r>
        <w:rPr>
          <w:rFonts w:ascii="Times New Roman" w:hAnsi="Times New Roman" w:cs="Times New Roman" w:eastAsia="바탕"/>
          <w:b w:val="0"/>
          <w:i w:val="0"/>
          <w:sz w:val="24"/>
        </w:rPr>
        <w:t xml:space="preserve">이 틀에는 두 개의 주 경로가 있다.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경로는 음환경에서 사운드스케이프 평가를 거쳐 행태로 향하고,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경로는 활동과 점유에서 소리 발생을 거쳐 다시 음환경으로 향한다. 음환경은 평가를 거치지 않고 행태와 직접 연관될 수도 있다. 세팅 유형, 시각–청각 정합성(visual–acoustic congruence), 체류 목적, 시간적 조건, 사회·문화적 맥락을 포함한 </w:t>
      </w:r>
      <w:r>
        <w:rPr>
          <w:rFonts w:ascii="Times New Roman" w:hAnsi="Times New Roman" w:cs="Times New Roman" w:eastAsia="바탕"/>
          <w:b/>
          <w:i w:val="0"/>
          <w:sz w:val="24"/>
        </w:rPr>
        <w:t>맥락(context)</w:t>
      </w:r>
      <w:r>
        <w:rPr>
          <w:rFonts w:ascii="Times New Roman" w:hAnsi="Times New Roman" w:cs="Times New Roman" w:eastAsia="바탕"/>
          <w:b w:val="0"/>
          <w:i w:val="0"/>
          <w:sz w:val="24"/>
        </w:rPr>
        <w:t xml:space="preserve">은 두 경로 모두를 조절(moderate)할 수 있으며, 이 조절 요인들은 기존 사운드스케이프 연구와 부합한다[9,10,12,13]. 우리가 </w:t>
      </w:r>
      <w:r>
        <w:rPr>
          <w:rFonts w:ascii="Times New Roman" w:hAnsi="Times New Roman" w:cs="Times New Roman" w:eastAsia="바탕"/>
          <w:b/>
          <w:i w:val="0"/>
          <w:sz w:val="24"/>
        </w:rPr>
        <w:t>양방향 증거 구조(bidirectional evidence structure)</w:t>
      </w:r>
      <w:r>
        <w:rPr>
          <w:rFonts w:ascii="Times New Roman" w:hAnsi="Times New Roman" w:cs="Times New Roman" w:eastAsia="바탕"/>
          <w:b w:val="0"/>
          <w:i w:val="0"/>
          <w:sz w:val="24"/>
        </w:rPr>
        <w:t>라는 용어를 의도적으로 쓰는 이유가 여기 있다. 역방향 연구가 존재한다는 사실이 어느 한 세팅 안에서 닫힌 인과 고리가 입증됐다는 뜻은 아니다.</w:t>
      </w:r>
    </w:p>
    <w:p>
      <w:pPr>
        <w:spacing w:after="0" w:before="0"/>
        <w:ind w:firstLine="288"/>
      </w:pPr>
      <w:r>
        <w:rPr>
          <w:rFonts w:ascii="Times New Roman" w:hAnsi="Times New Roman" w:cs="Times New Roman" w:eastAsia="바탕"/>
          <w:b w:val="0"/>
          <w:i w:val="0"/>
          <w:sz w:val="24"/>
        </w:rPr>
        <w:t xml:space="preserve">이 틀은 행태를 단일한 결과(endpoint)가 아니라 이질적인 결과의 집합으로 다룬다. 종합을 위해 우리는 이 결과들을 회피(avoidance), 통과(passing), 체류(staying), 상호작용(interacting), 전유(appropriating)로 이어지는 </w:t>
      </w:r>
      <w:r>
        <w:rPr>
          <w:rFonts w:ascii="Times New Roman" w:hAnsi="Times New Roman" w:cs="Times New Roman" w:eastAsia="바탕"/>
          <w:b/>
          <w:i w:val="0"/>
          <w:sz w:val="24"/>
        </w:rPr>
        <w:t>관여의 경사(engagement gradient)</w:t>
      </w:r>
      <w:r>
        <w:rPr>
          <w:rFonts w:ascii="Times New Roman" w:hAnsi="Times New Roman" w:cs="Times New Roman" w:eastAsia="바탕"/>
          <w:b w:val="0"/>
          <w:i w:val="0"/>
          <w:sz w:val="24"/>
        </w:rPr>
        <w:t xml:space="preserve"> 위에 배열한다. 이 경사는 종합을 위한 장치(synthesis device)이지 검증된 서열 행태 척도(validated ordinal behavioural scale)가 아니다. 정량 증거는 이 경사 위에서 고르지 않다. </w:t>
      </w:r>
      <w:r>
        <w:rPr>
          <w:rFonts w:ascii="Times New Roman" w:hAnsi="Times New Roman" w:cs="Times New Roman" w:eastAsia="바탕"/>
          <w:b/>
          <w:i w:val="0"/>
          <w:sz w:val="24"/>
        </w:rPr>
        <w:t>가장 강한 합성 신호는 사회적 상호작용에서 나타나고, 회피와 전유 양 끝의 증거는 훨씬 얇다.</w:t>
      </w:r>
    </w:p>
    <w:p>
      <w:pPr>
        <w:spacing w:after="0" w:before="0"/>
        <w:ind w:firstLine="288"/>
      </w:pPr>
      <w:r>
        <w:rPr>
          <w:rFonts w:ascii="Times New Roman" w:hAnsi="Times New Roman" w:cs="Times New Roman" w:eastAsia="바탕"/>
          <w:b w:val="0"/>
          <w:i w:val="0"/>
          <w:sz w:val="24"/>
        </w:rPr>
        <w:t xml:space="preserve">따라서 이 프레임워크의 가치는 시각적 단순성보다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 xml:space="preserve"> 기능에 있다. 증거의 상당 부분이 역방향 연구에서 나오는데도 분야는 역사적으로 순방향 경로를 중심으로 조직돼 왔다. 이 틀은 또한 계획과 관련된 행태 결과 가운데 측정이 약한 곳을 드러낸다. 예컨대 전유는 공공공간 설계에서 직관적으로 중요하지만 정량 코퍼스에서는 드물게 나타난다.</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우리는 코퍼스를 열 개의 </w:t>
      </w:r>
      <w:r>
        <w:rPr>
          <w:rFonts w:ascii="Times New Roman" w:hAnsi="Times New Roman" w:cs="Times New Roman" w:eastAsia="바탕"/>
          <w:b/>
          <w:i w:val="0"/>
          <w:sz w:val="24"/>
        </w:rPr>
        <w:t>계획 레버(planning lever)</w:t>
      </w:r>
      <w:r>
        <w:rPr>
          <w:rFonts w:ascii="Times New Roman" w:hAnsi="Times New Roman" w:cs="Times New Roman" w:eastAsia="바탕"/>
          <w:b w:val="0"/>
          <w:i w:val="0"/>
          <w:sz w:val="24"/>
        </w:rPr>
        <w:t>로 옮겼다. 레버란 설계자나 운영자가 실제로 바꿀 수 있는 행동이다. 소음이 높다는 것은 상태이지 레버가 아니며, 환기 설비를 옮기거나 유지관리 일정을 바꾸는 것이 레버다. 이 구분은 관찰적 연관을 보편적 처방으로 바꾸지 않으면서 종합 결과를 계획에서 쓸 수 있게 하려는 것이다.</w:t>
      </w:r>
    </w:p>
    <w:p>
      <w:pPr>
        <w:spacing w:after="0" w:before="0"/>
        <w:ind w:firstLine="288"/>
      </w:pPr>
      <w:r>
        <w:rPr>
          <w:rFonts w:ascii="Times New Roman" w:hAnsi="Times New Roman" w:cs="Times New Roman" w:eastAsia="바탕"/>
          <w:b w:val="0"/>
          <w:i w:val="0"/>
          <w:sz w:val="24"/>
        </w:rPr>
        <w:t xml:space="preserve">각 레버에는 </w:t>
      </w:r>
      <w:r>
        <w:rPr>
          <w:rFonts w:ascii="Times New Roman" w:hAnsi="Times New Roman" w:cs="Times New Roman" w:eastAsia="바탕"/>
          <w:b/>
          <w:i w:val="0"/>
          <w:sz w:val="24"/>
        </w:rPr>
        <w:t>계획 근거 강도(planning evidence strength)</w:t>
      </w:r>
      <w:r>
        <w:rPr>
          <w:rFonts w:ascii="Times New Roman" w:hAnsi="Times New Roman" w:cs="Times New Roman" w:eastAsia="바탕"/>
          <w:b w:val="0"/>
          <w:i w:val="0"/>
          <w:sz w:val="24"/>
        </w:rPr>
        <w:t>를 붙였다. 이는 기여 연구 수, 그 연구들의 MMAT 구성, 합성 구간이 0을 배제하는지, 세팅의 다양성, 분석 결정에 대한 민감도를 바탕으로 한 실용적 종합 판단이며, GRADE 같은 검증된 증거 확실성(certainty-of-evidence) 체계가 아니다.</w:t>
      </w:r>
    </w:p>
    <w:p>
      <w:pPr>
        <w:spacing w:line="240" w:lineRule="auto" w:after="80" w:before="160"/>
      </w:pPr>
      <w:r>
        <w:rPr>
          <w:rFonts w:ascii="Times New Roman" w:hAnsi="Times New Roman" w:cs="Times New Roman" w:eastAsia="바탕"/>
          <w:b/>
          <w:i w:val="0"/>
          <w:sz w:val="22"/>
        </w:rPr>
        <w:t>Table 4.</w:t>
      </w:r>
      <w:r>
        <w:rPr>
          <w:rFonts w:ascii="Times New Roman" w:hAnsi="Times New Roman" w:cs="Times New Roman" w:eastAsia="바탕"/>
          <w:b w:val="0"/>
          <w:i w:val="0"/>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w:t>
      </w:r>
      <w:r>
        <w:rPr>
          <w:rFonts w:ascii="Times New Roman" w:hAnsi="Times New Roman" w:cs="Times New Roman" w:eastAsia="바탕"/>
          <w:b/>
          <w:i w:val="0"/>
          <w:sz w:val="22"/>
        </w:rPr>
        <w:t>No lever reaches high strength.</w:t>
      </w:r>
      <w:r>
        <w:rPr>
          <w:rFonts w:ascii="Times New Roman" w:hAnsi="Times New Roman" w:cs="Times New Roman" w:eastAsia="바탕"/>
          <w:b w:val="0"/>
          <w:i w:val="0"/>
          <w:sz w:val="22"/>
        </w:rPr>
        <w:t xml:space="preserve"> “Mixed” indicates that contributing studies differ in direction or that the behavioural implication remains context-dependent. Full study-level evidence and caveats are provided in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Planning action</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Evidence 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Planning evidence strength</w:t>
            </w:r>
          </w:p>
        </w:tc>
      </w:tr>
      <w:tr>
        <w:tc>
          <w:tcPr>
            <w:tcW w:type="dxa" w:w="1253"/>
          </w:tcPr>
          <w:p>
            <w:pPr>
              <w:spacing w:line="240" w:lineRule="auto" w:after="0"/>
            </w:pPr>
            <w:r/>
            <w:r>
              <w:rPr>
                <w:rFonts w:ascii="Times New Roman" w:hAnsi="Times New Roman" w:cs="Times New Roman" w:eastAsia="바탕"/>
                <w:b/>
                <w:i w:val="0"/>
                <w:sz w:val="22"/>
              </w:rPr>
              <w:t>L1</w:t>
            </w:r>
          </w:p>
        </w:tc>
        <w:tc>
          <w:tcPr>
            <w:tcW w:type="dxa" w:w="1253"/>
          </w:tcPr>
          <w:p>
            <w:pPr>
              <w:spacing w:line="240" w:lineRule="auto" w:after="0"/>
            </w:pPr>
            <w:r/>
            <w:r>
              <w:rPr>
                <w:rFonts w:ascii="Times New Roman" w:hAnsi="Times New Roman" w:cs="Times New Roman" w:eastAsia="바탕"/>
                <w:b w:val="0"/>
                <w:i w:val="0"/>
                <w:sz w:val="22"/>
              </w:rPr>
              <w:t>Programme music in public space</w:t>
            </w:r>
          </w:p>
        </w:tc>
        <w:tc>
          <w:tcPr>
            <w:tcW w:type="dxa" w:w="1253"/>
          </w:tcPr>
          <w:p>
            <w:pPr>
              <w:spacing w:line="240" w:lineRule="auto" w:after="0"/>
            </w:pPr>
            <w:r/>
            <w:r>
              <w:rPr>
                <w:rFonts w:ascii="Times New Roman" w:hAnsi="Times New Roman" w:cs="Times New Roman" w:eastAsia="바탕"/>
                <w:b w:val="0"/>
                <w:i w:val="0"/>
                <w:sz w:val="22"/>
              </w:rPr>
              <w:t>May increase dwell time and approach to or engagement with the sound source; evidence for increasing visitor numbers is weaker</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moderate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p>
        </w:tc>
        <w:tc>
          <w:tcPr>
            <w:tcW w:type="dxa" w:w="1253"/>
          </w:tcPr>
          <w:p>
            <w:pPr>
              <w:spacing w:line="240" w:lineRule="auto" w:after="0"/>
            </w:pPr>
            <w:r/>
            <w:r>
              <w:rPr>
                <w:rFonts w:ascii="Times New Roman" w:hAnsi="Times New Roman" w:cs="Times New Roman" w:eastAsia="바탕"/>
                <w:b w:val="0"/>
                <w:i w:val="0"/>
                <w:sz w:val="22"/>
              </w:rPr>
              <w:t>Provide or enhance natural sounds (e.g., water, birdsong)</w:t>
            </w:r>
          </w:p>
        </w:tc>
        <w:tc>
          <w:tcPr>
            <w:tcW w:type="dxa" w:w="1253"/>
          </w:tcPr>
          <w:p>
            <w:pPr>
              <w:spacing w:line="240" w:lineRule="auto" w:after="0"/>
            </w:pPr>
            <w:r/>
            <w:r>
              <w:rPr>
                <w:rFonts w:ascii="Times New Roman" w:hAnsi="Times New Roman" w:cs="Times New Roman" w:eastAsia="바탕"/>
                <w:b w:val="0"/>
                <w:i w:val="0"/>
                <w:sz w:val="22"/>
              </w:rPr>
              <w:t>Associated with greater social interaction and staying; independent contributions of natural sound and competing-noise removal remain unresolved</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moderate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p>
        </w:tc>
        <w:tc>
          <w:tcPr>
            <w:tcW w:type="dxa" w:w="1253"/>
          </w:tcPr>
          <w:p>
            <w:pPr>
              <w:spacing w:line="240" w:lineRule="auto" w:after="0"/>
            </w:pPr>
            <w:r/>
            <w:r>
              <w:rPr>
                <w:rFonts w:ascii="Times New Roman" w:hAnsi="Times New Roman" w:cs="Times New Roman" w:eastAsia="바탕"/>
                <w:b w:val="0"/>
                <w:i w:val="0"/>
                <w:sz w:val="22"/>
              </w:rPr>
              <w:t>Provide quieter routes for walking and cycling</w:t>
            </w:r>
          </w:p>
        </w:tc>
        <w:tc>
          <w:tcPr>
            <w:tcW w:type="dxa" w:w="1253"/>
          </w:tcPr>
          <w:p>
            <w:pPr>
              <w:spacing w:line="240" w:lineRule="auto" w:after="0"/>
            </w:pPr>
            <w:r/>
            <w:r>
              <w:rPr>
                <w:rFonts w:ascii="Times New Roman" w:hAnsi="Times New Roman" w:cs="Times New Roman" w:eastAsia="바탕"/>
                <w:b w:val="0"/>
                <w:i w:val="0"/>
                <w:sz w:val="22"/>
              </w:rPr>
              <w:t>May influence route choice and the spatial distribution of movement by allowing users to avoid noisier alignments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moderate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p>
        </w:tc>
        <w:tc>
          <w:tcPr>
            <w:tcW w:type="dxa" w:w="1253"/>
          </w:tcPr>
          <w:p>
            <w:pPr>
              <w:spacing w:line="240" w:lineRule="auto" w:after="0"/>
            </w:pPr>
            <w:r/>
            <w:r>
              <w:rPr>
                <w:rFonts w:ascii="Times New Roman" w:hAnsi="Times New Roman" w:cs="Times New Roman" w:eastAsia="바탕"/>
                <w:b w:val="0"/>
                <w:i w:val="0"/>
                <w:sz w:val="22"/>
              </w:rPr>
              <w:t>Remove, relocate, or reschedule mechanical and maintenance noise</w:t>
            </w:r>
          </w:p>
        </w:tc>
        <w:tc>
          <w:tcPr>
            <w:tcW w:type="dxa" w:w="1253"/>
          </w:tcPr>
          <w:p>
            <w:pPr>
              <w:spacing w:line="240" w:lineRule="auto" w:after="0"/>
            </w:pPr>
            <w:r/>
            <w:r>
              <w:rPr>
                <w:rFonts w:ascii="Times New Roman" w:hAnsi="Times New Roman" w:cs="Times New Roman" w:eastAsia="바탕"/>
                <w:b w:val="0"/>
                <w:i w:val="0"/>
                <w:sz w:val="22"/>
              </w:rPr>
              <w:t>May reduce avoidance and support staying and social interaction in intended social spaces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moderate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p>
        </w:tc>
        <w:tc>
          <w:tcPr>
            <w:tcW w:type="dxa" w:w="1253"/>
          </w:tcPr>
          <w:p>
            <w:pPr>
              <w:spacing w:line="240" w:lineRule="auto" w:after="0"/>
            </w:pPr>
            <w:r/>
            <w:r>
              <w:rPr>
                <w:rFonts w:ascii="Times New Roman" w:hAnsi="Times New Roman" w:cs="Times New Roman" w:eastAsia="바탕"/>
                <w:b w:val="0"/>
                <w:i w:val="0"/>
                <w:sz w:val="22"/>
              </w:rPr>
              <w:t>Provide quieter sides or designated quiet zones</w:t>
            </w:r>
          </w:p>
        </w:tc>
        <w:tc>
          <w:tcPr>
            <w:tcW w:type="dxa" w:w="1253"/>
          </w:tcPr>
          <w:p>
            <w:pPr>
              <w:spacing w:line="240" w:lineRule="auto" w:after="0"/>
            </w:pPr>
            <w:r/>
            <w:r>
              <w:rPr>
                <w:rFonts w:ascii="Times New Roman" w:hAnsi="Times New Roman" w:cs="Times New Roman" w:eastAsia="바탕"/>
                <w:b w:val="0"/>
                <w:i w:val="0"/>
                <w:sz w:val="22"/>
              </w:rPr>
              <w:t>May support walking, exercise, rest, and staying where acoustic conditions are otherwise constraining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moderate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p>
        </w:tc>
        <w:tc>
          <w:tcPr>
            <w:tcW w:type="dxa" w:w="1253"/>
          </w:tcPr>
          <w:p>
            <w:pPr>
              <w:spacing w:line="240" w:lineRule="auto" w:after="0"/>
            </w:pPr>
            <w:r/>
            <w:r>
              <w:rPr>
                <w:rFonts w:ascii="Times New Roman" w:hAnsi="Times New Roman" w:cs="Times New Roman" w:eastAsia="바탕"/>
                <w:b w:val="0"/>
                <w:i w:val="0"/>
                <w:sz w:val="22"/>
              </w:rPr>
              <w:t>Use acoustic zoning and spatial separation of functions</w:t>
            </w:r>
          </w:p>
        </w:tc>
        <w:tc>
          <w:tcPr>
            <w:tcW w:type="dxa" w:w="1253"/>
          </w:tcPr>
          <w:p>
            <w:pPr>
              <w:spacing w:line="240" w:lineRule="auto" w:after="0"/>
            </w:pPr>
            <w:r/>
            <w:r>
              <w:rPr>
                <w:rFonts w:ascii="Times New Roman" w:hAnsi="Times New Roman" w:cs="Times New Roman" w:eastAsia="바탕"/>
                <w:b w:val="0"/>
                <w:i w:val="0"/>
                <w:sz w:val="22"/>
              </w:rPr>
              <w:t>May redistribute crowd density, interaction, and staying across adjacent activity areas</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moderate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p>
        </w:tc>
        <w:tc>
          <w:tcPr>
            <w:tcW w:type="dxa" w:w="1253"/>
          </w:tcPr>
          <w:p>
            <w:pPr>
              <w:spacing w:line="240" w:lineRule="auto" w:after="0"/>
            </w:pPr>
            <w:r/>
            <w:r>
              <w:rPr>
                <w:rFonts w:ascii="Times New Roman" w:hAnsi="Times New Roman" w:cs="Times New Roman" w:eastAsia="바탕"/>
                <w:b w:val="0"/>
                <w:i w:val="0"/>
                <w:sz w:val="22"/>
              </w:rPr>
              <w:t>Programme sound-generating public activities</w:t>
            </w:r>
          </w:p>
        </w:tc>
        <w:tc>
          <w:tcPr>
            <w:tcW w:type="dxa" w:w="1253"/>
          </w:tcPr>
          <w:p>
            <w:pPr>
              <w:spacing w:line="240" w:lineRule="auto" w:after="0"/>
            </w:pPr>
            <w:r/>
            <w:r>
              <w:rPr>
                <w:rFonts w:ascii="Times New Roman" w:hAnsi="Times New Roman" w:cs="Times New Roman" w:eastAsia="바탕"/>
                <w:b w:val="0"/>
                <w:i w:val="0"/>
                <w:sz w:val="22"/>
              </w:rPr>
              <w:t>May convert passage into watching, lingering, and social interaction; evidence for increasing overall visitor numbers is insufficient</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moderate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p>
        </w:tc>
        <w:tc>
          <w:tcPr>
            <w:tcW w:type="dxa" w:w="1253"/>
          </w:tcPr>
          <w:p>
            <w:pPr>
              <w:spacing w:line="240" w:lineRule="auto" w:after="0"/>
            </w:pPr>
            <w:r/>
            <w:r>
              <w:rPr>
                <w:rFonts w:ascii="Times New Roman" w:hAnsi="Times New Roman" w:cs="Times New Roman" w:eastAsia="바탕"/>
                <w:b w:val="0"/>
                <w:i w:val="0"/>
                <w:sz w:val="22"/>
              </w:rPr>
              <w:t>Use auditory guidance and warning signals where appropriate</w:t>
            </w:r>
          </w:p>
        </w:tc>
        <w:tc>
          <w:tcPr>
            <w:tcW w:type="dxa" w:w="1253"/>
          </w:tcPr>
          <w:p>
            <w:pPr>
              <w:spacing w:line="240" w:lineRule="auto" w:after="0"/>
            </w:pPr>
            <w:r/>
            <w:r>
              <w:rPr>
                <w:rFonts w:ascii="Times New Roman" w:hAnsi="Times New Roman" w:cs="Times New Roman" w:eastAsia="바탕"/>
                <w:b w:val="0"/>
                <w:i w:val="0"/>
                <w:sz w:val="22"/>
              </w:rPr>
              <w:t>May modify crossing trajectories, detection timing, and movement responses</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moderate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p>
        </w:tc>
        <w:tc>
          <w:tcPr>
            <w:tcW w:type="dxa" w:w="1253"/>
          </w:tcPr>
          <w:p>
            <w:pPr>
              <w:spacing w:line="240" w:lineRule="auto" w:after="0"/>
            </w:pPr>
            <w:r/>
            <w:r>
              <w:rPr>
                <w:rFonts w:ascii="Times New Roman" w:hAnsi="Times New Roman" w:cs="Times New Roman" w:eastAsia="바탕"/>
                <w:b w:val="0"/>
                <w:i w:val="0"/>
                <w:sz w:val="22"/>
              </w:rPr>
              <w:t>Treat natural sound as a potential modifier of pedestrian pace</w:t>
            </w:r>
          </w:p>
        </w:tc>
        <w:tc>
          <w:tcPr>
            <w:tcW w:type="dxa" w:w="1253"/>
          </w:tcPr>
          <w:p>
            <w:pPr>
              <w:spacing w:line="240" w:lineRule="auto" w:after="0"/>
            </w:pPr>
            <w:r/>
            <w:r>
              <w:rPr>
                <w:rFonts w:ascii="Times New Roman" w:hAnsi="Times New Roman" w:cs="Times New Roman" w:eastAsia="바탕"/>
                <w:b w:val="0"/>
                <w:i w:val="0"/>
                <w:sz w:val="22"/>
              </w:rPr>
              <w:t>Existing evidence is insufficient to justify designing specifically to slow pedestrian movement through natural sound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p>
        </w:tc>
        <w:tc>
          <w:tcPr>
            <w:tcW w:type="dxa" w:w="1253"/>
          </w:tcPr>
          <w:p>
            <w:pPr>
              <w:spacing w:line="240" w:lineRule="auto" w:after="0"/>
            </w:pPr>
            <w:r/>
            <w:r>
              <w:rPr>
                <w:rFonts w:ascii="Times New Roman" w:hAnsi="Times New Roman" w:cs="Times New Roman" w:eastAsia="바탕"/>
                <w:b w:val="0"/>
                <w:i w:val="0"/>
                <w:sz w:val="22"/>
              </w:rPr>
              <w:t>Use speech-interference considerations when locating social spaces</w:t>
            </w:r>
          </w:p>
        </w:tc>
        <w:tc>
          <w:tcPr>
            <w:tcW w:type="dxa" w:w="1253"/>
          </w:tcPr>
          <w:p>
            <w:pPr>
              <w:spacing w:line="240" w:lineRule="auto" w:after="0"/>
            </w:pPr>
            <w:r/>
            <w:r>
              <w:rPr>
                <w:rFonts w:ascii="Times New Roman" w:hAnsi="Times New Roman" w:cs="Times New Roman" w:eastAsia="바탕"/>
                <w:b w:val="0"/>
                <w:i w:val="0"/>
                <w:sz w:val="22"/>
              </w:rPr>
              <w:t>Lower acoustic interference may support conversational interaction and reduce vocal effort</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moderate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strength levels.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may be included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test as a hypothesis and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no prescriptive basis at present.</w:t>
      </w:r>
    </w:p>
    <w:p>
      <w:pPr>
        <w:spacing w:after="0" w:before="0"/>
        <w:ind w:firstLine="288"/>
      </w:pPr>
      <w:r>
        <w:rPr>
          <w:rFonts w:ascii="Times New Roman" w:hAnsi="Times New Roman" w:cs="Times New Roman" w:eastAsia="바탕"/>
          <w:b/>
          <w:i w:val="0"/>
          <w:sz w:val="24"/>
        </w:rPr>
        <w:t>high 계획 근거 강도에 도달한 레버는 하나도 없다.</w:t>
      </w:r>
      <w:r>
        <w:rPr>
          <w:rFonts w:ascii="Times New Roman" w:hAnsi="Times New Roman" w:cs="Times New Roman" w:eastAsia="바탕"/>
          <w:b w:val="0"/>
          <w:i w:val="0"/>
          <w:sz w:val="24"/>
        </w:rPr>
        <w:t xml:space="preserve"> 넷이 moderate(음악 프로그래밍, 자연음 제공, 정온 경로 제공, 기계·유지관리 소음 통제)이고 다섯이 low, 하나가 very low다. 이 분포 자체가 실무에 주는 핵심 발견이다. </w:t>
      </w:r>
      <w:r>
        <w:rPr>
          <w:rFonts w:ascii="Times New Roman" w:hAnsi="Times New Roman" w:cs="Times New Roman" w:eastAsia="바탕"/>
          <w:b/>
          <w:i w:val="0"/>
          <w:sz w:val="24"/>
        </w:rPr>
        <w:t>현재의 증거는 보편적 기준이 아니라 모니터링을 동반한 설계 가설을 지지한다.</w:t>
      </w:r>
    </w:p>
    <w:p>
      <w:pPr>
        <w:spacing w:after="0" w:before="0"/>
        <w:ind w:firstLine="288"/>
      </w:pPr>
      <w:r>
        <w:rPr>
          <w:rFonts w:ascii="Times New Roman" w:hAnsi="Times New Roman" w:cs="Times New Roman" w:eastAsia="바탕"/>
          <w:b w:val="0"/>
          <w:i w:val="0"/>
          <w:sz w:val="24"/>
        </w:rPr>
        <w:t>등급보다 중요한 귀속(attribution) 판단이 둘 있다. 둘 다 그럴듯하지만 우리 자료가 지지하지 않는 해석을 막는 것이다.</w:t>
      </w:r>
    </w:p>
    <w:p>
      <w:pPr>
        <w:spacing w:after="0" w:before="0"/>
        <w:ind w:firstLine="288"/>
      </w:pPr>
      <w:r>
        <w:rPr>
          <w:rFonts w:ascii="Times New Roman" w:hAnsi="Times New Roman" w:cs="Times New Roman" w:eastAsia="바탕"/>
          <w:b/>
          <w:i w:val="0"/>
          <w:sz w:val="24"/>
        </w:rPr>
        <w:t>첫째, 유의한 사회적 상호작용 클러스터를 자연음을 더한 효과로만, 또는 소음을 없앤 효과로만 귀속해서는 안 된다.</w:t>
      </w:r>
      <w:r>
        <w:rPr>
          <w:rFonts w:ascii="Times New Roman" w:hAnsi="Times New Roman" w:cs="Times New Roman" w:eastAsia="바탕"/>
          <w:b w:val="0"/>
          <w:i w:val="0"/>
          <w:sz w:val="24"/>
        </w:rPr>
        <w:t xml:space="preserve"> 자연음 연구들은 대개 새소리나 물소리를 교통·공사 소음과 대비하므로 자연음의 추가와 경쟁 소음의 제거가 교락(confounded)돼 있다. 네 효과를 노출로 나누면 평균이 거의 같고(자연음 +0.76, 기계음 +0.75), 도로공사 연구를 빼면 합성 추정치가 낮아지지 않고 오히려 올라간다(+0.68 → +0.80). </w:t>
      </w:r>
      <w:r>
        <w:rPr>
          <w:rFonts w:ascii="Times New Roman" w:hAnsi="Times New Roman" w:cs="Times New Roman" w:eastAsia="바탕"/>
          <w:b/>
          <w:i w:val="0"/>
          <w:sz w:val="24"/>
        </w:rPr>
        <w:t>코퍼스에는 자연음을 그 밖의 조건이 비교 가능한 정온 조건과 대비한 연구가 없다.</w:t>
      </w:r>
      <w:r>
        <w:rPr>
          <w:rFonts w:ascii="Times New Roman" w:hAnsi="Times New Roman" w:cs="Times New Roman" w:eastAsia="바탕"/>
          <w:b w:val="0"/>
          <w:i w:val="0"/>
          <w:sz w:val="24"/>
        </w:rPr>
        <w:t xml:space="preserve"> 따라서 방어 가능한 결론은 더 좁다. 더 조용하거나 자연음이 있는 조건은 더 많은 사회적 상호작용과 연관되지만, 자연음의 독립적 기여는 해결되지 않은 채 남는다. 또한 이 클러스터를 유의 문턱 너머로 밀어올린 증분은 인용 검색으로 회수한 기계음 실험 한 편에서 왔다.</w:t>
      </w:r>
    </w:p>
    <w:p>
      <w:pPr>
        <w:spacing w:after="0" w:before="0"/>
        <w:ind w:firstLine="288"/>
      </w:pPr>
      <w:r>
        <w:rPr>
          <w:rFonts w:ascii="Times New Roman" w:hAnsi="Times New Roman" w:cs="Times New Roman" w:eastAsia="바탕"/>
          <w:b/>
          <w:i w:val="0"/>
          <w:sz w:val="24"/>
        </w:rPr>
        <w:t>둘째, 보행속도 증거는 합성 라벨이 시사하는 것보다 좁다.</w:t>
      </w:r>
      <w:r>
        <w:rPr>
          <w:rFonts w:ascii="Times New Roman" w:hAnsi="Times New Roman" w:cs="Times New Roman" w:eastAsia="바탕"/>
          <w:b w:val="0"/>
          <w:i w:val="0"/>
          <w:sz w:val="24"/>
        </w:rPr>
        <w:t xml:space="preserve"> 기여 효과의 대부분은 공공공간의 음환경이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전달한 오디오를 조작했다. 헤드폰 청취는 배경음 차폐, 개인의 통제, 주의 배분에서 환경음과 다르다. 기여 연구는 또한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 xml:space="preserve">에 집중돼 있다. 풀에 들어간 세 효과 중 둘이 같은 체코 연구진에서 나왔고[41,42], 인용 추적으로 추가된 고품질 보행 논문 두 편[36,37]도 같은 연구진이 같은 1.75–1.8 km 순환 경로에서 수행한 것이다. 남은 하나의 효과는 부호가 반대인 알제리 현장 관찰이다[43]. 따라서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를 환경소음이 더 빠른 보행을 일으킨다는 반복된 독립적 확인으로 해석해서는 안 된다.</w:t>
      </w:r>
    </w:p>
    <w:p>
      <w:pPr>
        <w:spacing w:after="0" w:before="0"/>
        <w:ind w:firstLine="288"/>
      </w:pPr>
      <w:r>
        <w:rPr>
          <w:rFonts w:ascii="Times New Roman" w:hAnsi="Times New Roman" w:cs="Times New Roman" w:eastAsia="바탕"/>
          <w:b w:val="0"/>
          <w:i w:val="0"/>
          <w:sz w:val="24"/>
        </w:rPr>
        <w:t xml:space="preserve">보행속도 풀 바깥에서 실제 가로의 소음을 조작하며 군중 행태를 관찰한 연구가 한 편 있다. Ba 등 [44]은 교통소음 55.6 dB(A)와 70.5 dB(A) 조건에서 평균 군중 속도가 각각 약 1.14 m/s와 1.21 m/s로, </w:t>
      </w:r>
      <w:r>
        <w:rPr>
          <w:rFonts w:ascii="Times New Roman" w:hAnsi="Times New Roman" w:cs="Times New Roman" w:eastAsia="바탕"/>
          <w:b/>
          <w:i w:val="0"/>
          <w:sz w:val="24"/>
        </w:rPr>
        <w:t>고소음 조건에서 약 0.07 m/s 빨랐다</w:t>
      </w:r>
      <w:r>
        <w:rPr>
          <w:rFonts w:ascii="Times New Roman" w:hAnsi="Times New Roman" w:cs="Times New Roman" w:eastAsia="바탕"/>
          <w:b w:val="0"/>
          <w:i w:val="0"/>
          <w:sz w:val="24"/>
        </w:rPr>
        <w:t>고 보고했다. 그러나 저자들이 보고한 측정 격자 간 최대 차이도 0.06 m/s였고, 이 연구는 MMAT low로 평가됐다. 이 결과는 합성 추정치와 방향은 일치하지만 일반적 인과 효과를 입증하지 않는다. 따라서 증거는 보행속도를 설계 목표가 아니라 해결되지 않았고 이질성이 매우 큰 결과로 다루는 것을 지지한다.</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rPr>
          <w:rFonts w:ascii="Times New Roman" w:hAnsi="Times New Roman" w:cs="Times New Roman" w:eastAsia="바탕"/>
          <w:b w:val="0"/>
          <w:i w:val="0"/>
          <w:sz w:val="24"/>
        </w:rPr>
        <w:t>Table 4의 실무적 독해는 효과크기보다 방어 가능성을 기준으로 정리하는 것이 적절하다.</w:t>
      </w:r>
    </w:p>
    <w:p>
      <w:pPr>
        <w:spacing w:after="0" w:before="0"/>
        <w:ind w:firstLine="288"/>
      </w:pPr>
      <w:r>
        <w:rPr>
          <w:rFonts w:ascii="Times New Roman" w:hAnsi="Times New Roman" w:cs="Times New Roman" w:eastAsia="바탕"/>
          <w:b/>
          <w:i w:val="0"/>
          <w:sz w:val="24"/>
        </w:rPr>
        <w:t>운영 소음부터 통제하라.</w:t>
      </w:r>
      <w:r>
        <w:rPr>
          <w:rFonts w:ascii="Times New Roman" w:hAnsi="Times New Roman" w:cs="Times New Roman" w:eastAsia="바탕"/>
          <w:b w:val="0"/>
          <w:i w:val="0"/>
          <w:sz w:val="24"/>
        </w:rPr>
        <w:t xml:space="preserve"> 현재 코퍼스에서 가장 분명한 행태적 함의는 기계·유지관리 소음에 노출된 세팅의 사회적 상호작용에 관한 것이며, 낯선 사람에게 건네는 도움 행동도 여기 포함된다. 이 레버는 운영상으로도 매력적이다. 환기 설비 가동 일정, 유지관리 시간, 공사 기간은 공간 전체를 재설계하지 않고도 바꿀 수 있는 경우가 많다. 서로 다른 소음원을 쓴 두 현장실험이 같은 방향을 가리킨다는 점도 있다. 증거는 여전히 제한적이지만 개입의 논리가 구체적이고 검증 가능하다.</w:t>
      </w:r>
    </w:p>
    <w:p>
      <w:pPr>
        <w:spacing w:after="0" w:before="0"/>
        <w:ind w:firstLine="288"/>
      </w:pPr>
      <w:r>
        <w:rPr>
          <w:rFonts w:ascii="Times New Roman" w:hAnsi="Times New Roman" w:cs="Times New Roman" w:eastAsia="바탕"/>
          <w:b/>
          <w:i w:val="0"/>
          <w:sz w:val="24"/>
        </w:rPr>
        <w:t>부가음은 방문객 수를 늘리는 확실한 장치가 아니라 체류와 관여(engagement)를 위한 잠재적 도구로 다뤄라.</w:t>
      </w:r>
      <w:r>
        <w:rPr>
          <w:rFonts w:ascii="Times New Roman" w:hAnsi="Times New Roman" w:cs="Times New Roman" w:eastAsia="바탕"/>
          <w:b w:val="0"/>
          <w:i w:val="0"/>
          <w:sz w:val="24"/>
        </w:rPr>
        <w:t xml:space="preserve"> 음악은 체류나 음원과의 관여를 늘릴 수 있지만, 전체 방문객 수를 늘린다는 증거는 더 약하다. 방문객 수를 정량적으로 검정한 유일한 고품질 연구[45]는 멈춰 서는 인원수에서 효과를 발견하지 못했다. 방문객 수 목표를 정당화하는 데 음향 프로그래밍을 쓰는 것은 증거를 넘어선다.</w:t>
      </w:r>
    </w:p>
    <w:p>
      <w:pPr>
        <w:spacing w:after="0" w:before="0"/>
        <w:ind w:firstLine="288"/>
      </w:pPr>
      <w:r>
        <w:rPr>
          <w:rFonts w:ascii="Times New Roman" w:hAnsi="Times New Roman" w:cs="Times New Roman" w:eastAsia="바탕"/>
          <w:b/>
          <w:i w:val="0"/>
          <w:sz w:val="24"/>
        </w:rPr>
        <w:t>사회적 공간의 입지를 정할 때 회화 간섭(speech interference)을 고려하라(L10).</w:t>
      </w:r>
      <w:r>
        <w:rPr>
          <w:rFonts w:ascii="Times New Roman" w:hAnsi="Times New Roman" w:cs="Times New Roman" w:eastAsia="바탕"/>
          <w:b w:val="0"/>
          <w:i w:val="0"/>
          <w:sz w:val="24"/>
        </w:rPr>
        <w:t xml:space="preserve"> 벤치 군집, 테라스, 만남의 장소처럼 대화를 위한 곳에서 관련된 행태적 질문은 짜증도가 규제 문턱 아래인가가 아니라 </w:t>
      </w:r>
      <w:r>
        <w:rPr>
          <w:rFonts w:ascii="Times New Roman" w:hAnsi="Times New Roman" w:cs="Times New Roman" w:eastAsia="바탕"/>
          <w:b/>
          <w:i w:val="0"/>
          <w:sz w:val="24"/>
        </w:rPr>
        <w:t>대화가 여전히 가능한가</w:t>
      </w:r>
      <w:r>
        <w:rPr>
          <w:rFonts w:ascii="Times New Roman" w:hAnsi="Times New Roman" w:cs="Times New Roman" w:eastAsia="바탕"/>
          <w:b w:val="0"/>
          <w:i w:val="0"/>
          <w:sz w:val="24"/>
        </w:rPr>
        <w:t>다. 기존 증거는 보편적 절단값이 아니라 연속적 관계를 지지한다. 등가소음도가 1 dB 높을수록 자기보고 발성 노력(vocal effort)이 약 0.25점 높은 연관이 보고됐고[46], 4 dB 차이는 같은 척도에서 약 1점에 해당한다. 이 정도의 근거는 후보지 간 비교 선별(comparative site screening)에는 쓸 수 있지만 단일한 처방 기준치를 정당화하지는 못한다.</w:t>
      </w:r>
    </w:p>
    <w:p>
      <w:pPr>
        <w:spacing w:after="0" w:before="0"/>
        <w:ind w:firstLine="288"/>
      </w:pPr>
      <w:r>
        <w:rPr>
          <w:rFonts w:ascii="Times New Roman" w:hAnsi="Times New Roman" w:cs="Times New Roman" w:eastAsia="바탕"/>
          <w:b/>
          <w:i w:val="0"/>
          <w:sz w:val="24"/>
        </w:rPr>
        <w:t>보행속도를 일반적인 설계 성과지표로 쓰지 말고</w:t>
      </w:r>
      <w:r>
        <w:rPr>
          <w:rFonts w:ascii="Times New Roman" w:hAnsi="Times New Roman" w:cs="Times New Roman" w:eastAsia="바탕"/>
          <w:b w:val="0"/>
          <w:i w:val="0"/>
          <w:sz w:val="24"/>
        </w:rPr>
        <w:t>, 헤드폰 기반의 청각–운동(auditory-motor) 연구 결과를 공공공간 음향 개입으로 곧바로 옮기지 말라.</w:t>
      </w:r>
    </w:p>
    <w:p>
      <w:pPr>
        <w:spacing w:after="0" w:before="0"/>
        <w:ind w:firstLine="288"/>
      </w:pPr>
      <w:r>
        <w:rPr>
          <w:rFonts w:ascii="Times New Roman" w:hAnsi="Times New Roman" w:cs="Times New Roman" w:eastAsia="바탕"/>
          <w:b w:val="0"/>
          <w:i w:val="0"/>
          <w:sz w:val="24"/>
        </w:rPr>
        <w:t xml:space="preserve">흔한 처방 두 가지는 행태 코퍼스로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 첫째, 수경시설로 교통소음을 마스킹(masking)해 공공공간 이용을 늘린다는 처방은 포함된 증거 안에서 행태적 개입으로 직접 검정된 적이 없다. 자연음이 지각이나 심리적 결과를 개선한다는 증거[18]가 공간이용의 증가를 입증하는 것은 아니다. 둘째, 소음 저감을 신체활동을 늘리는 보편적 경로로 보는 관점은 가장 큰 관찰 자료로 지지되지 않는다. 활동적인 장소가 음향적으로도 붐비는 경우가 많아 이 자료들은 소음과 활동의 정적 연관을 보일 수 있다[47,48]. 따라서 역인과(reverse causation)와 맥락적 교란(contextual confounding)을 함께 고려해야 한다.</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rPr>
          <w:rFonts w:ascii="Times New Roman" w:hAnsi="Times New Roman" w:cs="Times New Roman" w:eastAsia="바탕"/>
          <w:b/>
          <w:i w:val="0"/>
          <w:sz w:val="24"/>
        </w:rPr>
        <w:t>이 분야는 행태보다 소리를 더 일관되게 측정한다.</w:t>
      </w:r>
      <w:r>
        <w:rPr>
          <w:rFonts w:ascii="Times New Roman" w:hAnsi="Times New Roman" w:cs="Times New Roman" w:eastAsia="바탕"/>
          <w:b w:val="0"/>
          <w:i w:val="0"/>
          <w:sz w:val="24"/>
        </w:rPr>
        <w:t xml:space="preserve"> 가장 분명한 방법론적 약점 중 하나는 어느 한 가지 광범위한 설계 결함이라기보다 불완전한 보고다. 표본 대표성, 무응답, 배정 절차, 분석 단위 같은 중요 항목이 충분히 기술되지 않는 경우가 많으며, 표본 대표성은 대략 다섯 편 중 한 편, 낮은 무응답 편의는 세 편 중 한 편에서만 분명하다. 이는 비교적 적은 비용으로 고칠 수 있는 문제다. 새 장비 없이 보고를 명확히 하는 것만으로 품질평가와 정량 종합이 모두 개선될 수 있다.</w:t>
      </w:r>
    </w:p>
    <w:p>
      <w:pPr>
        <w:spacing w:after="0" w:before="0"/>
        <w:ind w:firstLine="288"/>
      </w:pPr>
      <w:r>
        <w:rPr>
          <w:rFonts w:ascii="Times New Roman" w:hAnsi="Times New Roman" w:cs="Times New Roman" w:eastAsia="바탕"/>
          <w:b/>
          <w:i w:val="0"/>
          <w:sz w:val="24"/>
        </w:rPr>
        <w:t>측정 세대는 서로를 대체하기보다 누적되는 것으로 보인다.</w:t>
      </w:r>
      <w:r>
        <w:rPr>
          <w:rFonts w:ascii="Times New Roman" w:hAnsi="Times New Roman" w:cs="Times New Roman" w:eastAsia="바탕"/>
          <w:b w:val="0"/>
          <w:i w:val="0"/>
          <w:sz w:val="24"/>
        </w:rPr>
        <w:t xml:space="preserve"> 센싱이 가장 빠르게 늘었지만 자기보고와 체계적 관찰도 여전히 쓰이고 있으며, 22편이 두 세대 이상을 결합한다. 향후 연구는 주관적 평가를 관찰 가능한 행태 및 객관적 음향 측정과 짝지어 이 상보성을 활용할 수 있다.</w:t>
      </w:r>
    </w:p>
    <w:p>
      <w:pPr>
        <w:spacing w:after="0" w:before="0"/>
        <w:ind w:firstLine="288"/>
      </w:pPr>
      <w:r>
        <w:rPr>
          <w:rFonts w:ascii="Times New Roman" w:hAnsi="Times New Roman" w:cs="Times New Roman" w:eastAsia="바탕"/>
          <w:b/>
          <w:i w:val="0"/>
          <w:sz w:val="24"/>
        </w:rPr>
        <w:t>증거 종합 자체에 관한 경고 세 가지가 리뷰 과정에서 나왔다.</w:t>
      </w:r>
    </w:p>
    <w:p>
      <w:pPr>
        <w:spacing w:after="0" w:before="0"/>
        <w:ind w:firstLine="288"/>
      </w:pPr>
      <w:r>
        <w:rPr>
          <w:rFonts w:ascii="Times New Roman" w:hAnsi="Times New Roman" w:cs="Times New Roman" w:eastAsia="바탕"/>
          <w:b w:val="0"/>
          <w:i w:val="0"/>
          <w:sz w:val="24"/>
        </w:rPr>
        <w:t xml:space="preserve">첫째, 자동 전문 추출은 보고되지 않은 항목을 "can't tell"로 채점하는 평가 도구와 나쁘게 상호작용할 수 있다. 불완전한 추출이 감사한 16편 중 4편의 품질 분류를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기계 보조 추출을 쓰는 리뷰는 추출 한계를 기록하고 품질평가가 완전한 전문에 기반했는지 확인해야 한다.</w:t>
      </w:r>
    </w:p>
    <w:p>
      <w:pPr>
        <w:spacing w:after="0" w:before="0"/>
        <w:ind w:firstLine="288"/>
      </w:pPr>
      <w:r>
        <w:rPr>
          <w:rFonts w:ascii="Times New Roman" w:hAnsi="Times New Roman" w:cs="Times New Roman" w:eastAsia="바탕"/>
          <w:b w:val="0"/>
          <w:i w:val="0"/>
          <w:sz w:val="24"/>
        </w:rPr>
        <w:t>둘째, 색인 메타데이터가 언어를 잘못 나타낼 수 있다. 보조 색인으로 회수한 전문 5편 중 2편은 영어로 색인돼 있었으나 한국어와 일본어로 쓰여 있었다. 언어 적격성은 메타데이터만이 아니라 출판물 자체로 확인해야 한다.</w:t>
      </w:r>
    </w:p>
    <w:p>
      <w:pPr>
        <w:spacing w:after="0" w:before="0"/>
        <w:ind w:firstLine="288"/>
      </w:pPr>
      <w:r>
        <w:rPr>
          <w:rFonts w:ascii="Times New Roman" w:hAnsi="Times New Roman" w:cs="Times New Roman" w:eastAsia="바탕"/>
          <w:b w:val="0"/>
          <w:i w:val="0"/>
          <w:sz w:val="24"/>
        </w:rPr>
        <w:t xml:space="preserve">셋째, </w:t>
      </w:r>
      <w:r>
        <w:rPr>
          <w:rFonts w:ascii="Times New Roman" w:hAnsi="Times New Roman" w:cs="Times New Roman" w:eastAsia="바탕"/>
          <w:b/>
          <w:i w:val="0"/>
          <w:sz w:val="24"/>
        </w:rPr>
        <w:t>메타분석 코드는 독립적으로 재현 가능해야 한다.</w:t>
      </w:r>
      <w:r>
        <w:rPr>
          <w:rFonts w:ascii="Times New Roman" w:hAnsi="Times New Roman" w:cs="Times New Roman" w:eastAsia="바탕"/>
          <w:b w:val="0"/>
          <w:i w:val="0"/>
          <w:sz w:val="24"/>
        </w:rPr>
        <w:t xml:space="preserve"> 원고를 쓰지 않은 외부 검증자에게 분석 구현의 반박을 맡긴 결과 네 건의 구현 오류가 드러났다(§2.7). 여기에는 세 파일에 복제된 τ² 추정 코드가 이름과 달리 최대우도를 풀고 있던 문제와, 추출 단계에서 </w:t>
      </w:r>
      <w:r>
        <w:rPr>
          <w:rFonts w:ascii="Times New Roman" w:hAnsi="Times New Roman" w:cs="Times New Roman" w:eastAsia="바탕"/>
          <w:b w:val="0"/>
          <w:i w:val="0"/>
          <w:sz w:val="24"/>
        </w:rPr>
        <w:t>NR</w:t>
      </w:r>
      <w:r>
        <w:rPr>
          <w:rFonts w:ascii="Times New Roman" w:hAnsi="Times New Roman" w:cs="Times New Roman" w:eastAsia="바탕"/>
          <w:b w:val="0"/>
          <w:i w:val="0"/>
          <w:sz w:val="24"/>
        </w:rPr>
        <w:t>로 기록된 효과 통계가 합성 단계에서 값으로 들어가 있던 문제가 포함된다. 분석 코드를 독립적으로 재실행하는 절차는 원 분석자에게 보이지 않는 오류를 막는 유용한 안전장치다.</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rPr>
          <w:rFonts w:ascii="Times New Roman" w:hAnsi="Times New Roman" w:cs="Times New Roman" w:eastAsia="바탕"/>
          <w:b w:val="0"/>
          <w:i w:val="0"/>
          <w:sz w:val="24"/>
        </w:rPr>
        <w:t>이 코퍼스는 투입 대비 효용이 큰 여섯 가지 우선순위를 시사한다.</w:t>
      </w:r>
    </w:p>
    <w:p>
      <w:pPr>
        <w:spacing w:after="0" w:before="0"/>
        <w:ind w:firstLine="288"/>
      </w:pPr>
      <w:r>
        <w:rPr>
          <w:rFonts w:ascii="Times New Roman" w:hAnsi="Times New Roman" w:cs="Times New Roman" w:eastAsia="바탕"/>
          <w:b/>
          <w:i w:val="0"/>
          <w:sz w:val="24"/>
        </w:rPr>
        <w:t>첫째, 잘 보고된 보행 현장실험 한 편이 증거의 한 칸을 실질적으로 바꿀 수 있다.</w:t>
      </w:r>
      <w:r>
        <w:rPr>
          <w:rFonts w:ascii="Times New Roman" w:hAnsi="Times New Roman" w:cs="Times New Roman" w:eastAsia="바탕"/>
          <w:b w:val="0"/>
          <w:i w:val="0"/>
          <w:sz w:val="24"/>
        </w:rPr>
        <w:t xml:space="preserve"> 결정적인 설계 요소는 특수 장비가 아니라 실제 환경음의 조작, 무작위 배정, 기저 동등성과 절차의 투명한 보고, 여러 경로나 세팅에 걸친 반복이다. 현재의 보행속도 추정치는 저품질 연구와 헤드폰 기반 연구에 지나치게 의존해 견고한 결론을 지지하지 못한다.</w:t>
      </w:r>
    </w:p>
    <w:p>
      <w:pPr>
        <w:spacing w:after="0" w:before="0"/>
        <w:ind w:firstLine="288"/>
      </w:pPr>
      <w:r>
        <w:rPr>
          <w:rFonts w:ascii="Times New Roman" w:hAnsi="Times New Roman" w:cs="Times New Roman" w:eastAsia="바탕"/>
          <w:b/>
          <w:i w:val="0"/>
          <w:sz w:val="24"/>
        </w:rPr>
        <w:t>둘째, 항공기 소음과 행태는 대부분 연구되지 않은 채 남아 있다.</w:t>
      </w:r>
      <w:r>
        <w:rPr>
          <w:rFonts w:ascii="Times New Roman" w:hAnsi="Times New Roman" w:cs="Times New Roman" w:eastAsia="바탕"/>
          <w:b w:val="0"/>
          <w:i w:val="0"/>
          <w:sz w:val="24"/>
        </w:rPr>
        <w:t xml:space="preserve"> 행태 증거를 기여한 적격 연구는 2편뿐이다. 공항 주변 연구는 짜증도나 건강 결과에만 기대지 말고 옥외공간의 이용, 경로 선택, 체류, 사회적 활동을 측정해야 한다.</w:t>
      </w:r>
    </w:p>
    <w:p>
      <w:pPr>
        <w:spacing w:after="0" w:before="0"/>
        <w:ind w:firstLine="288"/>
      </w:pPr>
      <w:r>
        <w:rPr>
          <w:rFonts w:ascii="Times New Roman" w:hAnsi="Times New Roman" w:cs="Times New Roman" w:eastAsia="바탕"/>
          <w:b/>
          <w:i w:val="0"/>
          <w:sz w:val="24"/>
        </w:rPr>
        <w:t>셋째, 설계 → 음향 산출 → 행태의 사슬을 닫아야 한다.</w:t>
      </w:r>
      <w:r>
        <w:rPr>
          <w:rFonts w:ascii="Times New Roman" w:hAnsi="Times New Roman" w:cs="Times New Roman" w:eastAsia="바탕"/>
          <w:b w:val="0"/>
          <w:i w:val="0"/>
          <w:sz w:val="24"/>
        </w:rPr>
        <w:t xml:space="preserve"> 자연음 증거의 상당 부분은 재생(playback)에 의존한다. 식재나 수경시설 같은 경관 개입은 실제로 만들어 내는 음환경과 그에 따른 행태적 귀결을 함께 평가해야 한다. 설계자가 놓는 것은 스피커가 아니라 나무이기 때문이다.</w:t>
      </w:r>
    </w:p>
    <w:p>
      <w:pPr>
        <w:spacing w:after="0" w:before="0"/>
        <w:ind w:firstLine="288"/>
      </w:pPr>
      <w:r>
        <w:rPr>
          <w:rFonts w:ascii="Times New Roman" w:hAnsi="Times New Roman" w:cs="Times New Roman" w:eastAsia="바탕"/>
          <w:b/>
          <w:i w:val="0"/>
          <w:sz w:val="24"/>
        </w:rPr>
        <w:t>넷째, 지속성을 측정해야 한다.</w:t>
      </w:r>
      <w:r>
        <w:rPr>
          <w:rFonts w:ascii="Times New Roman" w:hAnsi="Times New Roman" w:cs="Times New Roman" w:eastAsia="바탕"/>
          <w:b w:val="0"/>
          <w:i w:val="0"/>
          <w:sz w:val="24"/>
        </w:rPr>
        <w:t xml:space="preserve"> 대부분의 개입은 수 시간에서 수 일 동안 이뤄지고 한 계절을 넘는 경우는 드물다. 개입을 거둔 뒤 행태 반응이 유지되는지, 습관화되는지, 사라지는지는 불분명하다. 한 번 설치하면 끝인지 계속 운영해야 하는지가 사업비 구조를 바꾸므로 이 질문은 예산 결정과 직결된다.</w:t>
      </w:r>
    </w:p>
    <w:p>
      <w:pPr>
        <w:spacing w:after="0" w:before="0"/>
        <w:ind w:firstLine="288"/>
      </w:pPr>
      <w:r>
        <w:rPr>
          <w:rFonts w:ascii="Times New Roman" w:hAnsi="Times New Roman" w:cs="Times New Roman" w:eastAsia="바탕"/>
          <w:b/>
          <w:i w:val="0"/>
          <w:sz w:val="24"/>
        </w:rPr>
        <w:t>다섯째, 역방향 예측 규칙이 필요하다.</w:t>
      </w:r>
      <w:r>
        <w:rPr>
          <w:rFonts w:ascii="Times New Roman" w:hAnsi="Times New Roman" w:cs="Times New Roman" w:eastAsia="바탕"/>
          <w:b w:val="0"/>
          <w:i w:val="0"/>
          <w:sz w:val="24"/>
        </w:rPr>
        <w:t xml:space="preserve"> 공간이용, 활동, 사회적 행태에는 상당한 역방향 증거가 있지만, 활동과 점유의 음향적 귀결을 세팅 간에 예측할 수 있는 전이 가능한(transferable) 모형은 드물다. 밀도에서 음압을 예측하는 식이 몇 개 있지만 계수를 서로 대입할 수 없다.</w:t>
      </w:r>
    </w:p>
    <w:p>
      <w:pPr>
        <w:spacing w:after="0" w:before="0"/>
        <w:ind w:firstLine="288"/>
      </w:pPr>
      <w:r>
        <w:rPr>
          <w:rFonts w:ascii="Times New Roman" w:hAnsi="Times New Roman" w:cs="Times New Roman" w:eastAsia="바탕"/>
          <w:b/>
          <w:i w:val="0"/>
          <w:sz w:val="24"/>
        </w:rPr>
        <w:t>여섯째, 기본 보고를 표준화해야 한다.</w:t>
      </w:r>
      <w:r>
        <w:rPr>
          <w:rFonts w:ascii="Times New Roman" w:hAnsi="Times New Roman" w:cs="Times New Roman" w:eastAsia="바탕"/>
          <w:b w:val="0"/>
          <w:i w:val="0"/>
          <w:sz w:val="24"/>
        </w:rPr>
        <w:t xml:space="preserve"> 적격이었던 상당수 연구가 집단 크기, 산포 통계, 분석 단위를 누락해 정량 종합에 들어가지 못했다. 보고가 나아지면 연구 수를 늘리지 않고도 쓸 수 있는 증거 기반이 커질 수 있다.</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rPr>
          <w:rFonts w:ascii="Times New Roman" w:hAnsi="Times New Roman" w:cs="Times New Roman" w:eastAsia="바탕"/>
          <w:b w:val="0"/>
          <w:i w:val="0"/>
          <w:sz w:val="24"/>
        </w:rPr>
        <w:t>증거 기반은 지리적으로 집중돼 있고 비교적 젊다. 포함 연구의 39%가 중국에서 수행됐고 71%가 2020년 이후에 게재됐다. 등록 시점에 확정한 영어 학술지 논문 제한도 이 분포와 상호작용한다. 중국어 문헌이 배제됐으므로 코퍼스의 중국 연구는 영어로 게재하기를 택한 하위집합이다. 따라서 추정치를 문화적으로 보편적인 값으로 해석해서는 안 된다[30,31,32].</w:t>
      </w:r>
    </w:p>
    <w:p>
      <w:pPr>
        <w:spacing w:after="0" w:before="0"/>
        <w:ind w:firstLine="288"/>
      </w:pPr>
      <w:r>
        <w:rPr>
          <w:rFonts w:ascii="Times New Roman" w:hAnsi="Times New Roman" w:cs="Times New Roman" w:eastAsia="바탕"/>
          <w:b w:val="0"/>
          <w:i w:val="0"/>
          <w:sz w:val="24"/>
        </w:rPr>
        <w:t>세 경로를 통틀어 122건의 전문을 확보하지 못했다(데이터베이스 89, 인용추적 25, 보조 색인 8). 초록이 행태 결과를 시사한 인용추적 레코드의 회수율은 92%였고, 확보하지 못한 레코드는 주로 제목만으로 식별된 것이었으며, 확보된 하위집합 가운데 최종 적격 판정을 받은 것은 없었다(§3.1). 이 패턴은 회수 편향에 대한 우려를 줄이지만 없애지는 못한다.</w:t>
      </w:r>
    </w:p>
    <w:p>
      <w:pPr>
        <w:spacing w:after="0" w:before="0"/>
        <w:ind w:firstLine="288"/>
      </w:pPr>
      <w:r>
        <w:rPr>
          <w:rFonts w:ascii="Times New Roman" w:hAnsi="Times New Roman" w:cs="Times New Roman" w:eastAsia="바탕"/>
          <w:b w:val="0"/>
          <w:i w:val="0"/>
          <w:sz w:val="24"/>
        </w:rPr>
        <w:t>스크리닝과 추출은 두 명의 독립 리뷰어가 아니라 한 명의 리뷰어가 AI 보조와 검증을 병행해 수행했다. 두 쌍의 논문이 표본을 공유했으며 각 쌍에서 한 편만 정량 풀에 들어갔다. 감사와 검증 단계를 거쳤음에도 이러한 절차는 잔여 선택 오류나 추출 오류를 남길 수 있다.</w:t>
      </w:r>
    </w:p>
    <w:p>
      <w:pPr>
        <w:spacing w:after="0" w:before="0"/>
        <w:ind w:firstLine="288"/>
      </w:pPr>
      <w:r>
        <w:rPr>
          <w:rFonts w:ascii="Times New Roman" w:hAnsi="Times New Roman" w:cs="Times New Roman" w:eastAsia="바탕"/>
          <w:b w:val="0"/>
          <w:i w:val="0"/>
          <w:sz w:val="24"/>
        </w:rPr>
        <w:t xml:space="preserve">정량 종합의 한계는 앞서 밝힌 대로다. 어느 클러스터도 사전 지정한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 문턱에 도달하지 않아 출판편향 평가를 수행하지 않았으므로 소규모 연구 효과의 가능성이 남는다. 클러스터가 3~6개의 추정치로만 이뤄져 등록한 하위그룹 분석도 수행하지 않았다. </w:t>
      </w:r>
      <w:r>
        <w:rPr>
          <w:rFonts w:ascii="Times New Roman" w:hAnsi="Times New Roman" w:cs="Times New Roman" w:eastAsia="바탕"/>
          <w:b/>
          <w:i w:val="0"/>
          <w:sz w:val="24"/>
        </w:rPr>
        <w:t>무엇보다 네 예측구간이 모두 0을 포함하므로, 통계적으로 유의한 평균 추정치 중 어느 것도 새 연구에 대한 예측으로 해석해서는 안 된다.</w:t>
      </w:r>
      <w:r>
        <w:rPr>
          <w:rFonts w:ascii="Times New Roman" w:hAnsi="Times New Roman" w:cs="Times New Roman" w:eastAsia="바탕"/>
          <w:b w:val="0"/>
          <w:i w:val="0"/>
          <w:sz w:val="24"/>
        </w:rPr>
        <w:t xml:space="preserve"> 또한 사회적 상호작용 클러스터의 유의성은 인용 검색으로 회수한 연구 한 편에 의존하며, 그 연구는 데이터베이스 검색만으로는 식별되지 않았을 것이다.</w:t>
      </w:r>
    </w:p>
    <w:p>
      <w:pPr>
        <w:keepNext/>
        <w:jc w:val="both"/>
      </w:pPr>
      <w:r>
        <w:rPr>
          <w:rFonts w:ascii="Times New Roman" w:hAnsi="Times New Roman" w:cs="Times New Roman" w:eastAsia="바탕"/>
          <w:b/>
          <w:i w:val="0"/>
          <w:color w:val="000000"/>
        </w:rPr>
        <w:t>5. Conclusions</w:t>
      </w:r>
    </w:p>
    <w:p>
      <w:pPr>
        <w:spacing w:after="0" w:before="0"/>
        <w:ind w:firstLine="288"/>
      </w:pPr>
      <w:r>
        <w:rPr>
          <w:rFonts w:ascii="Times New Roman" w:hAnsi="Times New Roman" w:cs="Times New Roman" w:eastAsia="바탕"/>
          <w:b w:val="0"/>
          <w:i w:val="0"/>
          <w:sz w:val="24"/>
        </w:rPr>
        <w:t xml:space="preserve">도시 옥외공간에서 사운드스케이프 관련 조건과 인간 행태 사이의 증거는 양방향 증거 구조를 보이지만, </w:t>
      </w:r>
      <w:r>
        <w:rPr>
          <w:rFonts w:ascii="Times New Roman" w:hAnsi="Times New Roman" w:cs="Times New Roman" w:eastAsia="바탕"/>
          <w:b/>
          <w:i w:val="0"/>
          <w:sz w:val="24"/>
        </w:rPr>
        <w:t>증거의 강도는 행태 도메인에 따라 크게 다르다.</w:t>
      </w:r>
      <w:r>
        <w:rPr>
          <w:rFonts w:ascii="Times New Roman" w:hAnsi="Times New Roman" w:cs="Times New Roman" w:eastAsia="바탕"/>
          <w:b w:val="0"/>
          <w:i w:val="0"/>
          <w:sz w:val="24"/>
        </w:rPr>
        <w:t xml:space="preserve"> 98편 가운데 16편이 기여한 네 개의 메타분석 클러스터가 모두 이론적으로 기대되는 방향을 가리켰으나, 평균 추정치의 신뢰구간이 0을 배제한 것은 사회적 상호작용과 지각–행태 연관뿐이었고 </w:t>
      </w:r>
      <w:r>
        <w:rPr>
          <w:rFonts w:ascii="Times New Roman" w:hAnsi="Times New Roman" w:cs="Times New Roman" w:eastAsia="바탕"/>
          <w:b/>
          <w:i w:val="0"/>
          <w:sz w:val="24"/>
        </w:rPr>
        <w:t>네 예측구간 중 0을 배제한 것은 없었다.</w:t>
      </w:r>
      <w:r>
        <w:rPr>
          <w:rFonts w:ascii="Times New Roman" w:hAnsi="Times New Roman" w:cs="Times New Roman" w:eastAsia="바탕"/>
          <w:b w:val="0"/>
          <w:i w:val="0"/>
          <w:sz w:val="24"/>
        </w:rPr>
        <w:t xml:space="preserve"> 사회적 상호작용에서는 현장실험 증거가 행태적 효과를 지지하지만, 지각–행태 클러스터는 연관의 수준에 머문다.</w:t>
      </w:r>
    </w:p>
    <w:p>
      <w:pPr>
        <w:spacing w:after="0" w:before="0"/>
        <w:ind w:firstLine="288"/>
      </w:pPr>
      <w:r>
        <w:rPr>
          <w:rFonts w:ascii="Times New Roman" w:hAnsi="Times New Roman" w:cs="Times New Roman" w:eastAsia="바탕"/>
          <w:b w:val="0"/>
          <w:i w:val="0"/>
          <w:sz w:val="24"/>
        </w:rPr>
        <w:t xml:space="preserve">가장 강한 정량 신호는 </w:t>
      </w:r>
      <w:r>
        <w:rPr>
          <w:rFonts w:ascii="Times New Roman" w:hAnsi="Times New Roman" w:cs="Times New Roman" w:eastAsia="바탕"/>
          <w:b/>
          <w:i w:val="0"/>
          <w:sz w:val="24"/>
        </w:rPr>
        <w:t>사회적 상호작용</w:t>
      </w:r>
      <w:r>
        <w:rPr>
          <w:rFonts w:ascii="Times New Roman" w:hAnsi="Times New Roman" w:cs="Times New Roman" w:eastAsia="바탕"/>
          <w:b w:val="0"/>
          <w:i w:val="0"/>
          <w:sz w:val="24"/>
        </w:rPr>
        <w:t>(</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+0.679)이었으며, 특히 자연음이나 더 조용한 조건이 포함된 비교에서 나타났다. 다만 자연음의 기여와 경쟁 소음 제거의 기여는 분리되지 않는다. 반대로 소음이 사람을 더 빨리 걷게 한다는 널리 인용되는 주장은 작고 이질적이며 주로 헤드폰에 기반한, 방법론적 질이 낮게 평가된 증거에 기대고 있다. 이를 확립된 환경소음 효과로 다뤄서는 안 된다.</w:t>
      </w:r>
    </w:p>
    <w:p>
      <w:pPr>
        <w:spacing w:after="0" w:before="0"/>
        <w:ind w:firstLine="288"/>
      </w:pPr>
      <w:r>
        <w:rPr>
          <w:rFonts w:ascii="Times New Roman" w:hAnsi="Times New Roman" w:cs="Times New Roman" w:eastAsia="바탕"/>
          <w:b w:val="0"/>
          <w:i w:val="0"/>
          <w:sz w:val="24"/>
        </w:rPr>
        <w:t>증거가 양방향으로 구성돼 있다는 점도 분명하다. 방향성 레코드 187건 중 74건(40%)이 행태나 활동에서 음환경 또는 사운드스케이프로 향했다. 이것만으로 닫힌 인과 피드백 고리가 입증되지는 않지만, 활동과 점유가 사운드스케이프 증거 기반의 상당한 구성 요소이며 계획 프레임워크에 포함돼야 함을 보여 준다.</w:t>
      </w:r>
    </w:p>
    <w:p>
      <w:pPr>
        <w:spacing w:after="0" w:before="0"/>
        <w:ind w:firstLine="288"/>
      </w:pPr>
      <w:r>
        <w:rPr>
          <w:rFonts w:ascii="Times New Roman" w:hAnsi="Times New Roman" w:cs="Times New Roman" w:eastAsia="바탕"/>
          <w:b w:val="0"/>
          <w:i w:val="0"/>
          <w:sz w:val="24"/>
        </w:rPr>
        <w:t xml:space="preserve">따라서 방어 가능한 계획적 함의는 좁다. 사회적 상호작용이 의도된 곳에서는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방문객 증가를 가정하기보다 </w:t>
      </w:r>
      <w:r>
        <w:rPr>
          <w:rFonts w:ascii="Times New Roman" w:hAnsi="Times New Roman" w:cs="Times New Roman" w:eastAsia="바탕"/>
          <w:b/>
          <w:i w:val="0"/>
          <w:sz w:val="24"/>
        </w:rPr>
        <w:t>체류와 관여</w:t>
      </w:r>
      <w:r>
        <w:rPr>
          <w:rFonts w:ascii="Times New Roman" w:hAnsi="Times New Roman" w:cs="Times New Roman" w:eastAsia="바탕"/>
          <w:b w:val="0"/>
          <w:i w:val="0"/>
          <w:sz w:val="24"/>
        </w:rPr>
        <w:t xml:space="preserve">를 위한 잠재적 도구로 쓰라. 사회적 공간의 입지를 정할 때 </w:t>
      </w:r>
      <w:r>
        <w:rPr>
          <w:rFonts w:ascii="Times New Roman" w:hAnsi="Times New Roman" w:cs="Times New Roman" w:eastAsia="바탕"/>
          <w:b/>
          <w:i w:val="0"/>
          <w:sz w:val="24"/>
        </w:rPr>
        <w:t>회화 간섭을 고려하라.</w:t>
      </w:r>
      <w:r>
        <w:rPr>
          <w:rFonts w:ascii="Times New Roman" w:hAnsi="Times New Roman" w:cs="Times New Roman" w:eastAsia="바탕"/>
          <w:b w:val="0"/>
          <w:i w:val="0"/>
          <w:sz w:val="24"/>
        </w:rPr>
        <w:t xml:space="preserve"> 그리고 행태로 검정되지 않은 지각적 증거로부터 행태적 처방을 추론하지 말라. 전체적으로 이 코퍼스는 보편적인 음향–행태 기준이 아니라 모니터링을 동반한, 근거를 반영한 설계 가설을 지지한다.</w:t>
      </w:r>
    </w:p>
    <w:p>
      <w:pPr>
        <w:spacing w:after="0" w:before="0"/>
        <w:ind w:firstLine="288"/>
      </w:pPr>
      <w:r>
        <w:rPr>
          <w:rFonts w:ascii="Times New Roman" w:hAnsi="Times New Roman" w:cs="Times New Roman" w:eastAsia="바탕"/>
          <w:b w:val="0"/>
          <w:i w:val="0"/>
          <w:sz w:val="24"/>
        </w:rPr>
        <w:t>다음 우선순위는 또 하나의 광범위한 횡단 상관 연구가 아니다. 실제 환경음을 조작하고, 관찰 가능한 행태를 측정하며, 공간적·사회문화적 맥락을 기술하고, 그 결과로 생긴 활동의 음향적 귀결까지 정량화하는 잘 보고된 현장실험이다. 이런 연구가 여기서 제안한 상호적 프레임워크를 가장 직접적으로 검증하고, 분야를 서술적 연관에서 설계 결정에 책임 있게 쓰일 수 있는 증거로 옮겨 갈 것이다.</w:t>
      </w:r>
    </w:p>
    <w:p>
      <w:pPr>
        <w:keepNext/>
        <w:jc w:val="both"/>
      </w:pPr>
      <w:r>
        <w:rPr>
          <w:rFonts w:ascii="Times New Roman" w:hAnsi="Times New Roman" w:cs="Times New Roman" w:eastAsia="바탕"/>
          <w:b/>
          <w:i w:val="0"/>
          <w:color w:val="000000"/>
        </w:rPr>
        <w:t>References</w:t>
      </w:r>
    </w:p>
    <w:p>
      <w:pPr>
        <w:spacing w:after="0" w:before="0"/>
        <w:ind w:firstLine="288"/>
      </w:pPr>
      <w:r>
        <w:rPr>
          <w:rFonts w:ascii="Times New Roman" w:hAnsi="Times New Roman" w:cs="Times New Roman" w:eastAsia="바탕"/>
          <w:b w:val="0"/>
          <w:i w:val="0"/>
          <w:sz w:val="24"/>
        </w:rPr>
        <w:t>[1] Southworth M. The Sonic Environment of Cities. Environment and Behavior. 1969;1:49-70. doi:10.1177/001391656900100104</w:t>
      </w:r>
    </w:p>
    <w:p>
      <w:pPr>
        <w:spacing w:after="0" w:before="0"/>
        <w:ind w:firstLine="288"/>
      </w:pPr>
      <w:r>
        <w:rPr>
          <w:rFonts w:ascii="Times New Roman" w:hAnsi="Times New Roman" w:cs="Times New Roman" w:eastAsia="바탕"/>
          <w:b w:val="0"/>
          <w:i w:val="0"/>
          <w:sz w:val="24"/>
        </w:rPr>
        <w:t>[2] Whyte WH. The Social Life of Small Urban Spaces. Washington (DC): Conservation Foundation; 1980.</w:t>
      </w:r>
    </w:p>
    <w:p>
      <w:pPr>
        <w:spacing w:after="0" w:before="0"/>
        <w:ind w:firstLine="288"/>
      </w:pPr>
      <w:r>
        <w:rPr>
          <w:rFonts w:ascii="Times New Roman" w:hAnsi="Times New Roman" w:cs="Times New Roman" w:eastAsia="바탕"/>
          <w:b w:val="0"/>
          <w:i w:val="0"/>
          <w:sz w:val="24"/>
        </w:rPr>
        <w:t>[3] Gehl J. Life Between Buildings: Using Public Space. Washington (DC): Island Press; 2011.</w:t>
      </w:r>
    </w:p>
    <w:p>
      <w:pPr>
        <w:spacing w:after="0" w:before="0"/>
        <w:ind w:firstLine="288"/>
      </w:pPr>
      <w:r>
        <w:rPr>
          <w:rFonts w:ascii="Times New Roman" w:hAnsi="Times New Roman" w:cs="Times New Roman" w:eastAsia="바탕"/>
          <w:b w:val="0"/>
          <w:i w:val="0"/>
          <w:sz w:val="24"/>
        </w:rPr>
        <w:t>[4] Bild E, Coler M, Pfeffer K, Bertolini L. Considering Sound in Planning and Designing Public Spaces. Journal of Planning Literature. 2016;31:419-434. doi:10.1177/0885412216662001</w:t>
      </w:r>
    </w:p>
    <w:p>
      <w:pPr>
        <w:spacing w:after="0" w:before="0"/>
        <w:ind w:firstLine="288"/>
      </w:pPr>
      <w:r>
        <w:rPr>
          <w:rFonts w:ascii="Times New Roman" w:hAnsi="Times New Roman" w:cs="Times New Roman" w:eastAsia="바탕"/>
          <w:b w:val="0"/>
          <w:i w:val="0"/>
          <w:sz w:val="24"/>
        </w:rPr>
        <w:t>[5] Miedema HM, Oudshoorn CG. Annoyance from transportation noise: relationships with exposure metrics DNL and DENL and their confidence intervals. Environmental Health Perspectives. 2001;109:409-416. doi:10.1289/ehp.01109409</w:t>
      </w:r>
    </w:p>
    <w:p>
      <w:pPr>
        <w:spacing w:after="0" w:before="0"/>
        <w:ind w:firstLine="288"/>
      </w:pPr>
      <w:r>
        <w:rPr>
          <w:rFonts w:ascii="Times New Roman" w:hAnsi="Times New Roman" w:cs="Times New Roman" w:eastAsia="바탕"/>
          <w:b w:val="0"/>
          <w:i w:val="0"/>
          <w:sz w:val="24"/>
        </w:rPr>
        <w:t>[6] Basner M, Babisch W, Davis A, Brink M, Clark C, Janssen S, et al. Auditory and non-auditory effects of noise on health. The Lancet. 2014;383:1325-1332. doi:10.1016/s0140-6736(13)61613-x</w:t>
      </w:r>
    </w:p>
    <w:p>
      <w:pPr>
        <w:spacing w:after="0" w:before="0"/>
        <w:ind w:firstLine="288"/>
      </w:pPr>
      <w:r>
        <w:rPr>
          <w:rFonts w:ascii="Times New Roman" w:hAnsi="Times New Roman" w:cs="Times New Roman" w:eastAsia="바탕"/>
          <w:b w:val="0"/>
          <w:i w:val="0"/>
          <w:sz w:val="24"/>
        </w:rPr>
        <w:t>[7] Schafer RM. The Soundscape: Our Sonic Environment and the Tuning of the World. Rochester (VT): Destiny Books; 1994.</w:t>
      </w:r>
    </w:p>
    <w:p>
      <w:pPr>
        <w:spacing w:after="0" w:before="0"/>
        <w:ind w:firstLine="288"/>
      </w:pPr>
      <w:r>
        <w:rPr>
          <w:rFonts w:ascii="Times New Roman" w:hAnsi="Times New Roman" w:cs="Times New Roman" w:eastAsia="바탕"/>
          <w:b w:val="0"/>
          <w:i w:val="0"/>
          <w:sz w:val="24"/>
        </w:rPr>
        <w:t>[8] International Organization for Standardization. ISO 12913-1:2014 Acoustics — Soundscape — Part 1: Definition and conceptual framework. Geneva: ISO; 2014.</w:t>
      </w:r>
    </w:p>
    <w:p>
      <w:pPr>
        <w:spacing w:after="0" w:before="0"/>
        <w:ind w:firstLine="288"/>
      </w:pPr>
      <w:r>
        <w:rPr>
          <w:rFonts w:ascii="Times New Roman" w:hAnsi="Times New Roman" w:cs="Times New Roman" w:eastAsia="바탕"/>
          <w:b w:val="0"/>
          <w:i w:val="0"/>
          <w:sz w:val="24"/>
        </w:rPr>
        <w:t>[9] Zhang R, Ma H, Wang C, Zhang Y, Kang J. Soundscape and its context: A framework based on a systematic review. The Journal of the Acoustical Society of America. 2025;157:4417-4436. doi:10.1121/10.0036882</w:t>
      </w:r>
    </w:p>
    <w:p>
      <w:pPr>
        <w:spacing w:after="0" w:before="0"/>
        <w:ind w:firstLine="288"/>
      </w:pPr>
      <w:r>
        <w:rPr>
          <w:rFonts w:ascii="Times New Roman" w:hAnsi="Times New Roman" w:cs="Times New Roman" w:eastAsia="바탕"/>
          <w:b w:val="0"/>
          <w:i w:val="0"/>
          <w:sz w:val="24"/>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pPr>
        <w:spacing w:after="0" w:before="0"/>
        <w:ind w:firstLine="288"/>
      </w:pPr>
      <w:r>
        <w:rPr>
          <w:rFonts w:ascii="Times New Roman" w:hAnsi="Times New Roman" w:cs="Times New Roman" w:eastAsia="바탕"/>
          <w:b w:val="0"/>
          <w:i w:val="0"/>
          <w:sz w:val="24"/>
        </w:rPr>
        <w:t>[11] Axelsson Ö, Nilsson ME, Berglund B. A principal components model of soundscape perception. The Journal of the Acoustical Society of America. 2010;128:2836-2846. doi:10.1121/1.3493436</w:t>
      </w:r>
    </w:p>
    <w:p>
      <w:pPr>
        <w:spacing w:after="0" w:before="0"/>
        <w:ind w:firstLine="288"/>
      </w:pPr>
      <w:r>
        <w:rPr>
          <w:rFonts w:ascii="Times New Roman" w:hAnsi="Times New Roman" w:cs="Times New Roman" w:eastAsia="바탕"/>
          <w:b w:val="0"/>
          <w:i w:val="0"/>
          <w:sz w:val="24"/>
        </w:rPr>
        <w:t>[12] Aletta F, Kang J, Axelsson Ö. Soundscape descriptors and a conceptual framework for developing predictive soundscape models. Landscape and Urban Planning. 2016;149:65-74. doi:10.1016/j.landurbplan.2016.02.001</w:t>
      </w:r>
    </w:p>
    <w:p>
      <w:pPr>
        <w:spacing w:after="0" w:before="0"/>
        <w:ind w:firstLine="288"/>
      </w:pPr>
      <w:r>
        <w:rPr>
          <w:rFonts w:ascii="Times New Roman" w:hAnsi="Times New Roman" w:cs="Times New Roman" w:eastAsia="바탕"/>
          <w:b w:val="0"/>
          <w:i w:val="0"/>
          <w:sz w:val="24"/>
        </w:rPr>
        <w:t>[13] Kang J, Aletta F, Gjestland TT, Brown LA, Botteldooren D, Schulte-Fortkamp B, et al. Ten questions on the soundscapes of the built environment. Building and Environment. 2016;108:284-294. doi:10.1016/j.buildenv.2016.08.011</w:t>
      </w:r>
    </w:p>
    <w:p>
      <w:pPr>
        <w:spacing w:after="0" w:before="0"/>
        <w:ind w:firstLine="288"/>
      </w:pPr>
      <w:r>
        <w:rPr>
          <w:rFonts w:ascii="Times New Roman" w:hAnsi="Times New Roman" w:cs="Times New Roman" w:eastAsia="바탕"/>
          <w:b w:val="0"/>
          <w:i w:val="0"/>
          <w:sz w:val="24"/>
        </w:rPr>
        <w:t>[14] Zhang R, Ma H, Wang C, Zhang Y, Kang J. The associations between landscape elements and soundscape perception: A meta-analysis. Landscape and Urban Planning. 2025;263:105463. doi:10.1016/j.landurbplan.2025.105463</w:t>
      </w:r>
    </w:p>
    <w:p>
      <w:pPr>
        <w:spacing w:after="0" w:before="0"/>
        <w:ind w:firstLine="288"/>
      </w:pPr>
      <w:r>
        <w:rPr>
          <w:rFonts w:ascii="Times New Roman" w:hAnsi="Times New Roman" w:cs="Times New Roman" w:eastAsia="바탕"/>
          <w:b w:val="0"/>
          <w:i w:val="0"/>
          <w:sz w:val="24"/>
        </w:rPr>
        <w:t>[15] Wang Y, Wu Y, Qin T, Van de Weghe N, Huang H. Assessing the impact of urban soundscapes on physical activity: insights from a systematic review. Cities &amp; Health. 2026:1-26. doi:10.1080/23748834.2026.2683259</w:t>
      </w:r>
    </w:p>
    <w:p>
      <w:pPr>
        <w:spacing w:after="0" w:before="0"/>
        <w:ind w:firstLine="288"/>
      </w:pPr>
      <w:r>
        <w:rPr>
          <w:rFonts w:ascii="Times New Roman" w:hAnsi="Times New Roman" w:cs="Times New Roman" w:eastAsia="바탕"/>
          <w:b w:val="0"/>
          <w:i w:val="0"/>
          <w:sz w:val="24"/>
        </w:rPr>
        <w:t>[16] Nielbo FL, Steele D, Guastavino C. Investigating soundscape affordances through activity appropriateness. Proceedings of Meetings on Acoustics. 2013;19:040059. doi:10.1121/1.4800502</w:t>
      </w:r>
    </w:p>
    <w:p>
      <w:pPr>
        <w:spacing w:after="0" w:before="0"/>
        <w:ind w:firstLine="288"/>
      </w:pPr>
      <w:r>
        <w:rPr>
          <w:rFonts w:ascii="Times New Roman" w:hAnsi="Times New Roman" w:cs="Times New Roman" w:eastAsia="바탕"/>
          <w:b w:val="0"/>
          <w:i w:val="0"/>
          <w:sz w:val="24"/>
        </w:rPr>
        <w:t>[17] Steele D, Bild E, Tarlao C, Guastavino C. Soundtracking the Public Space: Outcomes of the Musikiosk Soundscape Intervention. International Journal of Environmental Research and Public Health. 2019;16:1865. doi:10.3390/ijerph16101865</w:t>
      </w:r>
    </w:p>
    <w:p>
      <w:pPr>
        <w:spacing w:after="0" w:before="0"/>
        <w:ind w:firstLine="288"/>
      </w:pPr>
      <w:r>
        <w:rPr>
          <w:rFonts w:ascii="Times New Roman" w:hAnsi="Times New Roman" w:cs="Times New Roman" w:eastAsia="바탕"/>
          <w:b w:val="0"/>
          <w:i w:val="0"/>
          <w:sz w:val="24"/>
        </w:rPr>
        <w:t>[18] Buxton RT, Pearson AL, Allou C, Fristrup K, Wittemyer G. A synthesis of health benefits of natural sounds and their distribution in national parks. Proceedings of the National Academy of Sciences. 2021;118. doi:10.1073/pnas.2013097118</w:t>
      </w:r>
    </w:p>
    <w:p>
      <w:pPr>
        <w:spacing w:after="0" w:before="0"/>
        <w:ind w:firstLine="288"/>
      </w:pPr>
      <w:r>
        <w:rPr>
          <w:rFonts w:ascii="Times New Roman" w:hAnsi="Times New Roman" w:cs="Times New Roman" w:eastAsia="바탕"/>
          <w:b w:val="0"/>
          <w:i w:val="0"/>
          <w:sz w:val="24"/>
        </w:rPr>
        <w:t>[19] Page MJ, McKenzie JE, Bossuyt PM, Boutron I, Hoffmann TC, Mulrow CD, et al. The PRISMA 2020 statement: an updated guideline for reporting systematic reviews. BMJ. 2021:n71. doi:10.1136/bmj.n71</w:t>
      </w:r>
    </w:p>
    <w:p>
      <w:pPr>
        <w:spacing w:after="0" w:before="0"/>
        <w:ind w:firstLine="288"/>
      </w:pPr>
      <w:r>
        <w:rPr>
          <w:rFonts w:ascii="Times New Roman" w:hAnsi="Times New Roman" w:cs="Times New Roman" w:eastAsia="바탕"/>
          <w:b w:val="0"/>
          <w:i w:val="0"/>
          <w:sz w:val="24"/>
        </w:rPr>
        <w:t>[20] Hong QN, Fàbregues S, Bartlett G, Boardman F, Cargo M, Dagenais P, et al. The Mixed Methods Appraisal Tool (MMAT) version 2018 for information professionals and researchers. Education for Information. 2018;34:285-291. doi:10.3233/efi-180221</w:t>
      </w:r>
    </w:p>
    <w:p>
      <w:pPr>
        <w:spacing w:after="0" w:before="0"/>
        <w:ind w:firstLine="288"/>
      </w:pPr>
      <w:r>
        <w:rPr>
          <w:rFonts w:ascii="Times New Roman" w:hAnsi="Times New Roman" w:cs="Times New Roman" w:eastAsia="바탕"/>
          <w:b w:val="0"/>
          <w:i w:val="0"/>
          <w:sz w:val="24"/>
        </w:rPr>
        <w:t>[21] Hedges LV. Distribution Theory for Glass's Estimator of Effect size and Related Estimators. Journal of Educational Statistics. 1981;6:107-128. doi:10.3102/10769986006002107</w:t>
      </w:r>
    </w:p>
    <w:p>
      <w:pPr>
        <w:spacing w:after="0" w:before="0"/>
        <w:ind w:firstLine="288"/>
      </w:pPr>
      <w:r>
        <w:rPr>
          <w:rFonts w:ascii="Times New Roman" w:hAnsi="Times New Roman" w:cs="Times New Roman" w:eastAsia="바탕"/>
          <w:b w:val="0"/>
          <w:i w:val="0"/>
          <w:sz w:val="24"/>
        </w:rPr>
        <w:t>[22] Chinn S. A simple method for converting an odds ratio to effect size for use in meta-analysis. Statistics in Medicine. 2000;19:3127-3131. doi:10.1002/1097-0258(20001130)19:22&lt;3127::aid-sim784&gt;3.0.co;2-m</w:t>
      </w:r>
    </w:p>
    <w:p>
      <w:pPr>
        <w:spacing w:after="0" w:before="0"/>
        <w:ind w:firstLine="288"/>
      </w:pPr>
      <w:r>
        <w:rPr>
          <w:rFonts w:ascii="Times New Roman" w:hAnsi="Times New Roman" w:cs="Times New Roman" w:eastAsia="바탕"/>
          <w:b w:val="0"/>
          <w:i w:val="0"/>
          <w:sz w:val="24"/>
        </w:rPr>
        <w:t>[23] Hartung J, Knapp G. On tests of the overall treatment effect in meta‐analysis with normally distributed responses. Statistics in Medicine. 2001;20:1771-1782. doi:10.1002/sim.791</w:t>
      </w:r>
    </w:p>
    <w:p>
      <w:pPr>
        <w:spacing w:after="0" w:before="0"/>
        <w:ind w:firstLine="288"/>
      </w:pPr>
      <w:r>
        <w:rPr>
          <w:rFonts w:ascii="Times New Roman" w:hAnsi="Times New Roman" w:cs="Times New Roman" w:eastAsia="바탕"/>
          <w:b w:val="0"/>
          <w:i w:val="0"/>
          <w:sz w:val="24"/>
        </w:rPr>
        <w:t>[24] Higgins JPT, Thompson SG, Spiegelhalter DJ. A Re-Evaluation of Random-Effects Meta-Analysis. Journal of the Royal Statistical Society Series A: Statistics in Society. 2009;172:137-159. doi:10.1111/j.1467-985x.2008.00552.x</w:t>
      </w:r>
    </w:p>
    <w:p>
      <w:pPr>
        <w:spacing w:after="0" w:before="0"/>
        <w:ind w:firstLine="288"/>
      </w:pPr>
      <w:r>
        <w:rPr>
          <w:rFonts w:ascii="Times New Roman" w:hAnsi="Times New Roman" w:cs="Times New Roman" w:eastAsia="바탕"/>
          <w:b w:val="0"/>
          <w:i w:val="0"/>
          <w:sz w:val="24"/>
        </w:rPr>
        <w:t>[25] Sterne JAC, Sutton AJ, Ioannidis JPA, Terrin N, Jones DR, Lau J, et al. Recommendations for examining and interpreting funnel plot asymmetry in meta-analyses of randomised controlled trials. BMJ. 2011;343:d4002. doi:10.1136/bmj.d4002</w:t>
      </w:r>
    </w:p>
    <w:p>
      <w:pPr>
        <w:spacing w:after="0" w:before="0"/>
        <w:ind w:firstLine="288"/>
      </w:pPr>
      <w:r>
        <w:rPr>
          <w:rFonts w:ascii="Times New Roman" w:hAnsi="Times New Roman" w:cs="Times New Roman" w:eastAsia="바탕"/>
          <w:b w:val="0"/>
          <w:i w:val="0"/>
          <w:sz w:val="24"/>
        </w:rPr>
        <w:t>[26] Moser G. Urban stress and helping behavior: Effects of environmental overload and noise on behavior. Journal of Environmental Psychology. 1988;8:287-298. doi:10.1016/s0272-4944(88)80035-5</w:t>
      </w:r>
    </w:p>
    <w:p>
      <w:pPr>
        <w:spacing w:after="0" w:before="0"/>
        <w:ind w:firstLine="288"/>
      </w:pPr>
      <w:r>
        <w:rPr>
          <w:rFonts w:ascii="Times New Roman" w:hAnsi="Times New Roman" w:cs="Times New Roman" w:eastAsia="바탕"/>
          <w:b w:val="0"/>
          <w:i w:val="0"/>
          <w:sz w:val="24"/>
        </w:rPr>
        <w:t>[27] Culbert JH, Hobert A, Jahn N, Haupka N, Schmidt M, Donner P, et al. Reference coverage analysis of OpenAlex compared to Web of Science and Scopus. Scientometrics. 2025;130:2475-2492. doi:10.1007/s11192-025-05293-3</w:t>
      </w:r>
    </w:p>
    <w:p>
      <w:pPr>
        <w:spacing w:after="0" w:before="0"/>
        <w:ind w:firstLine="288"/>
      </w:pPr>
      <w:r>
        <w:rPr>
          <w:rFonts w:ascii="Times New Roman" w:hAnsi="Times New Roman" w:cs="Times New Roman" w:eastAsia="바탕"/>
          <w:b w:val="0"/>
          <w:i w:val="0"/>
          <w:sz w:val="24"/>
        </w:rPr>
        <w:t>[28] Stansfield C, Dehdarirad H, Thomas J, Mathew S, O'Mara‐Eves A. Analyzing the Utility of OpenAlex to Identify Studies for Systematic Reviews: Methods and a Case Study. Cochrane Evidence Synthesis and Methods. 2025;3. doi:10.1002/cesm.70038</w:t>
      </w:r>
    </w:p>
    <w:p>
      <w:pPr>
        <w:spacing w:after="0" w:before="0"/>
        <w:ind w:firstLine="288"/>
      </w:pPr>
      <w:r>
        <w:rPr>
          <w:rFonts w:ascii="Times New Roman" w:hAnsi="Times New Roman" w:cs="Times New Roman" w:eastAsia="바탕"/>
          <w:b w:val="0"/>
          <w:i w:val="0"/>
          <w:sz w:val="24"/>
        </w:rPr>
        <w:t>[29]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after="0" w:before="0"/>
        <w:ind w:firstLine="288"/>
      </w:pPr>
      <w:r>
        <w:rPr>
          <w:rFonts w:ascii="Times New Roman" w:hAnsi="Times New Roman" w:cs="Times New Roman" w:eastAsia="바탕"/>
          <w:b w:val="0"/>
          <w:i w:val="0"/>
          <w:sz w:val="24"/>
        </w:rPr>
        <w:t>[30] Deng L, Kang J, Zhao W, Jambrošić K. Cross-National Comparison of Soundscape in Urban Public Open Spaces between China and Croatia. Applied Sciences. 2020;10:960. doi:10.3390/app10030960</w:t>
      </w:r>
    </w:p>
    <w:p>
      <w:pPr>
        <w:spacing w:after="0" w:before="0"/>
        <w:ind w:firstLine="288"/>
      </w:pPr>
      <w:r>
        <w:rPr>
          <w:rFonts w:ascii="Times New Roman" w:hAnsi="Times New Roman" w:cs="Times New Roman" w:eastAsia="바탕"/>
          <w:b w:val="0"/>
          <w:i w:val="0"/>
          <w:sz w:val="24"/>
        </w:rPr>
        <w:t>[31] Nguyen TL, Puyoo-Hialle M, Nguyen TTHN. Cultural influences on urban soundscape perception: A comparison of French, Japanese, and Vietnamese participants. Applied Acoustics. 2026;254:111414. doi:10.1016/j.apacoust.2026.111414</w:t>
      </w:r>
    </w:p>
    <w:p>
      <w:pPr>
        <w:spacing w:after="0" w:before="0"/>
        <w:ind w:firstLine="288"/>
      </w:pPr>
      <w:r>
        <w:rPr>
          <w:rFonts w:ascii="Times New Roman" w:hAnsi="Times New Roman" w:cs="Times New Roman" w:eastAsia="바탕"/>
          <w:b w:val="0"/>
          <w:i w:val="0"/>
          <w:sz w:val="24"/>
        </w:rPr>
        <w:t>[32]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after="0" w:before="0"/>
        <w:ind w:firstLine="288"/>
      </w:pPr>
      <w:r>
        <w:rPr>
          <w:rFonts w:ascii="Times New Roman" w:hAnsi="Times New Roman" w:cs="Times New Roman" w:eastAsia="바탕"/>
          <w:b w:val="0"/>
          <w:i w:val="0"/>
          <w:sz w:val="24"/>
        </w:rPr>
        <w:t>[33] Mathews KE, Canon LK. Environmental noise level as a determinant of helping behavior. Journal of Personality and Social Psychology. 1975;32:571-577. doi:10.1037/0022-3514.32.4.571</w:t>
      </w:r>
    </w:p>
    <w:p>
      <w:pPr>
        <w:spacing w:after="0" w:before="0"/>
        <w:ind w:firstLine="288"/>
      </w:pPr>
      <w:r>
        <w:rPr>
          <w:rFonts w:ascii="Times New Roman" w:hAnsi="Times New Roman" w:cs="Times New Roman" w:eastAsia="바탕"/>
          <w:b w:val="0"/>
          <w:i w:val="0"/>
          <w:sz w:val="24"/>
        </w:rPr>
        <w:t>[34] Chen X, Kang J. Natural sounds can encourage social interactions in urban parks. Landscape and Urban Planning. 2023;239:104870. doi:10.1016/j.landurbplan.2023.104870</w:t>
      </w:r>
    </w:p>
    <w:p>
      <w:pPr>
        <w:spacing w:after="0" w:before="0"/>
        <w:ind w:firstLine="288"/>
      </w:pPr>
      <w:r>
        <w:rPr>
          <w:rFonts w:ascii="Times New Roman" w:hAnsi="Times New Roman" w:cs="Times New Roman" w:eastAsia="바탕"/>
          <w:b w:val="0"/>
          <w:i w:val="0"/>
          <w:sz w:val="24"/>
        </w:rPr>
        <w:t>[35] Chen X, Kang J, Wang M. The impact of the community's sound environment on social interactions among residents. Building and Environment. 2024;266:112094. doi:10.1016/j.buildenv.2024.112094</w:t>
      </w:r>
    </w:p>
    <w:p>
      <w:pPr>
        <w:spacing w:after="0" w:before="0"/>
        <w:ind w:firstLine="288"/>
      </w:pPr>
      <w:r>
        <w:rPr>
          <w:rFonts w:ascii="Times New Roman" w:hAnsi="Times New Roman" w:cs="Times New Roman" w:eastAsia="바탕"/>
          <w:b w:val="0"/>
          <w:i w:val="0"/>
          <w:sz w:val="24"/>
        </w:rPr>
        <w:t>[36] Franěk M, van Noorden L, Režný L. Tempo and walking speed with music in the urban context. Frontiers in Psychology. 2014;5. doi:10.3389/fpsyg.2014.01361</w:t>
      </w:r>
    </w:p>
    <w:p>
      <w:pPr>
        <w:spacing w:after="0" w:before="0"/>
        <w:ind w:firstLine="288"/>
      </w:pPr>
      <w:r>
        <w:rPr>
          <w:rFonts w:ascii="Times New Roman" w:hAnsi="Times New Roman" w:cs="Times New Roman" w:eastAsia="바탕"/>
          <w:b w:val="0"/>
          <w:i w:val="0"/>
          <w:sz w:val="24"/>
        </w:rPr>
        <w:t>[37] Franěk M, Režný L. Environmental Features Influence Walking Speed: The Effect of Urban Greenery. Land. 2021;10:459. doi:10.3390/land10050459</w:t>
      </w:r>
    </w:p>
    <w:p>
      <w:pPr>
        <w:spacing w:after="0" w:before="0"/>
        <w:ind w:firstLine="288"/>
      </w:pPr>
      <w:r>
        <w:rPr>
          <w:rFonts w:ascii="Times New Roman" w:hAnsi="Times New Roman" w:cs="Times New Roman" w:eastAsia="바탕"/>
          <w:b w:val="0"/>
          <w:i w:val="0"/>
          <w:sz w:val="24"/>
        </w:rPr>
        <w:t>[38] Schrapel M, Happe J, Rohs M. EnvironZen: Immersive Soundscapes via Augmented Footstep Sounds in Urban Areas. i-com. 2022;21:219-237. doi:10.1515/icom-2022-0020</w:t>
      </w:r>
    </w:p>
    <w:p>
      <w:pPr>
        <w:spacing w:after="0" w:before="0"/>
        <w:ind w:firstLine="288"/>
      </w:pPr>
      <w:r>
        <w:rPr>
          <w:rFonts w:ascii="Times New Roman" w:hAnsi="Times New Roman" w:cs="Times New Roman" w:eastAsia="바탕"/>
          <w:b w:val="0"/>
          <w:i w:val="0"/>
          <w:sz w:val="24"/>
        </w:rPr>
        <w:t>[39] Guski R, Schreckenberg D, Schuemer R. WHO Environmental Noise Guidelines for the European Region: A Systematic Review on Environmental Noise and Annoyance. International Journal of Environmental Research and Public Health. 2017;14:1539. doi:10.3390/ijerph14121539</w:t>
      </w:r>
    </w:p>
    <w:p>
      <w:pPr>
        <w:spacing w:after="0" w:before="0"/>
        <w:ind w:firstLine="288"/>
      </w:pPr>
      <w:r>
        <w:rPr>
          <w:rFonts w:ascii="Times New Roman" w:hAnsi="Times New Roman" w:cs="Times New Roman" w:eastAsia="바탕"/>
          <w:b w:val="0"/>
          <w:i w:val="0"/>
          <w:sz w:val="24"/>
        </w:rPr>
        <w:t>[40] Basner M, McGuire S. WHO Environmental Noise Guidelines for the European Region: A Systematic Review on Environmental Noise and Effects on Sleep. International Journal of Environmental Research and Public Health. 2018;15:519. doi:10.3390/ijerph15030519</w:t>
      </w:r>
    </w:p>
    <w:p>
      <w:pPr>
        <w:spacing w:after="0" w:before="0"/>
        <w:ind w:firstLine="288"/>
      </w:pPr>
      <w:r>
        <w:rPr>
          <w:rFonts w:ascii="Times New Roman" w:hAnsi="Times New Roman" w:cs="Times New Roman" w:eastAsia="바탕"/>
          <w:b w:val="0"/>
          <w:i w:val="0"/>
          <w:sz w:val="24"/>
        </w:rPr>
        <w:t>[41] Franěk M, Režný L, Šefara D, Cabal J. Effect of Traffic Noise and Relaxations Sounds on Pedestrian Walking Speed. International Journal of Environmental Research and Public Health. 2018;15:752. doi:10.3390/ijerph15040752</w:t>
      </w:r>
    </w:p>
    <w:p>
      <w:pPr>
        <w:spacing w:after="0" w:before="0"/>
        <w:ind w:firstLine="288"/>
      </w:pPr>
      <w:r>
        <w:rPr>
          <w:rFonts w:ascii="Times New Roman" w:hAnsi="Times New Roman" w:cs="Times New Roman" w:eastAsia="바탕"/>
          <w:b w:val="0"/>
          <w:i w:val="0"/>
          <w:sz w:val="24"/>
        </w:rPr>
        <w:t>[42] Franěk M, Režný L, Šefara D, Cabal J. Effect of birdsongs and traffic noise on pedestrian walking speed during different seasons. PeerJ. 2019;7:e7711. doi:10.7717/peerj.7711</w:t>
      </w:r>
    </w:p>
    <w:p>
      <w:pPr>
        <w:spacing w:after="0" w:before="0"/>
        <w:ind w:firstLine="288"/>
      </w:pPr>
      <w:r>
        <w:rPr>
          <w:rFonts w:ascii="Times New Roman" w:hAnsi="Times New Roman" w:cs="Times New Roman" w:eastAsia="바탕"/>
          <w:b w:val="0"/>
          <w:i w:val="0"/>
          <w:sz w:val="24"/>
        </w:rPr>
        <w:t>[43] Berkouk D, Bouzir TAK, Maffei L, Masullo M. Examining the Associations between Oases Soundscape Components and Walking Speed: Correlation or Causation?. Sustainability. 2020;12:4619. doi:10.3390/su12114619</w:t>
      </w:r>
    </w:p>
    <w:p>
      <w:pPr>
        <w:spacing w:after="0" w:before="0"/>
        <w:ind w:firstLine="288"/>
      </w:pPr>
      <w:r>
        <w:rPr>
          <w:rFonts w:ascii="Times New Roman" w:hAnsi="Times New Roman" w:cs="Times New Roman" w:eastAsia="바탕"/>
          <w:b w:val="0"/>
          <w:i w:val="0"/>
          <w:sz w:val="24"/>
        </w:rPr>
        <w:t>[44] Ba M, Li Z, Kang J. Research on the Combined Effects of Plant Odor and Traffic Noise on Crowd Behaviors in Urban Environments. Landscape Architecture Frontiers. 2024;12:47. doi:10.15302/j-laf-1-020106</w:t>
      </w:r>
    </w:p>
    <w:p>
      <w:pPr>
        <w:spacing w:after="0" w:before="0"/>
        <w:ind w:firstLine="288"/>
      </w:pPr>
      <w:r>
        <w:rPr>
          <w:rFonts w:ascii="Times New Roman" w:hAnsi="Times New Roman" w:cs="Times New Roman" w:eastAsia="바탕"/>
          <w:b w:val="0"/>
          <w:i w:val="0"/>
          <w:sz w:val="24"/>
        </w:rPr>
        <w:t>[45] Aletta F, Lepore F, Kostara-Konstantinou E, Kang J, Astolfi A. An Experimental Study on the Influence of Soundscapes on People’s Behaviour in an Open Public Space. Applied Sciences. 2016;6:276. doi:10.3390/app6100276</w:t>
      </w:r>
    </w:p>
    <w:p>
      <w:pPr>
        <w:spacing w:after="0" w:before="0"/>
        <w:ind w:firstLine="288"/>
      </w:pPr>
      <w:r>
        <w:rPr>
          <w:rFonts w:ascii="Times New Roman" w:hAnsi="Times New Roman" w:cs="Times New Roman" w:eastAsia="바탕"/>
          <w:b w:val="0"/>
          <w:i w:val="0"/>
          <w:sz w:val="24"/>
        </w:rPr>
        <w:t>[46] Montes González D, Barrigón Morillas JM, Rey-Gozalo G. Effects of noise on pedestrians in urban environments where road traffic is the main source of sound. Science of The Total Environment. 2023;857:159406. doi:10.1016/j.scitotenv.2022.159406</w:t>
      </w:r>
    </w:p>
    <w:p>
      <w:pPr>
        <w:spacing w:after="0" w:before="0"/>
        <w:ind w:firstLine="288"/>
      </w:pPr>
      <w:r>
        <w:rPr>
          <w:rFonts w:ascii="Times New Roman" w:hAnsi="Times New Roman" w:cs="Times New Roman" w:eastAsia="바탕"/>
          <w:b w:val="0"/>
          <w:i w:val="0"/>
          <w:sz w:val="24"/>
        </w:rPr>
        <w:t>[47]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after="0" w:before="0"/>
        <w:ind w:firstLine="288"/>
      </w:pPr>
      <w:r>
        <w:rPr>
          <w:rFonts w:ascii="Times New Roman" w:hAnsi="Times New Roman" w:cs="Times New Roman" w:eastAsia="바탕"/>
          <w:b w:val="0"/>
          <w:i w:val="0"/>
          <w:sz w:val="24"/>
        </w:rPr>
        <w:t>[48]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search_strings_20260802_205110.md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planning evidence strength (Table 4,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