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바탕"/>
          <w:b/>
          <w:i w:val="0"/>
          <w:sz w:val="28"/>
        </w:rPr>
        <w:t>Supplementary material</w:t>
      </w:r>
    </w:p>
    <w:p>
      <w:r>
        <w:rPr>
          <w:rFonts w:ascii="Times New Roman" w:hAnsi="Times New Roman" w:cs="Times New Roman" w:eastAsia="바탕"/>
          <w:b/>
          <w:i w:val="0"/>
          <w:sz w:val="24"/>
        </w:rPr>
        <w:t>The dose-response of urban noise to human mobility measured with a city-scale IoT sensor network in Seoul</w:t>
      </w:r>
    </w:p>
    <w:p>
      <w:r>
        <w:rPr>
          <w:rFonts w:ascii="Times New Roman" w:hAnsi="Times New Roman" w:cs="Times New Roman" w:eastAsia="바탕"/>
          <w:b w:val="0"/>
          <w:i w:val="0"/>
          <w:sz w:val="22"/>
        </w:rPr>
        <w:t>Hyun In Jo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13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landuse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바탕"/>
          <w:b w:val="0"/>
          <w:i w:val="0"/>
          <w:sz w:val="20"/>
        </w:rPr>
        <w:t>Supplementary Fig. S1. Commercial versus residential detail of the long-run spatial cross-section. (a, c) Drift-removed relative noise change for commercial and residential dongs (all classified dongs mapped). (b, d) Neighbourhood-level association between distancing-era mobility reduction and relative noise change (dongs with &gt;= 2 sensors): the commercial Pearson correlation (+0.38) collapses to rho = +0.08 under rank-based statistics, and residential dongs show no association either.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1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calibration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Supplementary Fig. S2. Absolute-level validation detail. (a) Calibrated </w:t>
      </w:r>
      <w:r>
        <w:rPr>
          <w:rFonts w:ascii="Times New Roman" w:hAnsi="Times New Roman" w:cs="Times New Roman" w:eastAsia="바탕"/>
          <w:b w:val="0"/>
          <w:i w:val="0"/>
          <w:sz w:val="20"/>
        </w:rPr>
        <w:t>L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bscript"/>
        </w:rPr>
        <w:t>Aeq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(2024 survey) versus nearby S-DoT </w:t>
      </w:r>
      <w:r>
        <w:rPr>
          <w:rFonts w:ascii="Times New Roman" w:hAnsi="Times New Roman" w:cs="Times New Roman" w:eastAsia="바탕"/>
          <w:b w:val="0"/>
          <w:i w:val="0"/>
          <w:sz w:val="20"/>
        </w:rPr>
        <w:t>L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bscript"/>
        </w:rPr>
        <w:t>day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(2022): no cross-sectional correlation (r = -0.04), reflecting sensor-specific calibration offsets. (b) Distribution of the S-DoT minus calibrated </w:t>
      </w:r>
      <w:r>
        <w:rPr>
          <w:rFonts w:ascii="Times New Roman" w:hAnsi="Times New Roman" w:cs="Times New Roman" w:eastAsia="바탕"/>
          <w:b w:val="0"/>
          <w:i w:val="0"/>
          <w:sz w:val="20"/>
        </w:rPr>
        <w:t>L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bscript"/>
        </w:rPr>
        <w:t>Aeq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offset (mean -11.7 dB; n = 60 pairs within 500 m).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landuse_class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바탕"/>
          <w:b w:val="0"/>
          <w:i w:val="0"/>
          <w:sz w:val="20"/>
        </w:rPr>
        <w:t>Supplementary Fig. S3. Neighbourhood activity-type classification. (a) Commercial / mixed / residential terciles of the post-lifting daytime/night-time de-facto population ratio. (b) Distribution of the ratio with tercile cuts (0.88 / 1.00).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