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rFonts w:hint="eastAsia"/>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spacing w:line="360" w:lineRule="auto"/>
        <w:rPr>
          <w:rFonts w:eastAsia="맑은 고딕"/>
          <w:color w:val="000000"/>
          <w:szCs w:val="20"/>
        </w:rPr>
      </w:pPr>
    </w:p>
    <w:p>
      <w:pPr>
        <w:spacing w:line="360" w:lineRule="auto"/>
        <w:rPr>
          <w:rFonts w:eastAsia="맑은 고딕"/>
          <w:b/>
          <w:bCs/>
        </w:rPr>
      </w:pPr>
      <w:r>
        <w:rPr>
          <w:rFonts w:eastAsia="MS Mincho"/>
          <w:b/>
          <w:bCs/>
        </w:rPr>
        <w:t>[Corresponding author]</w:t>
      </w:r>
    </w:p>
    <w:p>
      <w:pPr>
        <w:spacing w:line="360" w:lineRule="auto"/>
        <w:rPr>
          <w:rFonts w:eastAsia="맑은 고딕"/>
        </w:rPr>
      </w:pPr>
      <w:r>
        <w:rPr>
          <w:color w:val="000000" w:themeColor="text1"/>
          <w:szCs w:val="20"/>
        </w:rPr>
        <w:t>*Send correspondence to: Hyun In Jo (best2012@hanyang.ac.kr)</w:t>
      </w:r>
    </w:p>
    <w:p>
      <w:pPr>
        <w:spacing w:line="360" w:lineRule="auto"/>
        <w:ind w:leftChars="1056" w:left="3045" w:hangingChars="213" w:hanging="511"/>
        <w:rPr>
          <w:rFonts w:eastAsia="맑은 고딕"/>
        </w:rPr>
      </w:pPr>
      <w:r>
        <w:rPr>
          <w:rFonts w:eastAsia="맑은 고딕"/>
        </w:rPr>
        <w:t>Department of Architectural Engineering</w:t>
      </w:r>
    </w:p>
    <w:p>
      <w:pPr>
        <w:spacing w:line="360" w:lineRule="auto"/>
        <w:ind w:leftChars="1056" w:left="3045" w:hangingChars="213" w:hanging="511"/>
        <w:rPr>
          <w:rFonts w:eastAsia="맑은 고딕"/>
        </w:rPr>
      </w:pPr>
      <w:r>
        <w:rPr>
          <w:rFonts w:eastAsia="맑은 고딕"/>
        </w:rPr>
        <w:t>Hanyang University</w:t>
      </w:r>
    </w:p>
    <w:p>
      <w:pPr>
        <w:spacing w:line="360" w:lineRule="auto"/>
        <w:ind w:leftChars="1056" w:left="3045" w:hangingChars="213" w:hanging="511"/>
        <w:rPr>
          <w:rFonts w:eastAsia="맑은 고딕"/>
        </w:rPr>
      </w:pPr>
      <w:r>
        <w:rPr>
          <w:rFonts w:eastAsia="맑은 고딕"/>
        </w:rPr>
        <w:t>Seoul, 04763, Republic of Korea</w:t>
      </w:r>
    </w:p>
    <w:p>
      <w:pPr>
        <w:spacing w:line="360" w:lineRule="auto"/>
        <w:rPr>
          <w:rFonts w:eastAsia="맑은 고딕"/>
          <w:color w:val="000000"/>
          <w:szCs w:val="20"/>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 +1.16])과 소리–행태 상관(sound–behaviour correlation; </w:t>
      </w:r>
      <w:r>
        <w:rPr>
          <w:i/>
          <w:lang w:eastAsia="ko-KR"/>
        </w:rPr>
        <w:t>k</w:t>
      </w:r>
      <w:r>
        <w:rPr>
          <w:lang w:eastAsia="ko-KR"/>
        </w:rPr>
        <w:t xml:space="preserve"> = 6, </w:t>
      </w:r>
      <w:r>
        <w:rPr>
          <w:i/>
          <w:lang w:eastAsia="ko-KR"/>
        </w:rPr>
        <w:t>r</w:t>
      </w:r>
      <w:r>
        <w:rPr>
          <w:lang w:eastAsia="ko-KR"/>
        </w:rPr>
        <w:t xml:space="preserve"> = +0.42, 95% CI [+0.19, +0.61])뿐이었다.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역방향이었다(3.6절). 역방향 레코드는 행태 도메인에 따라 고르게 분포하지 않았다. 실험적으로 조작하기 쉬운 이동과 체류에서는 순방향 설계가 대부분이었지만, 공간이용, 활동, 사회적 행태에서는 순방향과 역방향 레코드가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pPr>
        <w:ind w:firstLine="288"/>
        <w:jc w:val="both"/>
        <w:rPr>
          <w:lang w:eastAsia="ko-KR"/>
        </w:rPr>
      </w:pPr>
      <w:r>
        <w:rPr>
          <w:lang w:eastAsia="ko-KR"/>
        </w:rPr>
        <w:t>본 체계적 문헌고찰과 메타분석은 PRISMA 2020 성명[19]에 따라 수행하고 보고했다. 프로토콜은 스크리닝을 시작하기 전에 OSF Registries에 사전등록했으며(osf.io/7ew8q), 효과크기 산출과 합성에 관한 분석 규칙은 효과크기를 계산하기 전에 확정했다. 프로토콜과 달라진 사항은 2.9절에 제시했다.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다음 기준을 모두 충족한 연구를 포함했다. 첫째, 사람을 대상으로 한 연구로 한정했다. 둘째, 옥외 또는 반옥외의 도시·경관 공공공간(공원, 가로, 광장, 수변, 옥외 캠퍼스, 주거 옥외공간, 레크리에이션 공간)을 다룬 연구로 한정했다. 셋째, 소음, 자연음, 음악, 사운드스케이프 등 음환경을 노출로 다룬 연구를 포함했으며, 1.4절에서 설명한 이유로 행태와 활동이 음환경이나 사운드스케이프에 미치는 영향을 다룬 역방향 연구도 포함했다. 넷째, 관찰 가능한 행태, 즉 이동(보행속도, 경로, 횡단), 체류(체류시간, 착석), 공간이용(방문, 점유), 활동(신체활동, 여가), 사회적 상호작용 중 하나 이상을 결과로 측정한 연구로 한정했으며, 자기보고로 측정한 행태도 포함했다. 다섯째, 영어로 게재된 동료심사 학술지의 실증 연구로 한정했다. 동물 행태 연구, 실내·차량·병원·직장 환경의 연구, 지각·선호·성가심도·회복감·생리반응만 보고한 연구는 제외했다. 옥외 장면을 재현한 실험실·가상현실 연구는 포함하되 이들을 제외한 민감도 분석을 수행했고, 방문 의향처럼 행태 의도만을 결과로 보고한 연구는 민감도 분석에만 사용했다.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pPr>
        <w:ind w:firstLine="288"/>
        <w:jc w:val="both"/>
        <w:rPr>
          <w:lang w:eastAsia="ko-KR"/>
        </w:rPr>
      </w:pPr>
      <w:r>
        <w:rPr>
          <w:lang w:eastAsia="ko-KR"/>
        </w:rPr>
        <w:t>2026년 8월 2일에 Web of Science Core Collection, Scopus, PubMed를 검색했다. 검색식은 음환경, 행태, 도시 옥외 세팅에 관한 세 개념 블록을 AND로 결합해 구성했고, 출판 기간은 제한하지 않았으며 영어 학술지 논문으로 한정했다. 데이터베이스별 검색식은 Appendix A에 제시했다. 검색 전략은 적격성이 이미 확인된 논문 5편이 모두 검색되는지 확인해 점검했다. 데이터베이스 검색을 보완하기 위해 두 가지 방법을 추가로 사용했다. 첫째, 데이터베이스 검색으로 포함되거나 민감도 분석용으로 분류된 84편의 참고문헌과 피인용 문헌을 OpenAlex에서 수집하는 후방·전방 인용 추적을 수행했다. 둘째, OpenAlex가 Web of Science나 Scopus보다 넓은 범위의 문헌을 색인한다는 점을 고려해[20], 같은 개념 블록으로 구성한 검색식으로 OpenAlex를 검색하고 세 데이터베이스에 색인되지 않은 레코드를 확인했다.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pPr>
        <w:ind w:firstLine="288"/>
        <w:jc w:val="both"/>
        <w:rPr>
          <w:lang w:eastAsia="ko-KR"/>
        </w:rPr>
      </w:pPr>
      <w:r>
        <w:rPr>
          <w:lang w:eastAsia="ko-KR"/>
        </w:rPr>
        <w:t>스크리닝과 자료 추출(2.5절)은 AI 보조 결과를 한 명의 리뷰어가 검증하는 방식으로 수행했다. 중복 레코드를 제거한 뒤 제목과 초록으로 1차 선별하고, 적격 가능성이 있는 레코드의 전문을 검토했다. 행태 결과를 측정하고도 초록에는 지각 결과만 보고한 연구가 많았기 때문에, 제목과 초록만으로 판단하기 어려운 레코드는 배제하지 않고 전문 검토로 넘겼다. 인용 추적으로 얻은 레코드는 수가 많고 주제와 무관한 문헌이 많아, 세 개념 블록 중 두 개 이상에 해당하는 용어가 제목에 나타나고 동물 음향 연구가 아닌 레코드를 자동으로 선별한 뒤 스크리닝했다. 전문 검토에서 반복적으로 나타난 경계 사례는 개별 판정에 앞서 규칙으로 정한 뒤 일관되게 적용했다. 주거지 소음 노출과 비특정 신체활동의 관계를 다룬 연구는 제외했고, 평정 결과를 가진 역방향 연구는 포함했다.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pPr>
        <w:ind w:firstLine="288"/>
        <w:jc w:val="both"/>
        <w:rPr>
          <w:lang w:eastAsia="ko-KR"/>
        </w:rPr>
      </w:pPr>
      <w:r>
        <w:rPr>
          <w:lang w:eastAsia="ko-KR"/>
        </w:rPr>
        <w:t>표준화된 추출 양식을 사용해 서지 정보, 국가, 세팅, 연구 설계, 표본 크기, 노출, 행태 도메인, 행태 측정 방법, 관계의 방향, 주요 결과, 효과 통계를 추출했다. 효과 통계는 원문에 보고된 값과 그 위치를 그대로 기록했고, 효과크기로의 변환은 합성 단계에서만 수행했다. 행태 결과는 이동, 체류, 공간이용, 활동, 사회적 상호작용의 다섯 도메인으로 분류했으며, 한 연구가 여러 도메인에 해당하면 각 도메인에 모두 포함했다. 관계의 방향은 음환경이 행태에 미치는 영향을 다룬 순방향(forward), 행태나 활동이 음환경 또는 사운드스케이프에 미치는 영향을 다룬 역방향(reverse), 두 방향을 모두 다룬 양방향(both)으로 코딩했다. 방향 분포는 연구 단위와 함께, 연구 × 행태 도메인 레코드 단위로도 집계했다. 행태 측정 방법은 자기보고(G1), 체계적 관찰(G2), 센서·GPS·영상·빅데이터를 이용한 측정(G3)으로 분류했고, 여러 방법을 함께 사용한 연구는 해당하는 모든 범주에 포함했다. 소음계처럼 노출만 측정한 장비는 G3로 분류하지 않았다. 증거 지도(evidence map)를 작성하기 위해 음원은 교통, 일반 소음, 자연음, 음악·부가음, 사람·군중, 항공기, 기타로 분류했다.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pPr>
        <w:ind w:firstLine="288"/>
        <w:jc w:val="both"/>
        <w:rPr>
          <w:lang w:eastAsia="ko-KR"/>
        </w:rPr>
      </w:pPr>
      <w:r>
        <w:rPr>
          <w:lang w:eastAsia="ko-KR"/>
        </w:rPr>
        <w:t>포함 연구의 방법론적 질은 Mixed Methods Appraisal Tool(MMAT) 2018로 평가했다[21]. MMAT는 질적, 무작위배정, 비무작위 정량, 정량 기술, 혼합 연구의 다섯 범주마다 다섯 문항을 적용하며, 각 문항은 충족(Yes), 미충족(No), 판단불가(Can't tell)로 판정한다. 범주는 전문을 검토해 배정했고, 충족 문항 수에 따라 4~5개는 high, 3개는 moderate, 0~2개는 low로 분류했다. 품질 등급은 배제 기준으로 사용하지 않고 민감도 분석에 활용했다. 자료 추출 과정에서 전문 텍스트가 잘린 연구는 전체 전문으로 다시 평가했다.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pPr>
        <w:ind w:firstLine="288"/>
        <w:jc w:val="both"/>
        <w:rPr>
          <w:lang w:eastAsia="ko-KR"/>
        </w:rPr>
      </w:pPr>
      <w:r>
        <w:rPr>
          <w:lang w:eastAsia="ko-KR"/>
        </w:rPr>
        <w:t xml:space="preserve">같은 행태 결과를 같은 대비 방식으로 다룬 독립 효과가 3개 이상일 때 메타분석을 수행했다. 집단 간 비교는 Hedges' </w:t>
      </w:r>
      <w:r>
        <w:rPr>
          <w:i/>
          <w:lang w:eastAsia="ko-KR"/>
        </w:rPr>
        <w:t>g</w:t>
      </w:r>
      <w:r>
        <w:rPr>
          <w:lang w:eastAsia="ko-KR"/>
        </w:rPr>
        <w:t xml:space="preserve">로 산출했고[22], 2 × 2 빈도로 보고된 결과는 오즈비를 Chinn의 방법으로 </w:t>
      </w:r>
      <w:r>
        <w:rPr>
          <w:i/>
          <w:lang w:eastAsia="ko-KR"/>
        </w:rPr>
        <w:t>d</w:t>
      </w:r>
      <w:r>
        <w:rPr>
          <w:lang w:eastAsia="ko-KR"/>
        </w:rPr>
        <w:t xml:space="preserve">로 변환했으며[23], 상관계수는 Fisher's </w:t>
      </w:r>
      <w:r>
        <w:rPr>
          <w:i/>
          <w:lang w:eastAsia="ko-KR"/>
        </w:rPr>
        <w:t>z</w:t>
      </w:r>
      <w:r>
        <w:rPr>
          <w:lang w:eastAsia="ko-KR"/>
        </w:rPr>
        <w:t xml:space="preserve">로 변환해 합성한 뒤 </w:t>
      </w:r>
      <w:r>
        <w:rPr>
          <w:i/>
          <w:lang w:eastAsia="ko-KR"/>
        </w:rPr>
        <w:t>r</w:t>
      </w:r>
      <w:r>
        <w:rPr>
          <w:lang w:eastAsia="ko-KR"/>
        </w:rPr>
        <w:t>로 제시했다. 한 연구가 같은 분석에 여러 효과를 제공하면 사전에 정한 우선순위(객관적 측정, 주분석, 전체표본)에 따라 하나를 선택했고, 같은 순위의 효과가 여럿이면 효과 간 상관을 0.5로 가정해 연구 내에서 합성했다. 표본을 공유하는 연구는 한 편만 포함했고, 반복 관측 설계에서는 관측 수가 아니라 참가자 수를 표본 크기로 사용했다.</w:t>
      </w:r>
    </w:p>
    <w:p>
      <w:pPr>
        <w:ind w:firstLine="288"/>
        <w:jc w:val="both"/>
        <w:rPr>
          <w:lang w:eastAsia="ko-KR"/>
        </w:rPr>
      </w:pPr>
      <w:r>
        <w:rPr>
          <w:lang w:eastAsia="ko-KR"/>
        </w:rPr>
        <w:t xml:space="preserve">효과는 REML 랜덤효과 모형으로 합성하고 신뢰구간에 Hartung–Knapp 보정을 적용했다[24]. 연구 간 이질성은 τ²와 </w:t>
      </w:r>
      <w:r>
        <w:rPr>
          <w:i/>
          <w:lang w:eastAsia="ko-KR"/>
        </w:rPr>
        <w:t>I</w:t>
      </w:r>
      <w:r>
        <w:rPr>
          <w:lang w:eastAsia="ko-KR"/>
        </w:rPr>
        <w:t xml:space="preserve">²로 평가했고, </w:t>
      </w:r>
      <w:r>
        <w:rPr>
          <w:i/>
          <w:lang w:eastAsia="ko-KR"/>
        </w:rPr>
        <w:t>I</w:t>
      </w:r>
      <w:r>
        <w:rPr>
          <w:lang w:eastAsia="ko-KR"/>
        </w:rPr>
        <w:t xml:space="preserve">²가 25%, 50%, 75% 이상이면 각각 낮은, 중간, 높은 이질성으로 해석했다[25]. 새로운 연구에서 기대되는 효과 범위를 제시하기 위해 95% 예측구간을 함께 산출했다[26]. 결과의 안정성은 여덟 가지 민감도 분석으로 확인했다. 한 편씩 제외하는 분석(leave-one-out), MMAT low 등급 연구 제외, 관측 단위에 따른 표본 크기 재계산, 순위상관 제외, 결측값을 복원한 입력의 제외, 보행속도 분석의 대안적 정의, 실험실 재현 연구 제외, 인용 추적으로 확보한 연구 제외가 그것이다. 출판편향 평가(깔때기 그림과 Egger 검정)는 사전 규칙에 따라 </w:t>
      </w:r>
      <w:r>
        <w:rPr>
          <w:i/>
          <w:lang w:eastAsia="ko-KR"/>
        </w:rPr>
        <w:t>k</w:t>
      </w:r>
      <w:r>
        <w:rPr>
          <w:lang w:eastAsia="ko-KR"/>
        </w:rPr>
        <w:t xml:space="preserve"> ≥ 10인 경우에만 수행하기로 했다[27]. 사전등록한 하위그룹 분석은 클러스터당 효과 수가 적어 수행하지 않았다. 유의수준은 양측 </w:t>
      </w:r>
      <w:r>
        <w:rPr>
          <w:i/>
          <w:lang w:eastAsia="ko-KR"/>
        </w:rPr>
        <w:t>p</w:t>
      </w:r>
      <w:r>
        <w:rPr>
          <w:lang w:eastAsia="ko-KR"/>
        </w:rPr>
        <w:t xml:space="preserve"> &lt; 0.05로 했으며, 모든 분석은 Python 3.13(NumPy 2.2, SciPy 1.17)으로 수행했다.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pPr>
        <w:ind w:firstLine="288"/>
        <w:jc w:val="both"/>
        <w:rPr>
          <w:lang w:eastAsia="ko-KR"/>
        </w:rPr>
      </w:pPr>
      <w:r>
        <w:rPr>
          <w:lang w:eastAsia="ko-KR"/>
        </w:rPr>
        <w:t>계획 실무에 대한 함의를 정리하기 위해, 포함 연구에서 실제로 조작되거나 측정된 노출을 설계자나 운영자가 바꿀 수 있는 조치, 즉 계획 레버(planning lever)로 귀납적으로 묶었다. 예를 들어 소음 수준이 높다는 것은 상태이며, 환기 설비를 옮기거나 유지관리 일정을 조정하는 것이 레버에 해당한다. 각 레버에는 계획 근거 강도(planning evidence strength)를 high, moderate, low, very low의 네 수준으로 부여했다. 판정에는 기여 연구 수, 연구들의 MMAT 등급 구성, 합성 결과의 신뢰구간이 0을 배제하는지 여부, 세팅의 다양성, 민감도 분석에서 결과가 유지되는지를 함께 고려했다. 이는 계획 적용을 위한 실용적 종합 판단이며, GRADE와 같은 검증된 증거 확실성(certainty-of-evidence) 평가 체계는 아니다.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pPr>
        <w:ind w:firstLine="288"/>
        <w:jc w:val="both"/>
        <w:rPr>
          <w:lang w:eastAsia="ko-KR"/>
        </w:rPr>
      </w:pPr>
      <w:r>
        <w:rPr>
          <w:lang w:eastAsia="ko-KR"/>
        </w:rPr>
        <w:t>프로토콜과 달라진 주요 사항은 다음과 같다. 사전등록한 다섯 개 행태 클러스터 가운데 방문·공간이용은 연구들이 분산 정보를 보고하지 않아 합성하지 못했으며, 최종 메타분석은 보행속도, 체류, 사회적 상호작용, 소리–행태 상관의 네 클러스터로 수행했다. 무작위배정 연구에 대한 RoB 2 평가는 해당 연구가 2편뿐이고 필요한 정보를 보고하지 않아 수행하지 않았다. 인용 추적 레코드에는 등록 시점에 명시하지 않은 제목 기준 자동 선별을 적용했다. 경계 규칙은 등록 이후 전문 검토 과정에서 정했으며, 옥외 장면을 실험실에서 재현한 연구를 민감도 분석 전용으로 분류하는 규칙은 인용 추적 경로에만 적용됐다. 다만 이러한 연구는 어느 메타분석에도 포함되지 않아 결과에는 영향이 없었다. 보행속도 메타분석에서는 노출과 행태의 정의가 다른 광장 배경음악 연구를, 사회적 상호작용 메타분석에서는 관찰 기록 간 독립성이 성립하지 않는 연구 한 편을 제외하고, 두 연구를 포함한 결과는 민감도 분석으로 보고했다(3.5절). 체류 메타분석에는 체류시간 대신 방문빈도를 결과로 보고한 연구를 포함한 분석을 사후 민감도 분석으로 추가했다. 분석을 마친 뒤 수행한 독립 코드 검토에서는 τ² 추정 방식, 보행속도 분석의 연구당 단일 효과 규칙 위반, 상관 분석 입력값 2건, 순위상관 제외 민감도 분석의 구현에서 모두 네 건의 오류가 확인돼 모든 메타분석을 재계산했으며, 이 수정은 결론을 바꾸지 않았다. 전체 편차 기록은 OSF 프로젝트에 공개한다.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89건은 전문을 확보하지 못했으며, 그중 84건은 스크리닝 단계에서 판단이 불확실한 레코드로 분류된 것이었다. 전문을 평가한 100편 가운데 16편을 배제하고 3편을 민감도 분석용으로 분류해, 데이터베이스 경로에서 81편을 포함했다. 데이터베이스 경로의 포함 연구 81편과 민감도 분석용 3편, 총 84편의 인용을 추적해 기존 풀에 없던 2,073건을 추가로 확인했다. 제목 기준 자동 선별 후 428건을 제목으로, 146건을 초록으로 스크리닝해 79건을 전문 확보 대상으로 선정했고, 확보한 54편 가운데 38편을 배제하고 1편을 민감도 분석용으로 분류해 15편을 추가로 포함했다. 이는 데이터베이스 경로 산출의 19%에 해당한다. 보조 색인 경로에서는 329건을 스크리닝해 15건을 전문 확보 대상으로 선정하고, 5편을 평가해 2편을 포함했다. 최종적으로 98편을 리뷰에 포함했으며, 민감도 분석에만 사용한 4편을 더하면 분석 대상은 102편이다. 선별 과정은 Fig. 1에 제시했다.</w:t>
      </w:r>
    </w:p>
    <w:p>
      <w:pPr>
        <w:spacing w:before="200" w:after="80" w:line="240" w:lineRule="auto"/>
        <w:jc w:val="center"/>
      </w:pPr>
      <w:r>
        <w:drawing>
          <wp:inline xmlns:a="http://schemas.openxmlformats.org/drawingml/2006/main" xmlns:pic="http://schemas.openxmlformats.org/drawingml/2006/picture">
            <wp:extent cx="5568950" cy="4429043"/>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68950" cy="4429043"/>
                    </a:xfrm>
                    <a:prstGeom prst="rect"/>
                  </pic:spPr>
                </pic:pic>
              </a:graphicData>
            </a:graphic>
          </wp:inline>
        </w:drawing>
      </w:r>
    </w:p>
    <w:p>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search of OpenAlex for records not indexed in the three databases. Records from citation searching were prefiltered by an automated title-level filter before screening.</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pPr>
        <w:ind w:firstLine="288"/>
        <w:jc w:val="both"/>
        <w:rPr>
          <w:lang w:eastAsia="ko-KR"/>
        </w:rPr>
      </w:pPr>
      <w:r>
        <w:rPr>
          <w:lang w:eastAsia="ko-KR"/>
        </w:rPr>
        <w:t>포함된 98편 중 70편(71%)이 2020년 이후에 게재됐으며, 출판연도의 중앙값은 2022년이고 가장 오래된 연구는 1975년에 발표됐다. 참가자 수를 보고한 56편의 중앙값은 124명(IQR 30–400)이었다. 나머지 연구는 가로 구간, GPS 궤적, 스트리트뷰 표본점처럼 참가자가 아닌 단위로 표본을 보고했으며, 가장 큰 표본은 자전거 통행 81,403건이었다. 세팅은 가로(41편)와 공원(32편)이 대부분이었고, 광장(10편), 캠퍼스, 주거 옥외공간, 수변이 뒤를 이었다. 연구 설계는 관찰과 설문을 결합한 혼합 연구(34편)가 가장 많았고, 설문 연구(25편), 현장실험 또는 자연실험(19편, 19%), 현장 관찰(7편), 센서·빅데이터 연구(6편), 실험실·가상현실 실험(5편)이 뒤를 이었다. 포함 연구의 특성은 Table 1에, 개별 연구의 특성은 Appendix B에 제시했다.</w:t>
      </w:r>
    </w:p>
    <w:p>
      <w:pPr>
        <w:ind w:firstLine="288"/>
        <w:jc w:val="both"/>
        <w:rPr>
          <w:lang w:eastAsia="ko-KR"/>
        </w:rPr>
      </w:pPr>
      <w:r>
        <w:rPr>
          <w:lang w:eastAsia="ko-KR"/>
        </w:rPr>
        <w:t>연구가 수행된 국가는 중국이 38편(39%)으로 가장 많았고, 스페인(7편), 영국(6편), 독일(5편)이 뒤를 이었으며, 4편은 자료 수집 국가를 보고하지 않았다(Fig. 2a). 역방향 연구 33편 가운데 31편은 2016년 이후에 발표됐다(Fig. 2b).</w:t>
      </w:r>
    </w:p>
    <w:p>
      <w:pPr>
        <w:spacing w:before="160" w:after="80" w:line="240" w:lineRule="auto"/>
        <w:rPr>
          <w:b/>
          <w:sz w:val="22"/>
          <w:lang w:eastAsia="ko-KR"/>
        </w:rPr>
      </w:pPr>
      <w:r>
        <w:rPr>
          <w:b/>
          <w:sz w:val="22"/>
          <w:lang w:eastAsia="ko-KR"/>
        </w:rPr>
        <w:br w:type="page"/>
      </w:r>
    </w:p>
    <w:p>
      <w:pPr>
        <w:spacing w:before="160" w:after="80" w:line="240" w:lineRule="auto"/>
      </w:pPr>
      <w:r>
        <w:rPr>
          <w:b/>
          <w:sz w:val="22"/>
        </w:rPr>
        <w:t>Table 1.</w:t>
      </w:r>
      <w:r>
        <w:rPr>
          <w:sz w:val="22"/>
        </w:rPr>
        <w:t xml:space="preserve"> Characteristics of the included studies (n = 98).</w:t>
      </w:r>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4424"/>
        <w:gridCol w:w="2568"/>
        <w:gridCol w:w="1778"/>
      </w:tblGrid>
      <w:tr>
        <w:trPr>
          <w:trHeight w:val="278"/>
          <w:jc w:val="center"/>
        </w:trPr>
        <w:tc>
          <w:tcPr>
            <w:tcW w:w="4424" w:type="dxa"/>
          </w:tcPr>
          <w:p>
            <w:pPr>
              <w:spacing w:line="240" w:lineRule="auto"/>
              <w:rPr>
                <w:sz w:val="22"/>
              </w:rPr>
            </w:pPr>
            <w:r>
              <w:rPr>
                <w:b/>
                <w:sz w:val="22"/>
              </w:rPr>
              <w:t>Characteristic</w:t>
            </w:r>
          </w:p>
        </w:tc>
        <w:tc>
          <w:tcPr>
            <w:tcW w:w="2568" w:type="dxa"/>
          </w:tcPr>
          <w:p>
            <w:pPr>
              <w:spacing w:line="240" w:lineRule="auto"/>
              <w:rPr>
                <w:sz w:val="22"/>
              </w:rPr>
            </w:pPr>
            <w:r>
              <w:rPr>
                <w:b/>
                <w:sz w:val="22"/>
              </w:rPr>
              <w:t>Studies</w:t>
            </w:r>
          </w:p>
        </w:tc>
        <w:tc>
          <w:tcPr>
            <w:tcW w:w="1778" w:type="dxa"/>
          </w:tcPr>
          <w:p>
            <w:pPr>
              <w:spacing w:line="240" w:lineRule="auto"/>
              <w:rPr>
                <w:sz w:val="22"/>
              </w:rPr>
            </w:pPr>
            <w:r>
              <w:rPr>
                <w:b/>
                <w:sz w:val="22"/>
              </w:rPr>
              <w:t>%</w:t>
            </w:r>
          </w:p>
        </w:tc>
      </w:tr>
      <w:tr>
        <w:trPr>
          <w:trHeight w:val="278"/>
          <w:jc w:val="center"/>
        </w:trPr>
        <w:tc>
          <w:tcPr>
            <w:tcW w:w="8770" w:type="dxa"/>
            <w:gridSpan w:val="3"/>
            <w:tcBorders>
              <w:bottom w:val="single" w:sz="4" w:space="0" w:color="auto"/>
            </w:tcBorders>
          </w:tcPr>
          <w:p>
            <w:pPr>
              <w:spacing w:line="240" w:lineRule="auto"/>
              <w:rPr>
                <w:sz w:val="22"/>
              </w:rPr>
            </w:pPr>
            <w:r>
              <w:rPr>
                <w:b/>
                <w:sz w:val="22"/>
              </w:rPr>
              <w:t>Publication period</w:t>
            </w:r>
          </w:p>
        </w:tc>
      </w:tr>
      <w:tr>
        <w:trPr>
          <w:trHeight w:val="278"/>
          <w:jc w:val="center"/>
        </w:trPr>
        <w:tc>
          <w:tcPr>
            <w:tcW w:w="4424" w:type="dxa"/>
            <w:tcBorders>
              <w:top w:val="single" w:sz="4" w:space="0" w:color="auto"/>
              <w:bottom w:val="nil"/>
            </w:tcBorders>
          </w:tcPr>
          <w:p>
            <w:pPr>
              <w:spacing w:line="240" w:lineRule="auto"/>
              <w:rPr>
                <w:sz w:val="22"/>
              </w:rPr>
            </w:pPr>
            <w:r>
              <w:rPr>
                <w:sz w:val="22"/>
              </w:rPr>
              <w:t>≤2009</w:t>
            </w:r>
          </w:p>
        </w:tc>
        <w:tc>
          <w:tcPr>
            <w:tcW w:w="2568" w:type="dxa"/>
            <w:tcBorders>
              <w:top w:val="single" w:sz="4" w:space="0" w:color="auto"/>
              <w:bottom w:val="nil"/>
            </w:tcBorders>
          </w:tcPr>
          <w:p>
            <w:pPr>
              <w:spacing w:line="240" w:lineRule="auto"/>
              <w:rPr>
                <w:sz w:val="22"/>
              </w:rPr>
            </w:pPr>
            <w:r>
              <w:rPr>
                <w:sz w:val="22"/>
              </w:rPr>
              <w:t>5</w:t>
            </w:r>
          </w:p>
        </w:tc>
        <w:tc>
          <w:tcPr>
            <w:tcW w:w="1778" w:type="dxa"/>
            <w:tcBorders>
              <w:top w:val="single" w:sz="4" w:space="0" w:color="auto"/>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2010–2019</w:t>
            </w:r>
          </w:p>
        </w:tc>
        <w:tc>
          <w:tcPr>
            <w:tcW w:w="2568" w:type="dxa"/>
            <w:tcBorders>
              <w:top w:val="nil"/>
              <w:bottom w:val="nil"/>
            </w:tcBorders>
          </w:tcPr>
          <w:p>
            <w:pPr>
              <w:spacing w:line="240" w:lineRule="auto"/>
              <w:rPr>
                <w:sz w:val="22"/>
              </w:rPr>
            </w:pPr>
            <w:r>
              <w:rPr>
                <w:sz w:val="22"/>
              </w:rPr>
              <w:t>23</w:t>
            </w:r>
          </w:p>
        </w:tc>
        <w:tc>
          <w:tcPr>
            <w:tcW w:w="1778" w:type="dxa"/>
            <w:tcBorders>
              <w:top w:val="nil"/>
              <w:bottom w:val="nil"/>
            </w:tcBorders>
          </w:tcPr>
          <w:p>
            <w:pPr>
              <w:spacing w:line="240" w:lineRule="auto"/>
              <w:rPr>
                <w:sz w:val="22"/>
              </w:rPr>
            </w:pPr>
            <w:r>
              <w:rPr>
                <w:sz w:val="22"/>
              </w:rPr>
              <w:t>23%</w:t>
            </w:r>
          </w:p>
        </w:tc>
      </w:tr>
      <w:tr>
        <w:trPr>
          <w:trHeight w:val="278"/>
          <w:jc w:val="center"/>
        </w:trPr>
        <w:tc>
          <w:tcPr>
            <w:tcW w:w="4424" w:type="dxa"/>
            <w:tcBorders>
              <w:top w:val="nil"/>
              <w:bottom w:val="single" w:sz="4" w:space="0" w:color="auto"/>
            </w:tcBorders>
          </w:tcPr>
          <w:p>
            <w:pPr>
              <w:spacing w:line="240" w:lineRule="auto"/>
              <w:rPr>
                <w:sz w:val="22"/>
              </w:rPr>
            </w:pPr>
            <w:r>
              <w:rPr>
                <w:sz w:val="22"/>
              </w:rPr>
              <w:t>2020–2026</w:t>
            </w:r>
          </w:p>
        </w:tc>
        <w:tc>
          <w:tcPr>
            <w:tcW w:w="2568" w:type="dxa"/>
            <w:tcBorders>
              <w:top w:val="nil"/>
              <w:bottom w:val="single" w:sz="4" w:space="0" w:color="auto"/>
            </w:tcBorders>
          </w:tcPr>
          <w:p>
            <w:pPr>
              <w:spacing w:line="240" w:lineRule="auto"/>
              <w:rPr>
                <w:sz w:val="22"/>
              </w:rPr>
            </w:pPr>
            <w:r>
              <w:rPr>
                <w:sz w:val="22"/>
              </w:rPr>
              <w:t>70</w:t>
            </w:r>
          </w:p>
        </w:tc>
        <w:tc>
          <w:tcPr>
            <w:tcW w:w="1778" w:type="dxa"/>
            <w:tcBorders>
              <w:top w:val="nil"/>
              <w:bottom w:val="single" w:sz="4" w:space="0" w:color="auto"/>
            </w:tcBorders>
          </w:tcPr>
          <w:p>
            <w:pPr>
              <w:spacing w:line="240" w:lineRule="auto"/>
              <w:rPr>
                <w:sz w:val="22"/>
              </w:rPr>
            </w:pPr>
            <w:r>
              <w:rPr>
                <w:sz w:val="22"/>
              </w:rPr>
              <w:t>71%</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Study design</w:t>
            </w:r>
          </w:p>
        </w:tc>
      </w:tr>
      <w:tr>
        <w:trPr>
          <w:trHeight w:val="278"/>
          <w:jc w:val="center"/>
        </w:trPr>
        <w:tc>
          <w:tcPr>
            <w:tcW w:w="4424" w:type="dxa"/>
            <w:tcBorders>
              <w:top w:val="single" w:sz="4" w:space="0" w:color="auto"/>
              <w:bottom w:val="nil"/>
            </w:tcBorders>
          </w:tcPr>
          <w:p>
            <w:pPr>
              <w:spacing w:line="240" w:lineRule="auto"/>
              <w:rPr>
                <w:sz w:val="22"/>
              </w:rPr>
            </w:pPr>
            <w:r>
              <w:rPr>
                <w:sz w:val="22"/>
              </w:rPr>
              <w:t>Mixed observation + survey</w:t>
            </w:r>
          </w:p>
        </w:tc>
        <w:tc>
          <w:tcPr>
            <w:tcW w:w="2568" w:type="dxa"/>
            <w:tcBorders>
              <w:top w:val="single" w:sz="4" w:space="0" w:color="auto"/>
              <w:bottom w:val="nil"/>
            </w:tcBorders>
          </w:tcPr>
          <w:p>
            <w:pPr>
              <w:spacing w:line="240" w:lineRule="auto"/>
              <w:rPr>
                <w:sz w:val="22"/>
              </w:rPr>
            </w:pPr>
            <w:r>
              <w:rPr>
                <w:sz w:val="22"/>
              </w:rPr>
              <w:t>34</w:t>
            </w:r>
          </w:p>
        </w:tc>
        <w:tc>
          <w:tcPr>
            <w:tcW w:w="1778" w:type="dxa"/>
            <w:tcBorders>
              <w:top w:val="single" w:sz="4" w:space="0" w:color="auto"/>
              <w:bottom w:val="nil"/>
            </w:tcBorders>
          </w:tcPr>
          <w:p>
            <w:pPr>
              <w:spacing w:line="240" w:lineRule="auto"/>
              <w:rPr>
                <w:sz w:val="22"/>
              </w:rPr>
            </w:pPr>
            <w:r>
              <w:rPr>
                <w:sz w:val="22"/>
              </w:rPr>
              <w:t>35%</w:t>
            </w:r>
          </w:p>
        </w:tc>
      </w:tr>
      <w:tr>
        <w:trPr>
          <w:trHeight w:val="278"/>
          <w:jc w:val="center"/>
        </w:trPr>
        <w:tc>
          <w:tcPr>
            <w:tcW w:w="4424" w:type="dxa"/>
            <w:tcBorders>
              <w:top w:val="nil"/>
              <w:bottom w:val="nil"/>
            </w:tcBorders>
          </w:tcPr>
          <w:p>
            <w:pPr>
              <w:spacing w:line="240" w:lineRule="auto"/>
              <w:rPr>
                <w:sz w:val="22"/>
              </w:rPr>
            </w:pPr>
            <w:r>
              <w:rPr>
                <w:sz w:val="22"/>
              </w:rPr>
              <w:t>Survey</w:t>
            </w:r>
          </w:p>
        </w:tc>
        <w:tc>
          <w:tcPr>
            <w:tcW w:w="2568" w:type="dxa"/>
            <w:tcBorders>
              <w:top w:val="nil"/>
              <w:bottom w:val="nil"/>
            </w:tcBorders>
          </w:tcPr>
          <w:p>
            <w:pPr>
              <w:spacing w:line="240" w:lineRule="auto"/>
              <w:rPr>
                <w:sz w:val="22"/>
              </w:rPr>
            </w:pPr>
            <w:r>
              <w:rPr>
                <w:sz w:val="22"/>
              </w:rPr>
              <w:t>25</w:t>
            </w:r>
          </w:p>
        </w:tc>
        <w:tc>
          <w:tcPr>
            <w:tcW w:w="1778" w:type="dxa"/>
            <w:tcBorders>
              <w:top w:val="nil"/>
              <w:bottom w:val="nil"/>
            </w:tcBorders>
          </w:tcPr>
          <w:p>
            <w:pPr>
              <w:spacing w:line="240" w:lineRule="auto"/>
              <w:rPr>
                <w:sz w:val="22"/>
              </w:rPr>
            </w:pPr>
            <w:r>
              <w:rPr>
                <w:sz w:val="22"/>
              </w:rPr>
              <w:t>26%</w:t>
            </w:r>
          </w:p>
        </w:tc>
      </w:tr>
      <w:tr>
        <w:trPr>
          <w:trHeight w:val="278"/>
          <w:jc w:val="center"/>
        </w:trPr>
        <w:tc>
          <w:tcPr>
            <w:tcW w:w="4424" w:type="dxa"/>
            <w:tcBorders>
              <w:top w:val="nil"/>
              <w:bottom w:val="nil"/>
            </w:tcBorders>
          </w:tcPr>
          <w:p>
            <w:pPr>
              <w:spacing w:line="240" w:lineRule="auto"/>
              <w:rPr>
                <w:sz w:val="22"/>
              </w:rPr>
            </w:pPr>
            <w:r>
              <w:rPr>
                <w:sz w:val="22"/>
              </w:rPr>
              <w:t>Field or natural experiment</w:t>
            </w:r>
          </w:p>
        </w:tc>
        <w:tc>
          <w:tcPr>
            <w:tcW w:w="2568" w:type="dxa"/>
            <w:tcBorders>
              <w:top w:val="nil"/>
              <w:bottom w:val="nil"/>
            </w:tcBorders>
          </w:tcPr>
          <w:p>
            <w:pPr>
              <w:spacing w:line="240" w:lineRule="auto"/>
              <w:rPr>
                <w:sz w:val="22"/>
              </w:rPr>
            </w:pPr>
            <w:r>
              <w:rPr>
                <w:sz w:val="22"/>
              </w:rPr>
              <w:t>19</w:t>
            </w:r>
          </w:p>
        </w:tc>
        <w:tc>
          <w:tcPr>
            <w:tcW w:w="1778" w:type="dxa"/>
            <w:tcBorders>
              <w:top w:val="nil"/>
              <w:bottom w:val="nil"/>
            </w:tcBorders>
          </w:tcPr>
          <w:p>
            <w:pPr>
              <w:spacing w:line="240" w:lineRule="auto"/>
              <w:rPr>
                <w:sz w:val="22"/>
              </w:rPr>
            </w:pPr>
            <w:r>
              <w:rPr>
                <w:sz w:val="22"/>
              </w:rPr>
              <w:t>19%</w:t>
            </w:r>
          </w:p>
        </w:tc>
      </w:tr>
      <w:tr>
        <w:trPr>
          <w:trHeight w:val="278"/>
          <w:jc w:val="center"/>
        </w:trPr>
        <w:tc>
          <w:tcPr>
            <w:tcW w:w="4424" w:type="dxa"/>
            <w:tcBorders>
              <w:top w:val="nil"/>
              <w:bottom w:val="nil"/>
            </w:tcBorders>
          </w:tcPr>
          <w:p>
            <w:pPr>
              <w:spacing w:line="240" w:lineRule="auto"/>
              <w:rPr>
                <w:sz w:val="22"/>
              </w:rPr>
            </w:pPr>
            <w:r>
              <w:rPr>
                <w:sz w:val="22"/>
              </w:rPr>
              <w:t>Field observation</w:t>
            </w:r>
          </w:p>
        </w:tc>
        <w:tc>
          <w:tcPr>
            <w:tcW w:w="2568" w:type="dxa"/>
            <w:tcBorders>
              <w:top w:val="nil"/>
              <w:bottom w:val="nil"/>
            </w:tcBorders>
          </w:tcPr>
          <w:p>
            <w:pPr>
              <w:spacing w:line="240" w:lineRule="auto"/>
              <w:rPr>
                <w:sz w:val="22"/>
              </w:rPr>
            </w:pPr>
            <w:r>
              <w:rPr>
                <w:sz w:val="22"/>
              </w:rPr>
              <w:t>7</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Sensor / big data</w:t>
            </w:r>
          </w:p>
        </w:tc>
        <w:tc>
          <w:tcPr>
            <w:tcW w:w="2568" w:type="dxa"/>
            <w:tcBorders>
              <w:top w:val="nil"/>
              <w:bottom w:val="nil"/>
            </w:tcBorders>
          </w:tcPr>
          <w:p>
            <w:pPr>
              <w:spacing w:line="240" w:lineRule="auto"/>
              <w:rPr>
                <w:sz w:val="22"/>
              </w:rPr>
            </w:pPr>
            <w:r>
              <w:rPr>
                <w:sz w:val="22"/>
              </w:rPr>
              <w:t>6</w:t>
            </w:r>
          </w:p>
        </w:tc>
        <w:tc>
          <w:tcPr>
            <w:tcW w:w="1778" w:type="dxa"/>
            <w:tcBorders>
              <w:top w:val="nil"/>
              <w:bottom w:val="nil"/>
            </w:tcBorders>
          </w:tcPr>
          <w:p>
            <w:pPr>
              <w:spacing w:line="240" w:lineRule="auto"/>
              <w:rPr>
                <w:sz w:val="22"/>
              </w:rPr>
            </w:pPr>
            <w:r>
              <w:rPr>
                <w:sz w:val="22"/>
              </w:rPr>
              <w:t>6%</w:t>
            </w:r>
          </w:p>
        </w:tc>
      </w:tr>
      <w:tr>
        <w:trPr>
          <w:trHeight w:val="278"/>
          <w:jc w:val="center"/>
        </w:trPr>
        <w:tc>
          <w:tcPr>
            <w:tcW w:w="4424" w:type="dxa"/>
            <w:tcBorders>
              <w:top w:val="nil"/>
              <w:bottom w:val="nil"/>
            </w:tcBorders>
          </w:tcPr>
          <w:p>
            <w:pPr>
              <w:spacing w:line="240" w:lineRule="auto"/>
              <w:rPr>
                <w:sz w:val="22"/>
              </w:rPr>
            </w:pPr>
            <w:r>
              <w:rPr>
                <w:sz w:val="22"/>
              </w:rPr>
              <w:t>Laboratory / VR experiment</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single" w:sz="4" w:space="0" w:color="auto"/>
            </w:tcBorders>
          </w:tcPr>
          <w:p>
            <w:pPr>
              <w:spacing w:line="240" w:lineRule="auto"/>
              <w:rPr>
                <w:sz w:val="22"/>
              </w:rPr>
            </w:pPr>
            <w:r>
              <w:rPr>
                <w:sz w:val="22"/>
              </w:rPr>
              <w:t>Other / not reported</w:t>
            </w:r>
          </w:p>
        </w:tc>
        <w:tc>
          <w:tcPr>
            <w:tcW w:w="2568" w:type="dxa"/>
            <w:tcBorders>
              <w:top w:val="nil"/>
              <w:bottom w:val="single" w:sz="4" w:space="0" w:color="auto"/>
            </w:tcBorders>
          </w:tcPr>
          <w:p>
            <w:pPr>
              <w:spacing w:line="240" w:lineRule="auto"/>
              <w:rPr>
                <w:sz w:val="22"/>
              </w:rPr>
            </w:pPr>
            <w:r>
              <w:rPr>
                <w:sz w:val="22"/>
              </w:rPr>
              <w:t>2</w:t>
            </w:r>
          </w:p>
        </w:tc>
        <w:tc>
          <w:tcPr>
            <w:tcW w:w="1778" w:type="dxa"/>
            <w:tcBorders>
              <w:top w:val="nil"/>
              <w:bottom w:val="single" w:sz="4" w:space="0" w:color="auto"/>
            </w:tcBorders>
          </w:tcPr>
          <w:p>
            <w:pPr>
              <w:spacing w:line="240" w:lineRule="auto"/>
              <w:rPr>
                <w:sz w:val="22"/>
              </w:rPr>
            </w:pPr>
            <w:r>
              <w:rPr>
                <w:sz w:val="22"/>
              </w:rPr>
              <w:t>2%</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Setting</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Street</w:t>
            </w:r>
          </w:p>
        </w:tc>
        <w:tc>
          <w:tcPr>
            <w:tcW w:w="2568" w:type="dxa"/>
            <w:tcBorders>
              <w:top w:val="single" w:sz="4" w:space="0" w:color="auto"/>
              <w:bottom w:val="nil"/>
            </w:tcBorders>
          </w:tcPr>
          <w:p>
            <w:pPr>
              <w:spacing w:line="240" w:lineRule="auto"/>
              <w:rPr>
                <w:sz w:val="22"/>
              </w:rPr>
            </w:pPr>
            <w:r>
              <w:rPr>
                <w:sz w:val="22"/>
              </w:rPr>
              <w:t>41</w:t>
            </w:r>
          </w:p>
        </w:tc>
        <w:tc>
          <w:tcPr>
            <w:tcW w:w="1778" w:type="dxa"/>
            <w:tcBorders>
              <w:top w:val="single" w:sz="4" w:space="0" w:color="auto"/>
              <w:bottom w:val="nil"/>
            </w:tcBorders>
          </w:tcPr>
          <w:p>
            <w:pPr>
              <w:spacing w:line="240" w:lineRule="auto"/>
              <w:rPr>
                <w:sz w:val="22"/>
              </w:rPr>
            </w:pPr>
            <w:r>
              <w:rPr>
                <w:sz w:val="22"/>
              </w:rPr>
              <w:t>42%</w:t>
            </w:r>
          </w:p>
        </w:tc>
      </w:tr>
      <w:tr>
        <w:trPr>
          <w:trHeight w:val="278"/>
          <w:jc w:val="center"/>
        </w:trPr>
        <w:tc>
          <w:tcPr>
            <w:tcW w:w="4424" w:type="dxa"/>
            <w:tcBorders>
              <w:top w:val="nil"/>
              <w:bottom w:val="nil"/>
            </w:tcBorders>
          </w:tcPr>
          <w:p>
            <w:pPr>
              <w:spacing w:line="240" w:lineRule="auto"/>
              <w:rPr>
                <w:sz w:val="22"/>
              </w:rPr>
            </w:pPr>
            <w:r>
              <w:rPr>
                <w:sz w:val="22"/>
              </w:rPr>
              <w:t>Park</w:t>
            </w:r>
          </w:p>
        </w:tc>
        <w:tc>
          <w:tcPr>
            <w:tcW w:w="2568" w:type="dxa"/>
            <w:tcBorders>
              <w:top w:val="nil"/>
              <w:bottom w:val="nil"/>
            </w:tcBorders>
          </w:tcPr>
          <w:p>
            <w:pPr>
              <w:spacing w:line="240" w:lineRule="auto"/>
              <w:rPr>
                <w:sz w:val="22"/>
              </w:rPr>
            </w:pPr>
            <w:r>
              <w:rPr>
                <w:sz w:val="22"/>
              </w:rPr>
              <w:t>32</w:t>
            </w:r>
          </w:p>
        </w:tc>
        <w:tc>
          <w:tcPr>
            <w:tcW w:w="1778" w:type="dxa"/>
            <w:tcBorders>
              <w:top w:val="nil"/>
              <w:bottom w:val="nil"/>
            </w:tcBorders>
          </w:tcPr>
          <w:p>
            <w:pPr>
              <w:spacing w:line="240" w:lineRule="auto"/>
              <w:rPr>
                <w:sz w:val="22"/>
              </w:rPr>
            </w:pPr>
            <w:r>
              <w:rPr>
                <w:sz w:val="22"/>
              </w:rPr>
              <w:t>33%</w:t>
            </w:r>
          </w:p>
        </w:tc>
      </w:tr>
      <w:tr>
        <w:trPr>
          <w:trHeight w:val="278"/>
          <w:jc w:val="center"/>
        </w:trPr>
        <w:tc>
          <w:tcPr>
            <w:tcW w:w="4424" w:type="dxa"/>
            <w:tcBorders>
              <w:top w:val="nil"/>
              <w:bottom w:val="nil"/>
            </w:tcBorders>
          </w:tcPr>
          <w:p>
            <w:pPr>
              <w:spacing w:line="240" w:lineRule="auto"/>
              <w:rPr>
                <w:sz w:val="22"/>
              </w:rPr>
            </w:pPr>
            <w:r>
              <w:rPr>
                <w:sz w:val="22"/>
              </w:rPr>
              <w:t>Square / plaza</w:t>
            </w:r>
          </w:p>
        </w:tc>
        <w:tc>
          <w:tcPr>
            <w:tcW w:w="2568" w:type="dxa"/>
            <w:tcBorders>
              <w:top w:val="nil"/>
              <w:bottom w:val="nil"/>
            </w:tcBorders>
          </w:tcPr>
          <w:p>
            <w:pPr>
              <w:spacing w:line="240" w:lineRule="auto"/>
              <w:rPr>
                <w:sz w:val="22"/>
              </w:rPr>
            </w:pPr>
            <w:r>
              <w:rPr>
                <w:sz w:val="22"/>
              </w:rPr>
              <w:t>10</w:t>
            </w:r>
          </w:p>
        </w:tc>
        <w:tc>
          <w:tcPr>
            <w:tcW w:w="1778" w:type="dxa"/>
            <w:tcBorders>
              <w:top w:val="nil"/>
              <w:bottom w:val="nil"/>
            </w:tcBorders>
          </w:tcPr>
          <w:p>
            <w:pPr>
              <w:spacing w:line="240" w:lineRule="auto"/>
              <w:rPr>
                <w:sz w:val="22"/>
              </w:rPr>
            </w:pPr>
            <w:r>
              <w:rPr>
                <w:sz w:val="22"/>
              </w:rPr>
              <w:t>10%</w:t>
            </w:r>
          </w:p>
        </w:tc>
      </w:tr>
      <w:tr>
        <w:trPr>
          <w:trHeight w:val="278"/>
          <w:jc w:val="center"/>
        </w:trPr>
        <w:tc>
          <w:tcPr>
            <w:tcW w:w="4424" w:type="dxa"/>
            <w:tcBorders>
              <w:top w:val="nil"/>
              <w:bottom w:val="nil"/>
            </w:tcBorders>
          </w:tcPr>
          <w:p>
            <w:pPr>
              <w:spacing w:line="240" w:lineRule="auto"/>
              <w:rPr>
                <w:sz w:val="22"/>
              </w:rPr>
            </w:pPr>
            <w:r>
              <w:rPr>
                <w:sz w:val="22"/>
              </w:rPr>
              <w:t>Other</w:t>
            </w:r>
          </w:p>
        </w:tc>
        <w:tc>
          <w:tcPr>
            <w:tcW w:w="2568" w:type="dxa"/>
            <w:tcBorders>
              <w:top w:val="nil"/>
              <w:bottom w:val="nil"/>
            </w:tcBorders>
          </w:tcPr>
          <w:p>
            <w:pPr>
              <w:spacing w:line="240" w:lineRule="auto"/>
              <w:rPr>
                <w:sz w:val="22"/>
              </w:rPr>
            </w:pPr>
            <w:r>
              <w:rPr>
                <w:sz w:val="22"/>
              </w:rPr>
              <w:t>8</w:t>
            </w:r>
          </w:p>
        </w:tc>
        <w:tc>
          <w:tcPr>
            <w:tcW w:w="1778" w:type="dxa"/>
            <w:tcBorders>
              <w:top w:val="nil"/>
              <w:bottom w:val="nil"/>
            </w:tcBorders>
          </w:tcPr>
          <w:p>
            <w:pPr>
              <w:spacing w:line="240" w:lineRule="auto"/>
              <w:rPr>
                <w:sz w:val="22"/>
              </w:rPr>
            </w:pPr>
            <w:r>
              <w:rPr>
                <w:sz w:val="22"/>
              </w:rPr>
              <w:t>8%</w:t>
            </w:r>
          </w:p>
        </w:tc>
      </w:tr>
      <w:tr>
        <w:trPr>
          <w:trHeight w:val="278"/>
          <w:jc w:val="center"/>
        </w:trPr>
        <w:tc>
          <w:tcPr>
            <w:tcW w:w="4424" w:type="dxa"/>
            <w:tcBorders>
              <w:top w:val="nil"/>
              <w:bottom w:val="nil"/>
            </w:tcBorders>
          </w:tcPr>
          <w:p>
            <w:pPr>
              <w:spacing w:line="240" w:lineRule="auto"/>
              <w:rPr>
                <w:sz w:val="22"/>
              </w:rPr>
            </w:pPr>
            <w:r>
              <w:rPr>
                <w:sz w:val="22"/>
              </w:rPr>
              <w:t>Campus</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Residential open space</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single" w:sz="4" w:space="0" w:color="auto"/>
            </w:tcBorders>
          </w:tcPr>
          <w:p>
            <w:pPr>
              <w:spacing w:line="240" w:lineRule="auto"/>
              <w:rPr>
                <w:sz w:val="22"/>
              </w:rPr>
            </w:pPr>
            <w:r>
              <w:rPr>
                <w:sz w:val="22"/>
              </w:rPr>
              <w:t>Waterfront</w:t>
            </w:r>
          </w:p>
        </w:tc>
        <w:tc>
          <w:tcPr>
            <w:tcW w:w="2568" w:type="dxa"/>
            <w:tcBorders>
              <w:top w:val="nil"/>
              <w:bottom w:val="single" w:sz="4" w:space="0" w:color="auto"/>
            </w:tcBorders>
          </w:tcPr>
          <w:p>
            <w:pPr>
              <w:spacing w:line="240" w:lineRule="auto"/>
              <w:rPr>
                <w:sz w:val="22"/>
              </w:rPr>
            </w:pPr>
            <w:r>
              <w:rPr>
                <w:sz w:val="22"/>
              </w:rPr>
              <w:t>4</w:t>
            </w:r>
          </w:p>
        </w:tc>
        <w:tc>
          <w:tcPr>
            <w:tcW w:w="1778" w:type="dxa"/>
            <w:tcBorders>
              <w:top w:val="nil"/>
              <w:bottom w:val="single" w:sz="4" w:space="0" w:color="auto"/>
            </w:tcBorders>
          </w:tcPr>
          <w:p>
            <w:pPr>
              <w:spacing w:line="240" w:lineRule="auto"/>
              <w:rPr>
                <w:sz w:val="22"/>
              </w:rPr>
            </w:pPr>
            <w:r>
              <w:rPr>
                <w:sz w:val="22"/>
              </w:rPr>
              <w:t>4%</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Country</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China</w:t>
            </w:r>
          </w:p>
        </w:tc>
        <w:tc>
          <w:tcPr>
            <w:tcW w:w="2568" w:type="dxa"/>
            <w:tcBorders>
              <w:top w:val="single" w:sz="4" w:space="0" w:color="auto"/>
              <w:bottom w:val="nil"/>
            </w:tcBorders>
          </w:tcPr>
          <w:p>
            <w:pPr>
              <w:spacing w:line="240" w:lineRule="auto"/>
              <w:rPr>
                <w:sz w:val="22"/>
              </w:rPr>
            </w:pPr>
            <w:r>
              <w:rPr>
                <w:sz w:val="22"/>
              </w:rPr>
              <w:t>38</w:t>
            </w:r>
          </w:p>
        </w:tc>
        <w:tc>
          <w:tcPr>
            <w:tcW w:w="1778" w:type="dxa"/>
            <w:tcBorders>
              <w:top w:val="single" w:sz="4" w:space="0" w:color="auto"/>
              <w:bottom w:val="nil"/>
            </w:tcBorders>
          </w:tcPr>
          <w:p>
            <w:pPr>
              <w:spacing w:line="240" w:lineRule="auto"/>
              <w:rPr>
                <w:sz w:val="22"/>
              </w:rPr>
            </w:pPr>
            <w:r>
              <w:rPr>
                <w:sz w:val="22"/>
              </w:rPr>
              <w:t>39%</w:t>
            </w:r>
          </w:p>
        </w:tc>
      </w:tr>
      <w:tr>
        <w:trPr>
          <w:trHeight w:val="278"/>
          <w:jc w:val="center"/>
        </w:trPr>
        <w:tc>
          <w:tcPr>
            <w:tcW w:w="4424" w:type="dxa"/>
            <w:tcBorders>
              <w:top w:val="nil"/>
              <w:bottom w:val="nil"/>
            </w:tcBorders>
          </w:tcPr>
          <w:p>
            <w:pPr>
              <w:spacing w:line="240" w:lineRule="auto"/>
              <w:rPr>
                <w:sz w:val="22"/>
              </w:rPr>
            </w:pPr>
            <w:r>
              <w:rPr>
                <w:sz w:val="22"/>
              </w:rPr>
              <w:t>Spain</w:t>
            </w:r>
          </w:p>
        </w:tc>
        <w:tc>
          <w:tcPr>
            <w:tcW w:w="2568" w:type="dxa"/>
            <w:tcBorders>
              <w:top w:val="nil"/>
              <w:bottom w:val="nil"/>
            </w:tcBorders>
          </w:tcPr>
          <w:p>
            <w:pPr>
              <w:spacing w:line="240" w:lineRule="auto"/>
              <w:rPr>
                <w:sz w:val="22"/>
              </w:rPr>
            </w:pPr>
            <w:r>
              <w:rPr>
                <w:sz w:val="22"/>
              </w:rPr>
              <w:t>7</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United Kingdom</w:t>
            </w:r>
          </w:p>
        </w:tc>
        <w:tc>
          <w:tcPr>
            <w:tcW w:w="2568" w:type="dxa"/>
            <w:tcBorders>
              <w:top w:val="nil"/>
              <w:bottom w:val="nil"/>
            </w:tcBorders>
          </w:tcPr>
          <w:p>
            <w:pPr>
              <w:spacing w:line="240" w:lineRule="auto"/>
              <w:rPr>
                <w:sz w:val="22"/>
              </w:rPr>
            </w:pPr>
            <w:r>
              <w:rPr>
                <w:sz w:val="22"/>
              </w:rPr>
              <w:t>6</w:t>
            </w:r>
          </w:p>
        </w:tc>
        <w:tc>
          <w:tcPr>
            <w:tcW w:w="1778" w:type="dxa"/>
            <w:tcBorders>
              <w:top w:val="nil"/>
              <w:bottom w:val="nil"/>
            </w:tcBorders>
          </w:tcPr>
          <w:p>
            <w:pPr>
              <w:spacing w:line="240" w:lineRule="auto"/>
              <w:rPr>
                <w:sz w:val="22"/>
              </w:rPr>
            </w:pPr>
            <w:r>
              <w:rPr>
                <w:sz w:val="22"/>
              </w:rPr>
              <w:t>6%</w:t>
            </w:r>
          </w:p>
        </w:tc>
      </w:tr>
      <w:tr>
        <w:trPr>
          <w:trHeight w:val="278"/>
          <w:jc w:val="center"/>
        </w:trPr>
        <w:tc>
          <w:tcPr>
            <w:tcW w:w="4424" w:type="dxa"/>
            <w:tcBorders>
              <w:top w:val="nil"/>
              <w:bottom w:val="nil"/>
            </w:tcBorders>
          </w:tcPr>
          <w:p>
            <w:pPr>
              <w:spacing w:line="240" w:lineRule="auto"/>
              <w:rPr>
                <w:sz w:val="22"/>
              </w:rPr>
            </w:pPr>
            <w:r>
              <w:rPr>
                <w:sz w:val="22"/>
              </w:rPr>
              <w:t>Germany</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Not reported</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Italy</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Australia</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Czechia</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single" w:sz="4" w:space="0" w:color="auto"/>
            </w:tcBorders>
          </w:tcPr>
          <w:p>
            <w:pPr>
              <w:spacing w:line="240" w:lineRule="auto"/>
              <w:rPr>
                <w:sz w:val="22"/>
              </w:rPr>
            </w:pPr>
            <w:r>
              <w:rPr>
                <w:sz w:val="22"/>
              </w:rPr>
              <w:t>Other countries (n = 24)</w:t>
            </w:r>
          </w:p>
        </w:tc>
        <w:tc>
          <w:tcPr>
            <w:tcW w:w="2568" w:type="dxa"/>
            <w:tcBorders>
              <w:top w:val="nil"/>
              <w:bottom w:val="single" w:sz="4" w:space="0" w:color="auto"/>
            </w:tcBorders>
          </w:tcPr>
          <w:p>
            <w:pPr>
              <w:spacing w:line="240" w:lineRule="auto"/>
              <w:rPr>
                <w:sz w:val="22"/>
              </w:rPr>
            </w:pPr>
            <w:r>
              <w:rPr>
                <w:sz w:val="22"/>
              </w:rPr>
              <w:t>41</w:t>
            </w:r>
          </w:p>
        </w:tc>
        <w:tc>
          <w:tcPr>
            <w:tcW w:w="1778" w:type="dxa"/>
            <w:tcBorders>
              <w:top w:val="nil"/>
              <w:bottom w:val="single" w:sz="4" w:space="0" w:color="auto"/>
            </w:tcBorders>
          </w:tcPr>
          <w:p>
            <w:pPr>
              <w:spacing w:line="240" w:lineRule="auto"/>
              <w:rPr>
                <w:sz w:val="22"/>
              </w:rPr>
            </w:pPr>
            <w:r>
              <w:rPr>
                <w:sz w:val="22"/>
              </w:rPr>
              <w:t>—</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Direction of relationship</w:t>
            </w:r>
          </w:p>
        </w:tc>
      </w:tr>
      <w:tr>
        <w:trPr>
          <w:trHeight w:val="278"/>
          <w:jc w:val="center"/>
        </w:trPr>
        <w:tc>
          <w:tcPr>
            <w:tcW w:w="4424" w:type="dxa"/>
            <w:tcBorders>
              <w:top w:val="single" w:sz="4" w:space="0" w:color="auto"/>
              <w:bottom w:val="nil"/>
            </w:tcBorders>
          </w:tcPr>
          <w:p>
            <w:pPr>
              <w:spacing w:line="240" w:lineRule="auto"/>
              <w:rPr>
                <w:sz w:val="22"/>
              </w:rPr>
            </w:pPr>
            <w:r>
              <w:rPr>
                <w:sz w:val="22"/>
              </w:rPr>
              <w:t>Forward</w:t>
            </w:r>
          </w:p>
        </w:tc>
        <w:tc>
          <w:tcPr>
            <w:tcW w:w="2568" w:type="dxa"/>
            <w:tcBorders>
              <w:top w:val="single" w:sz="4" w:space="0" w:color="auto"/>
              <w:bottom w:val="nil"/>
            </w:tcBorders>
          </w:tcPr>
          <w:p>
            <w:pPr>
              <w:spacing w:line="240" w:lineRule="auto"/>
              <w:rPr>
                <w:sz w:val="22"/>
              </w:rPr>
            </w:pPr>
            <w:r>
              <w:rPr>
                <w:sz w:val="22"/>
              </w:rPr>
              <w:t>57</w:t>
            </w:r>
          </w:p>
        </w:tc>
        <w:tc>
          <w:tcPr>
            <w:tcW w:w="1778" w:type="dxa"/>
            <w:tcBorders>
              <w:top w:val="single" w:sz="4" w:space="0" w:color="auto"/>
              <w:bottom w:val="nil"/>
            </w:tcBorders>
          </w:tcPr>
          <w:p>
            <w:pPr>
              <w:spacing w:line="240" w:lineRule="auto"/>
              <w:rPr>
                <w:sz w:val="22"/>
              </w:rPr>
            </w:pPr>
            <w:r>
              <w:rPr>
                <w:sz w:val="22"/>
              </w:rPr>
              <w:t>58%</w:t>
            </w:r>
          </w:p>
        </w:tc>
      </w:tr>
      <w:tr>
        <w:trPr>
          <w:trHeight w:val="278"/>
          <w:jc w:val="center"/>
        </w:trPr>
        <w:tc>
          <w:tcPr>
            <w:tcW w:w="4424" w:type="dxa"/>
            <w:tcBorders>
              <w:top w:val="nil"/>
              <w:bottom w:val="nil"/>
            </w:tcBorders>
          </w:tcPr>
          <w:p>
            <w:pPr>
              <w:spacing w:line="240" w:lineRule="auto"/>
              <w:rPr>
                <w:sz w:val="22"/>
              </w:rPr>
            </w:pPr>
            <w:r>
              <w:rPr>
                <w:sz w:val="22"/>
              </w:rPr>
              <w:t>Reverse</w:t>
            </w:r>
          </w:p>
        </w:tc>
        <w:tc>
          <w:tcPr>
            <w:tcW w:w="2568" w:type="dxa"/>
            <w:tcBorders>
              <w:top w:val="nil"/>
              <w:bottom w:val="nil"/>
            </w:tcBorders>
          </w:tcPr>
          <w:p>
            <w:pPr>
              <w:spacing w:line="240" w:lineRule="auto"/>
              <w:rPr>
                <w:sz w:val="22"/>
              </w:rPr>
            </w:pPr>
            <w:r>
              <w:rPr>
                <w:sz w:val="22"/>
              </w:rPr>
              <w:t>33</w:t>
            </w:r>
          </w:p>
        </w:tc>
        <w:tc>
          <w:tcPr>
            <w:tcW w:w="1778" w:type="dxa"/>
            <w:tcBorders>
              <w:top w:val="nil"/>
              <w:bottom w:val="nil"/>
            </w:tcBorders>
          </w:tcPr>
          <w:p>
            <w:pPr>
              <w:spacing w:line="240" w:lineRule="auto"/>
              <w:rPr>
                <w:sz w:val="22"/>
              </w:rPr>
            </w:pPr>
            <w:r>
              <w:rPr>
                <w:sz w:val="22"/>
              </w:rPr>
              <w:t>34%</w:t>
            </w:r>
          </w:p>
        </w:tc>
      </w:tr>
      <w:tr>
        <w:trPr>
          <w:trHeight w:val="278"/>
          <w:jc w:val="center"/>
        </w:trPr>
        <w:tc>
          <w:tcPr>
            <w:tcW w:w="4424" w:type="dxa"/>
            <w:tcBorders>
              <w:top w:val="nil"/>
              <w:bottom w:val="single" w:sz="4" w:space="0" w:color="auto"/>
            </w:tcBorders>
          </w:tcPr>
          <w:p>
            <w:pPr>
              <w:spacing w:line="240" w:lineRule="auto"/>
              <w:rPr>
                <w:sz w:val="22"/>
              </w:rPr>
            </w:pPr>
            <w:r>
              <w:rPr>
                <w:sz w:val="22"/>
              </w:rPr>
              <w:t>Both</w:t>
            </w:r>
          </w:p>
        </w:tc>
        <w:tc>
          <w:tcPr>
            <w:tcW w:w="2568" w:type="dxa"/>
            <w:tcBorders>
              <w:top w:val="nil"/>
              <w:bottom w:val="single" w:sz="4" w:space="0" w:color="auto"/>
            </w:tcBorders>
          </w:tcPr>
          <w:p>
            <w:pPr>
              <w:spacing w:line="240" w:lineRule="auto"/>
              <w:rPr>
                <w:sz w:val="22"/>
              </w:rPr>
            </w:pPr>
            <w:r>
              <w:rPr>
                <w:sz w:val="22"/>
              </w:rPr>
              <w:t>8</w:t>
            </w:r>
          </w:p>
        </w:tc>
        <w:tc>
          <w:tcPr>
            <w:tcW w:w="1778" w:type="dxa"/>
            <w:tcBorders>
              <w:top w:val="nil"/>
              <w:bottom w:val="single" w:sz="4" w:space="0" w:color="auto"/>
            </w:tcBorders>
          </w:tcPr>
          <w:p>
            <w:pPr>
              <w:spacing w:line="240" w:lineRule="auto"/>
              <w:rPr>
                <w:sz w:val="22"/>
              </w:rPr>
            </w:pPr>
            <w:r>
              <w:rPr>
                <w:sz w:val="22"/>
              </w:rPr>
              <w:t>8%</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Behavioural measurement generation</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G1</w:t>
            </w:r>
          </w:p>
        </w:tc>
        <w:tc>
          <w:tcPr>
            <w:tcW w:w="2568" w:type="dxa"/>
            <w:tcBorders>
              <w:top w:val="single" w:sz="4" w:space="0" w:color="auto"/>
              <w:bottom w:val="nil"/>
            </w:tcBorders>
          </w:tcPr>
          <w:p>
            <w:pPr>
              <w:spacing w:line="240" w:lineRule="auto"/>
              <w:rPr>
                <w:sz w:val="22"/>
              </w:rPr>
            </w:pPr>
            <w:r>
              <w:rPr>
                <w:sz w:val="22"/>
              </w:rPr>
              <w:t>54</w:t>
            </w:r>
          </w:p>
        </w:tc>
        <w:tc>
          <w:tcPr>
            <w:tcW w:w="1778" w:type="dxa"/>
            <w:tcBorders>
              <w:top w:val="single" w:sz="4" w:space="0" w:color="auto"/>
              <w:bottom w:val="nil"/>
            </w:tcBorders>
          </w:tcPr>
          <w:p>
            <w:pPr>
              <w:spacing w:line="240" w:lineRule="auto"/>
              <w:rPr>
                <w:sz w:val="22"/>
              </w:rPr>
            </w:pPr>
            <w:r>
              <w:rPr>
                <w:sz w:val="22"/>
              </w:rPr>
              <w:t>55%</w:t>
            </w:r>
          </w:p>
        </w:tc>
      </w:tr>
      <w:tr>
        <w:trPr>
          <w:trHeight w:val="278"/>
          <w:jc w:val="center"/>
        </w:trPr>
        <w:tc>
          <w:tcPr>
            <w:tcW w:w="4424" w:type="dxa"/>
            <w:tcBorders>
              <w:top w:val="nil"/>
              <w:bottom w:val="nil"/>
            </w:tcBorders>
          </w:tcPr>
          <w:p>
            <w:pPr>
              <w:spacing w:line="240" w:lineRule="auto"/>
              <w:rPr>
                <w:sz w:val="22"/>
              </w:rPr>
            </w:pPr>
            <w:r>
              <w:rPr>
                <w:sz w:val="22"/>
              </w:rPr>
              <w:t>G2</w:t>
            </w:r>
          </w:p>
        </w:tc>
        <w:tc>
          <w:tcPr>
            <w:tcW w:w="2568" w:type="dxa"/>
            <w:tcBorders>
              <w:top w:val="nil"/>
              <w:bottom w:val="nil"/>
            </w:tcBorders>
          </w:tcPr>
          <w:p>
            <w:pPr>
              <w:spacing w:line="240" w:lineRule="auto"/>
              <w:rPr>
                <w:sz w:val="22"/>
              </w:rPr>
            </w:pPr>
            <w:r>
              <w:rPr>
                <w:sz w:val="22"/>
              </w:rPr>
              <w:t>42</w:t>
            </w:r>
          </w:p>
        </w:tc>
        <w:tc>
          <w:tcPr>
            <w:tcW w:w="1778" w:type="dxa"/>
            <w:tcBorders>
              <w:top w:val="nil"/>
              <w:bottom w:val="nil"/>
            </w:tcBorders>
          </w:tcPr>
          <w:p>
            <w:pPr>
              <w:spacing w:line="240" w:lineRule="auto"/>
              <w:rPr>
                <w:sz w:val="22"/>
              </w:rPr>
            </w:pPr>
            <w:r>
              <w:rPr>
                <w:sz w:val="22"/>
              </w:rPr>
              <w:t>43%</w:t>
            </w:r>
          </w:p>
        </w:tc>
      </w:tr>
      <w:tr>
        <w:trPr>
          <w:trHeight w:val="278"/>
          <w:jc w:val="center"/>
        </w:trPr>
        <w:tc>
          <w:tcPr>
            <w:tcW w:w="4424" w:type="dxa"/>
            <w:tcBorders>
              <w:top w:val="nil"/>
              <w:bottom w:val="single" w:sz="4" w:space="0" w:color="auto"/>
            </w:tcBorders>
          </w:tcPr>
          <w:p>
            <w:pPr>
              <w:spacing w:line="240" w:lineRule="auto"/>
              <w:rPr>
                <w:sz w:val="22"/>
              </w:rPr>
            </w:pPr>
            <w:r>
              <w:rPr>
                <w:sz w:val="22"/>
              </w:rPr>
              <w:t>G3</w:t>
            </w:r>
          </w:p>
        </w:tc>
        <w:tc>
          <w:tcPr>
            <w:tcW w:w="2568" w:type="dxa"/>
            <w:tcBorders>
              <w:top w:val="nil"/>
              <w:bottom w:val="single" w:sz="4" w:space="0" w:color="auto"/>
            </w:tcBorders>
          </w:tcPr>
          <w:p>
            <w:pPr>
              <w:spacing w:line="240" w:lineRule="auto"/>
              <w:rPr>
                <w:sz w:val="22"/>
              </w:rPr>
            </w:pPr>
            <w:r>
              <w:rPr>
                <w:sz w:val="22"/>
              </w:rPr>
              <w:t>24</w:t>
            </w:r>
          </w:p>
        </w:tc>
        <w:tc>
          <w:tcPr>
            <w:tcW w:w="1778" w:type="dxa"/>
            <w:tcBorders>
              <w:top w:val="nil"/>
              <w:bottom w:val="single" w:sz="4" w:space="0" w:color="auto"/>
            </w:tcBorders>
          </w:tcPr>
          <w:p>
            <w:pPr>
              <w:spacing w:line="240" w:lineRule="auto"/>
              <w:rPr>
                <w:sz w:val="22"/>
              </w:rPr>
            </w:pPr>
            <w:r>
              <w:rPr>
                <w:sz w:val="22"/>
              </w:rPr>
              <w:t>24%</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Methodological quality (MMAT 2018)</w:t>
            </w:r>
          </w:p>
        </w:tc>
      </w:tr>
      <w:tr>
        <w:trPr>
          <w:trHeight w:val="278"/>
          <w:jc w:val="center"/>
        </w:trPr>
        <w:tc>
          <w:tcPr>
            <w:tcW w:w="4424" w:type="dxa"/>
            <w:tcBorders>
              <w:top w:val="single" w:sz="4" w:space="0" w:color="auto"/>
              <w:bottom w:val="nil"/>
            </w:tcBorders>
          </w:tcPr>
          <w:p>
            <w:pPr>
              <w:spacing w:line="240" w:lineRule="auto"/>
              <w:rPr>
                <w:sz w:val="22"/>
              </w:rPr>
            </w:pPr>
            <w:r>
              <w:rPr>
                <w:sz w:val="22"/>
              </w:rPr>
              <w:t>High</w:t>
            </w:r>
          </w:p>
        </w:tc>
        <w:tc>
          <w:tcPr>
            <w:tcW w:w="2568" w:type="dxa"/>
            <w:tcBorders>
              <w:top w:val="single" w:sz="4" w:space="0" w:color="auto"/>
              <w:bottom w:val="nil"/>
            </w:tcBorders>
          </w:tcPr>
          <w:p>
            <w:pPr>
              <w:spacing w:line="240" w:lineRule="auto"/>
              <w:rPr>
                <w:sz w:val="22"/>
              </w:rPr>
            </w:pPr>
            <w:r>
              <w:rPr>
                <w:sz w:val="22"/>
              </w:rPr>
              <w:t>22</w:t>
            </w:r>
          </w:p>
        </w:tc>
        <w:tc>
          <w:tcPr>
            <w:tcW w:w="1778" w:type="dxa"/>
            <w:tcBorders>
              <w:top w:val="single" w:sz="4" w:space="0" w:color="auto"/>
              <w:bottom w:val="nil"/>
            </w:tcBorders>
          </w:tcPr>
          <w:p>
            <w:pPr>
              <w:spacing w:line="240" w:lineRule="auto"/>
              <w:rPr>
                <w:sz w:val="22"/>
              </w:rPr>
            </w:pPr>
            <w:r>
              <w:rPr>
                <w:sz w:val="22"/>
              </w:rPr>
              <w:t>22%</w:t>
            </w:r>
          </w:p>
        </w:tc>
      </w:tr>
      <w:tr>
        <w:trPr>
          <w:trHeight w:val="278"/>
          <w:jc w:val="center"/>
        </w:trPr>
        <w:tc>
          <w:tcPr>
            <w:tcW w:w="4424" w:type="dxa"/>
            <w:tcBorders>
              <w:top w:val="nil"/>
              <w:bottom w:val="nil"/>
            </w:tcBorders>
          </w:tcPr>
          <w:p>
            <w:pPr>
              <w:spacing w:line="240" w:lineRule="auto"/>
              <w:rPr>
                <w:sz w:val="22"/>
              </w:rPr>
            </w:pPr>
            <w:r>
              <w:rPr>
                <w:sz w:val="22"/>
              </w:rPr>
              <w:t>Moderate</w:t>
            </w:r>
          </w:p>
        </w:tc>
        <w:tc>
          <w:tcPr>
            <w:tcW w:w="2568" w:type="dxa"/>
            <w:tcBorders>
              <w:top w:val="nil"/>
              <w:bottom w:val="nil"/>
            </w:tcBorders>
          </w:tcPr>
          <w:p>
            <w:pPr>
              <w:spacing w:line="240" w:lineRule="auto"/>
              <w:rPr>
                <w:sz w:val="22"/>
              </w:rPr>
            </w:pPr>
            <w:r>
              <w:rPr>
                <w:sz w:val="22"/>
              </w:rPr>
              <w:t>40</w:t>
            </w:r>
          </w:p>
        </w:tc>
        <w:tc>
          <w:tcPr>
            <w:tcW w:w="1778" w:type="dxa"/>
            <w:tcBorders>
              <w:top w:val="nil"/>
              <w:bottom w:val="nil"/>
            </w:tcBorders>
          </w:tcPr>
          <w:p>
            <w:pPr>
              <w:spacing w:line="240" w:lineRule="auto"/>
              <w:rPr>
                <w:sz w:val="22"/>
              </w:rPr>
            </w:pPr>
            <w:r>
              <w:rPr>
                <w:sz w:val="22"/>
              </w:rPr>
              <w:t>41%</w:t>
            </w:r>
          </w:p>
        </w:tc>
      </w:tr>
      <w:tr>
        <w:trPr>
          <w:trHeight w:val="278"/>
          <w:jc w:val="center"/>
        </w:trPr>
        <w:tc>
          <w:tcPr>
            <w:tcW w:w="4424" w:type="dxa"/>
            <w:tcBorders>
              <w:top w:val="nil"/>
              <w:bottom w:val="single" w:sz="12" w:space="0" w:color="auto"/>
            </w:tcBorders>
          </w:tcPr>
          <w:p>
            <w:pPr>
              <w:spacing w:line="240" w:lineRule="auto"/>
              <w:rPr>
                <w:sz w:val="22"/>
              </w:rPr>
            </w:pPr>
            <w:r>
              <w:rPr>
                <w:sz w:val="22"/>
              </w:rPr>
              <w:t>Low</w:t>
            </w:r>
          </w:p>
        </w:tc>
        <w:tc>
          <w:tcPr>
            <w:tcW w:w="2568" w:type="dxa"/>
            <w:tcBorders>
              <w:top w:val="nil"/>
              <w:bottom w:val="single" w:sz="12" w:space="0" w:color="auto"/>
            </w:tcBorders>
          </w:tcPr>
          <w:p>
            <w:pPr>
              <w:spacing w:line="240" w:lineRule="auto"/>
              <w:rPr>
                <w:sz w:val="22"/>
              </w:rPr>
            </w:pPr>
            <w:r>
              <w:rPr>
                <w:sz w:val="22"/>
              </w:rPr>
              <w:t>36</w:t>
            </w:r>
          </w:p>
        </w:tc>
        <w:tc>
          <w:tcPr>
            <w:tcW w:w="1778" w:type="dxa"/>
            <w:tcBorders>
              <w:top w:val="nil"/>
              <w:bottom w:val="single" w:sz="12" w:space="0" w:color="auto"/>
            </w:tcBorders>
          </w:tcPr>
          <w:p>
            <w:pPr>
              <w:spacing w:line="240" w:lineRule="auto"/>
              <w:rPr>
                <w:sz w:val="22"/>
              </w:rPr>
            </w:pPr>
            <w:r>
              <w:rPr>
                <w:sz w:val="22"/>
              </w:rPr>
              <w:t>37%</w:t>
            </w:r>
          </w:p>
        </w:tc>
      </w:tr>
    </w:tbl>
    <w:p>
      <w:pPr>
        <w:spacing w:before="160" w:after="80" w:line="240" w:lineRule="auto"/>
      </w:pPr>
      <w:r>
        <w:rPr>
          <w:i/>
          <w:sz w:val="22"/>
        </w:rPr>
        <w:t>Note.</w:t>
      </w:r>
      <w:r>
        <w:rPr>
          <w:sz w:val="22"/>
        </w:rPr>
        <w:t xml:space="preserve"> Percentages are of the 98 included studies. † = a study can be counted in more than one category. G1 = self-report; G2 = systematic observation; G3 = sensing, GPS, video or big-data measurement of behaviour. Characteristics of each study are listed in Appendix B.</w:t>
      </w:r>
    </w:p>
    <w:p>
      <w:pPr>
        <w:spacing w:after="120" w:line="240" w:lineRule="auto"/>
        <w:rPr>
          <w:lang w:eastAsia="ko-KR"/>
        </w:rPr>
      </w:pP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Number of studies by country of data collection. Multi-country studies are counted once for each country, less frequent countries are grouped as Other (number of countries in parentheses), and the 4 studies that did not report the country are not shown. (b) Number of studies by publication year and direction of the relationship examined; studies published before 2010 are combined in the first bar.</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pPr>
        <w:ind w:firstLine="288"/>
        <w:jc w:val="both"/>
        <w:rPr>
          <w:lang w:eastAsia="ko-KR"/>
        </w:rPr>
      </w:pPr>
      <w:r>
        <w:rPr>
          <w:lang w:eastAsia="ko-KR"/>
        </w:rPr>
        <w:t>포함된 98편의 MMAT 등급은 high 22편(22%), moderate 40편(41%), low 36편(37%)이었다(Fig. 3). MMAT 범주는 정량 기술 연구 51편, 비무작위 정량 연구 22편, 혼합 연구 15편, 질적 연구 7편, 무작위배정 연구 2편이었고, 1편은 범주를 판정할 수 없었다.</w:t>
      </w:r>
    </w:p>
    <w:p>
      <w:pPr>
        <w:ind w:firstLine="288"/>
        <w:jc w:val="both"/>
        <w:rPr>
          <w:lang w:eastAsia="ko-KR"/>
        </w:rPr>
      </w:pPr>
      <w:r>
        <w:rPr>
          <w:lang w:eastAsia="ko-KR"/>
        </w:rPr>
        <w:t>문항별 판정은 다음과 같았다. 정량 기술 연구 51편 중 표본 대표성을 충족한 연구는 10편(20%)이었고 24편은 미충족, 17편은 판단불가로 판정됐다. 무응답 편의가 낮다고 판정된 연구는 16편(31%)이었으며, 14편은 미충족, 21편은 판단불가였다. 비무작위 정량 연구 22편 중 참가자가 목표 모집단을 대표한다고 판정된 연구는 4편(18%)이었고 9편은 미충족, 9편은 판단불가였으며, 교란을 적절히 통제한 연구는 9편(41%)이었고 7편은 미충족, 6편은 판단불가였다. 무작위배정 연구 2편은 무작위화 방법, 집단의 기저 동등성, 평가자 눈가림을 보고하지 않아 세 문항이 모두 판단불가로 판정됐으며, 각각 1개와 2개의 기준만 충족해 low 등급을 받았다. 어떤 기준도 충족하지 못한 연구는 4편이었다.</w:t>
      </w:r>
    </w:p>
    <w:p>
      <w:pPr>
        <w:spacing w:before="200" w:after="80" w:line="240" w:lineRule="auto"/>
        <w:jc w:val="center"/>
      </w:pPr>
      <w:r>
        <w:drawing>
          <wp:inline xmlns:a="http://schemas.openxmlformats.org/drawingml/2006/main" xmlns:pic="http://schemas.openxmlformats.org/drawingml/2006/picture">
            <wp:extent cx="5532120" cy="6544957"/>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6544957"/>
                    </a:xfrm>
                    <a:prstGeom prst="rect"/>
                  </pic:spPr>
                </pic:pic>
              </a:graphicData>
            </a:graphic>
          </wp:inline>
        </w:drawing>
      </w:r>
    </w:p>
    <w:p>
      <w:pPr>
        <w:spacing w:after="240" w:line="240" w:lineRule="auto"/>
      </w:pPr>
      <w:r>
        <w:rPr>
          <w:b/>
          <w:sz w:val="22"/>
        </w:rPr>
        <w:t xml:space="preserve">Fig. 3. </w:t>
      </w:r>
      <w:r>
        <w:rPr>
          <w:sz w:val="22"/>
        </w:rPr>
        <w:t>Methodological quality of the included studies appraised with MMAT 2018. (a) Number of studies rated high (4–5 criteria met), moderate (3) or low (0–2) in each MMAT study category. (b) Share of studies rated Yes, Can't tell or No on selected items, grouped by the proportion of studies meeting the criterion. Item numbers follow MMAT 2018: the first digit is the study category (1 = qualitative, 2 = randomised controlled trial, 3 = non-randomised, 4 = quantitative descriptive) and the second is the criterion within that category. The fraction to the right of each bar is the number of studies meeting the criterion over the number of studies to which the item applies. Can't tell indicates that the information needed to judge the criterion was not reported.</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 (RQ1)</w:t>
      </w:r>
    </w:p>
    <w:p>
      <w:pPr>
        <w:ind w:firstLine="288"/>
        <w:jc w:val="both"/>
        <w:rPr>
          <w:lang w:eastAsia="ko-KR"/>
        </w:rPr>
      </w:pPr>
      <w:r>
        <w:rPr>
          <w:lang w:eastAsia="ko-KR"/>
        </w:rPr>
        <w:t>네 개의 행태 클러스터가 메타분석 요건을 충족했으며, 16편의 연구가 합성에 기여했다. 기여 연구의 특성과 개별 효과크기는 Table 2에, 클러스터별 숲 그림은 Fig. 4에 제시했다. 평균 효과의 95% 신뢰구간이 0을 배제한 것은 사회적 상호작용과 소리–행태 상관의 두 클러스터였고, 95% 예측구간은 네 클러스터 모두 0을 포함했다(Table 3).</w:t>
      </w:r>
    </w:p>
    <w:p>
      <w:pPr>
        <w:ind w:firstLine="288"/>
        <w:jc w:val="both"/>
        <w:rPr>
          <w:lang w:eastAsia="ko-KR"/>
        </w:rPr>
      </w:pPr>
      <w:r>
        <w:rPr>
          <w:lang w:eastAsia="ko-KR"/>
        </w:rPr>
        <w:t>보행속도 클러스터(</w:t>
      </w:r>
      <w:r>
        <w:rPr>
          <w:i/>
          <w:lang w:eastAsia="ko-KR"/>
        </w:rPr>
        <w:t>k</w:t>
      </w:r>
      <w:r>
        <w:rPr>
          <w:lang w:eastAsia="ko-KR"/>
        </w:rPr>
        <w:t xml:space="preserve"> = 3)에서는 소음 조건에서 보행이 더 빨랐으나 합성 효과의 신뢰구간이 0을 포함했고(</w:t>
      </w:r>
      <w:r>
        <w:rPr>
          <w:i/>
          <w:lang w:eastAsia="ko-KR"/>
        </w:rPr>
        <w:t>g</w:t>
      </w:r>
      <w:r>
        <w:rPr>
          <w:lang w:eastAsia="ko-KR"/>
        </w:rPr>
        <w:t xml:space="preserve"> = −0.47, 95% CI [−2.06, +1.11], </w:t>
      </w:r>
      <w:r>
        <w:rPr>
          <w:i/>
          <w:lang w:eastAsia="ko-KR"/>
        </w:rPr>
        <w:t>p</w:t>
      </w:r>
      <w:r>
        <w:rPr>
          <w:lang w:eastAsia="ko-KR"/>
        </w:rPr>
        <w:t xml:space="preserve"> = 0.326), 이질성이 높았다(</w:t>
      </w:r>
      <w:r>
        <w:rPr>
          <w:i/>
          <w:lang w:eastAsia="ko-KR"/>
        </w:rPr>
        <w:t>I</w:t>
      </w:r>
      <w:r>
        <w:rPr>
          <w:lang w:eastAsia="ko-KR"/>
        </w:rPr>
        <w:t>² = 81.4%). 체코에서 수행된 두 현장실험은 새소리 조건보다 교통소음이나 도시소음 조건에서 보행속도가 빨랐다고 보고했지만(</w:t>
      </w:r>
      <w:r>
        <w:rPr>
          <w:i/>
          <w:lang w:eastAsia="ko-KR"/>
        </w:rPr>
        <w:t>g</w:t>
      </w:r>
      <w:r>
        <w:rPr>
          <w:lang w:eastAsia="ko-KR"/>
        </w:rPr>
        <w:t xml:space="preserve"> = −1.02, −0.63)[28,29], 알제리 오아시스 지역의 가로에서 자연음과 교통음 조건을 비교한 관찰 연구에서는 반대 방향의 효과가 나타났다(</w:t>
      </w:r>
      <w:r>
        <w:rPr>
          <w:i/>
          <w:lang w:eastAsia="ko-KR"/>
        </w:rPr>
        <w:t>g</w:t>
      </w:r>
      <w:r>
        <w:rPr>
          <w:lang w:eastAsia="ko-KR"/>
        </w:rPr>
        <w:t xml:space="preserve"> = +0.23)[30]. 세 연구는 모두 MMAT low 등급이었다. MMAT high 등급을 받은 보행 관련 연구 가운데 광장 배경음악의 효과를 다룬 연구는 노출 정의가 달라 제외했으며(2.9절), 인용 추적으로 확보한 세 편은 각각 음악 템포를 조작했거나[31], 소음과 보행속도의 관계를 직접 검정하지 않았거나[32], 헤드폰으로 전달한 증강 발소리를 다뤄[33] 합성에 포함되지 않았다.</w:t>
      </w:r>
    </w:p>
    <w:p>
      <w:pPr>
        <w:ind w:firstLine="288"/>
        <w:jc w:val="both"/>
        <w:rPr>
          <w:lang w:eastAsia="ko-KR"/>
        </w:rPr>
      </w:pPr>
      <w:r>
        <w:rPr>
          <w:lang w:eastAsia="ko-KR"/>
        </w:rPr>
        <w:t>체류 클러스터(</w:t>
      </w:r>
      <w:r>
        <w:rPr>
          <w:i/>
          <w:lang w:eastAsia="ko-KR"/>
        </w:rPr>
        <w:t>k</w:t>
      </w:r>
      <w:r>
        <w:rPr>
          <w:lang w:eastAsia="ko-KR"/>
        </w:rPr>
        <w:t xml:space="preserve"> = 3)에서는 긍정적인 소리 조건에서 체류가 더 길었으나 합성 효과의 신뢰구간이 0을 포함했다(</w:t>
      </w:r>
      <w:r>
        <w:rPr>
          <w:i/>
          <w:lang w:eastAsia="ko-KR"/>
        </w:rPr>
        <w:t>g</w:t>
      </w:r>
      <w:r>
        <w:rPr>
          <w:lang w:eastAsia="ko-KR"/>
        </w:rPr>
        <w:t xml:space="preserve"> = +0.34, 95% CI [−0.09, +0.78], </w:t>
      </w:r>
      <w:r>
        <w:rPr>
          <w:i/>
          <w:lang w:eastAsia="ko-KR"/>
        </w:rPr>
        <w:t>p</w:t>
      </w:r>
      <w:r>
        <w:rPr>
          <w:lang w:eastAsia="ko-KR"/>
        </w:rPr>
        <w:t xml:space="preserve"> = 0.077, </w:t>
      </w:r>
      <w:r>
        <w:rPr>
          <w:i/>
          <w:lang w:eastAsia="ko-KR"/>
        </w:rPr>
        <w:t>I</w:t>
      </w:r>
      <w:r>
        <w:rPr>
          <w:lang w:eastAsia="ko-KR"/>
        </w:rPr>
        <w:t xml:space="preserve">² = 54.4%). 세 효과는 모두 같은 방향이었다. 영국 대학 캠퍼스의 옥외공간[34]과 중국의 가로[35]에서 음악을 재생한 두 현장실험의 효과는 각각 </w:t>
      </w:r>
      <w:r>
        <w:rPr>
          <w:i/>
          <w:lang w:eastAsia="ko-KR"/>
        </w:rPr>
        <w:t>g</w:t>
      </w:r>
      <w:r>
        <w:rPr>
          <w:lang w:eastAsia="ko-KR"/>
        </w:rPr>
        <w:t xml:space="preserve"> = +0.39와 +0.61이었고, 자연음 지수가 높은 조건과 낮은 조건의 체류를 비교한 중국의 혼합 연구에서는 </w:t>
      </w:r>
      <w:r>
        <w:rPr>
          <w:i/>
          <w:lang w:eastAsia="ko-KR"/>
        </w:rPr>
        <w:t>g</w:t>
      </w:r>
      <w:r>
        <w:rPr>
          <w:lang w:eastAsia="ko-KR"/>
        </w:rPr>
        <w:t xml:space="preserve"> = +0.21이었다[36].</w:t>
      </w:r>
    </w:p>
    <w:p>
      <w:pPr>
        <w:ind w:firstLine="288"/>
        <w:jc w:val="both"/>
        <w:rPr>
          <w:lang w:eastAsia="ko-KR"/>
        </w:rPr>
      </w:pPr>
      <w:r>
        <w:rPr>
          <w:lang w:eastAsia="ko-KR"/>
        </w:rPr>
        <w:t>사회적 상호작용 클러스터(</w:t>
      </w:r>
      <w:r>
        <w:rPr>
          <w:i/>
          <w:lang w:eastAsia="ko-KR"/>
        </w:rPr>
        <w:t>k</w:t>
      </w:r>
      <w:r>
        <w:rPr>
          <w:lang w:eastAsia="ko-KR"/>
        </w:rPr>
        <w:t xml:space="preserve"> = 4)에서는 더 조용하거나 자연음이 있는 조건에서 사회적 상호작용이 많았고, 합성 효과의 신뢰구간이 0을 배제했다(</w:t>
      </w:r>
      <w:r>
        <w:rPr>
          <w:i/>
          <w:lang w:eastAsia="ko-KR"/>
        </w:rPr>
        <w:t>g</w:t>
      </w:r>
      <w:r>
        <w:rPr>
          <w:lang w:eastAsia="ko-KR"/>
        </w:rPr>
        <w:t xml:space="preserve"> = +0.68, 95% CI [+0.20, +1.16], </w:t>
      </w:r>
      <w:r>
        <w:rPr>
          <w:i/>
          <w:lang w:eastAsia="ko-KR"/>
        </w:rPr>
        <w:t>p</w:t>
      </w:r>
      <w:r>
        <w:rPr>
          <w:lang w:eastAsia="ko-KR"/>
        </w:rPr>
        <w:t xml:space="preserve"> = 0.020, </w:t>
      </w:r>
      <w:r>
        <w:rPr>
          <w:i/>
          <w:lang w:eastAsia="ko-KR"/>
        </w:rPr>
        <w:t>I</w:t>
      </w:r>
      <w:r>
        <w:rPr>
          <w:lang w:eastAsia="ko-KR"/>
        </w:rPr>
        <w:t>² = 48.6%). 네 효과는 모두 같은 방향이었다. 중국의 공원[37]과 주거단지 옥외공간[38]에서 수행된 두 현장실험은 자연음 조건과 소음 조건에서 집단 또는 두 사람 사이의 상호작용을 비교했고(</w:t>
      </w:r>
      <w:r>
        <w:rPr>
          <w:i/>
          <w:lang w:eastAsia="ko-KR"/>
        </w:rPr>
        <w:t>g</w:t>
      </w:r>
      <w:r>
        <w:rPr>
          <w:lang w:eastAsia="ko-KR"/>
        </w:rPr>
        <w:t xml:space="preserve"> = +0.98, +0.55), 나머지 두 현장실험은 조용한 조건과 도로공사 소음[39] 또는 잔디깎기 소음[40] 조건에서 낯선 사람을 돕는 행동을 비교했다(</w:t>
      </w:r>
      <w:r>
        <w:rPr>
          <w:i/>
          <w:lang w:eastAsia="ko-KR"/>
        </w:rPr>
        <w:t>g</w:t>
      </w:r>
      <w:r>
        <w:rPr>
          <w:lang w:eastAsia="ko-KR"/>
        </w:rPr>
        <w:t xml:space="preserve"> = +0.43, +1.07). 이 클러스터에는 MMAT low 등급 연구가 포함되지 않았다.</w:t>
      </w:r>
    </w:p>
    <w:p>
      <w:pPr>
        <w:ind w:firstLine="288"/>
        <w:jc w:val="both"/>
        <w:rPr>
          <w:lang w:eastAsia="ko-KR"/>
        </w:rPr>
      </w:pPr>
      <w:r>
        <w:rPr>
          <w:lang w:eastAsia="ko-KR"/>
        </w:rPr>
        <w:t>소리–행태 상관 클러스터(</w:t>
      </w:r>
      <w:r>
        <w:rPr>
          <w:i/>
          <w:lang w:eastAsia="ko-KR"/>
        </w:rPr>
        <w:t>k</w:t>
      </w:r>
      <w:r>
        <w:rPr>
          <w:lang w:eastAsia="ko-KR"/>
        </w:rPr>
        <w:t xml:space="preserve"> = 6)에서는 소리 지표와 행태 사이에 정적 상관이 나타났고(</w:t>
      </w:r>
      <w:r>
        <w:rPr>
          <w:i/>
          <w:lang w:eastAsia="ko-KR"/>
        </w:rPr>
        <w:t>r</w:t>
      </w:r>
      <w:r>
        <w:rPr>
          <w:lang w:eastAsia="ko-KR"/>
        </w:rPr>
        <w:t xml:space="preserve"> = +0.42, 95% CI [+0.19, +0.61], </w:t>
      </w:r>
      <w:r>
        <w:rPr>
          <w:i/>
          <w:lang w:eastAsia="ko-KR"/>
        </w:rPr>
        <w:t>p</w:t>
      </w:r>
      <w:r>
        <w:rPr>
          <w:lang w:eastAsia="ko-KR"/>
        </w:rPr>
        <w:t xml:space="preserve"> = 0.006), 이질성이 높았다(</w:t>
      </w:r>
      <w:r>
        <w:rPr>
          <w:i/>
          <w:lang w:eastAsia="ko-KR"/>
        </w:rPr>
        <w:t>I</w:t>
      </w:r>
      <w:r>
        <w:rPr>
          <w:lang w:eastAsia="ko-KR"/>
        </w:rPr>
        <w:t>² = 92.0%). 개별 상관계수는 +0.16에서 +0.65 사이에 분포했다. 도시공원 방문객의 사운드스케이프 쾌적성과 정적 행태[41], 공원 체류시간과 회복감 지각[42], 가로의 등가소음도(LAeq)와 발성 노력[43]의 상관은 +0.55 이상이었고, 광장에서의 동행 여부와 소리 인지[44], 상업 가로의 자연음 사건과 대기(queuing) 행동[45]의 상관은 +0.21 이하였다. 가로의 음향 쾌적성과 보행 쾌적성의 상관(</w:t>
      </w:r>
      <w:r>
        <w:rPr>
          <w:i/>
          <w:lang w:eastAsia="ko-KR"/>
        </w:rPr>
        <w:t>r</w:t>
      </w:r>
      <w:r>
        <w:rPr>
          <w:lang w:eastAsia="ko-KR"/>
        </w:rPr>
        <w:t xml:space="preserve"> = +0.40)[46]은 신뢰구간이 가장 넓었다.</w:t>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spacing w:before="160" w:after="80" w:line="240" w:lineRule="auto"/>
      </w:pPr>
      <w:r>
        <w:rPr>
          <w:b/>
          <w:sz w:val="22"/>
        </w:rPr>
        <w:t>Table 2.</w:t>
      </w:r>
      <w:r>
        <w:rPr>
          <w:sz w:val="22"/>
        </w:rPr>
        <w:t xml:space="preserve"> Characteristics and effect sizes of the studies contributing to the meta-analyses.</w:t>
      </w:r>
    </w:p>
    <w:tbl>
      <w:tblPr>
        <w:tblStyle w:val="af9"/>
        <w:tblW w:w="5304"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165"/>
        <w:gridCol w:w="1252"/>
        <w:gridCol w:w="1331"/>
        <w:gridCol w:w="1891"/>
        <w:gridCol w:w="3824"/>
        <w:gridCol w:w="571"/>
        <w:gridCol w:w="1064"/>
        <w:gridCol w:w="2101"/>
      </w:tblGrid>
      <w:tr>
        <w:trPr>
          <w:trHeight w:val="334"/>
          <w:jc w:val="center"/>
        </w:trPr>
        <w:tc>
          <w:tcPr>
            <w:tcW w:w="1041" w:type="pct"/>
            <w:tcBorders>
              <w:top w:val="single" w:sz="12" w:space="0" w:color="auto"/>
              <w:right w:val="nil"/>
            </w:tcBorders>
            <w:vAlign w:val="center"/>
          </w:tcPr>
          <w:p>
            <w:pPr>
              <w:spacing w:line="240" w:lineRule="auto"/>
              <w:jc w:val="both"/>
            </w:pPr>
            <w:r>
              <w:rPr>
                <w:b/>
                <w:sz w:val="22"/>
              </w:rPr>
              <w:t>Study</w:t>
            </w:r>
          </w:p>
        </w:tc>
        <w:tc>
          <w:tcPr>
            <w:tcW w:w="412" w:type="pct"/>
            <w:tcBorders>
              <w:top w:val="single" w:sz="12" w:space="0" w:color="auto"/>
              <w:left w:val="nil"/>
              <w:right w:val="nil"/>
            </w:tcBorders>
            <w:vAlign w:val="center"/>
          </w:tcPr>
          <w:p>
            <w:pPr>
              <w:spacing w:line="240" w:lineRule="auto"/>
              <w:jc w:val="both"/>
            </w:pPr>
            <w:r>
              <w:rPr>
                <w:b/>
                <w:sz w:val="22"/>
              </w:rPr>
              <w:t>Country</w:t>
            </w:r>
          </w:p>
        </w:tc>
        <w:tc>
          <w:tcPr>
            <w:tcW w:w="438" w:type="pct"/>
            <w:tcBorders>
              <w:top w:val="single" w:sz="12" w:space="0" w:color="auto"/>
              <w:left w:val="nil"/>
              <w:right w:val="nil"/>
            </w:tcBorders>
            <w:vAlign w:val="center"/>
          </w:tcPr>
          <w:p>
            <w:pPr>
              <w:spacing w:line="240" w:lineRule="auto"/>
              <w:jc w:val="both"/>
            </w:pPr>
            <w:r>
              <w:rPr>
                <w:b/>
                <w:sz w:val="22"/>
              </w:rPr>
              <w:t>Setting</w:t>
            </w:r>
          </w:p>
        </w:tc>
        <w:tc>
          <w:tcPr>
            <w:tcW w:w="622" w:type="pct"/>
            <w:tcBorders>
              <w:top w:val="single" w:sz="12" w:space="0" w:color="auto"/>
              <w:left w:val="nil"/>
              <w:right w:val="nil"/>
            </w:tcBorders>
            <w:vAlign w:val="center"/>
          </w:tcPr>
          <w:p>
            <w:pPr>
              <w:spacing w:line="240" w:lineRule="auto"/>
              <w:jc w:val="both"/>
            </w:pPr>
            <w:r>
              <w:rPr>
                <w:b/>
                <w:sz w:val="22"/>
              </w:rPr>
              <w:t>Design</w:t>
            </w:r>
          </w:p>
        </w:tc>
        <w:tc>
          <w:tcPr>
            <w:tcW w:w="1258" w:type="pct"/>
            <w:tcBorders>
              <w:top w:val="single" w:sz="12" w:space="0" w:color="auto"/>
              <w:left w:val="nil"/>
              <w:right w:val="nil"/>
            </w:tcBorders>
            <w:vAlign w:val="center"/>
          </w:tcPr>
          <w:p>
            <w:pPr>
              <w:spacing w:line="240" w:lineRule="auto"/>
              <w:jc w:val="both"/>
            </w:pPr>
            <w:r>
              <w:rPr>
                <w:b/>
                <w:sz w:val="22"/>
              </w:rPr>
              <w:t>Contrast or measure</w:t>
            </w:r>
          </w:p>
        </w:tc>
        <w:tc>
          <w:tcPr>
            <w:tcW w:w="188" w:type="pct"/>
            <w:tcBorders>
              <w:top w:val="single" w:sz="12" w:space="0" w:color="auto"/>
              <w:left w:val="nil"/>
              <w:right w:val="nil"/>
            </w:tcBorders>
            <w:vAlign w:val="center"/>
          </w:tcPr>
          <w:p>
            <w:pPr>
              <w:spacing w:line="240" w:lineRule="auto"/>
              <w:jc w:val="both"/>
            </w:pPr>
            <w:r>
              <w:rPr>
                <w:b/>
                <w:i/>
                <w:sz w:val="22"/>
              </w:rPr>
              <w:t>n</w:t>
            </w:r>
          </w:p>
        </w:tc>
        <w:tc>
          <w:tcPr>
            <w:tcW w:w="350" w:type="pct"/>
            <w:tcBorders>
              <w:top w:val="single" w:sz="12" w:space="0" w:color="auto"/>
              <w:left w:val="nil"/>
              <w:right w:val="nil"/>
            </w:tcBorders>
            <w:vAlign w:val="center"/>
          </w:tcPr>
          <w:p>
            <w:pPr>
              <w:spacing w:line="240" w:lineRule="auto"/>
              <w:jc w:val="both"/>
            </w:pPr>
            <w:r>
              <w:rPr>
                <w:b/>
                <w:sz w:val="22"/>
              </w:rPr>
              <w:t>MMAT</w:t>
            </w:r>
          </w:p>
        </w:tc>
        <w:tc>
          <w:tcPr>
            <w:tcW w:w="690" w:type="pct"/>
            <w:tcBorders>
              <w:top w:val="single" w:sz="12" w:space="0" w:color="auto"/>
              <w:left w:val="nil"/>
            </w:tcBorders>
            <w:vAlign w:val="center"/>
          </w:tcPr>
          <w:p>
            <w:pPr>
              <w:spacing w:line="240" w:lineRule="auto"/>
              <w:jc w:val="both"/>
            </w:pPr>
            <w:r>
              <w:rPr>
                <w:b/>
                <w:sz w:val="22"/>
              </w:rPr>
              <w:t>Effect [95% CI]</w:t>
            </w:r>
          </w:p>
        </w:tc>
      </w:tr>
      <w:tr>
        <w:trPr>
          <w:trHeight w:val="334"/>
          <w:jc w:val="center"/>
        </w:trPr>
        <w:tc>
          <w:tcPr>
            <w:tcW w:w="5000" w:type="pct"/>
            <w:gridSpan w:val="8"/>
            <w:tcBorders>
              <w:bottom w:val="single" w:sz="4" w:space="0" w:color="auto"/>
            </w:tcBorders>
            <w:vAlign w:val="center"/>
          </w:tcPr>
          <w:p>
            <w:pPr>
              <w:spacing w:line="240" w:lineRule="auto"/>
              <w:jc w:val="both"/>
            </w:pPr>
            <w:r>
              <w:rPr>
                <w:b/>
                <w:sz w:val="22"/>
              </w:rPr>
              <w:t>Walking speed (Hedges' g; negative = faster under noise)</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Franěk et al. (2018)</w:t>
            </w:r>
          </w:p>
        </w:tc>
        <w:tc>
          <w:tcPr>
            <w:tcW w:w="412" w:type="pct"/>
            <w:tcBorders>
              <w:top w:val="single" w:sz="4" w:space="0" w:color="auto"/>
              <w:left w:val="nil"/>
              <w:bottom w:val="nil"/>
              <w:right w:val="nil"/>
            </w:tcBorders>
            <w:vAlign w:val="center"/>
          </w:tcPr>
          <w:p>
            <w:pPr>
              <w:spacing w:line="240" w:lineRule="auto"/>
              <w:jc w:val="both"/>
            </w:pPr>
            <w:r>
              <w:rPr>
                <w:sz w:val="22"/>
              </w:rPr>
              <w:t>Czechia</w:t>
            </w:r>
          </w:p>
        </w:tc>
        <w:tc>
          <w:tcPr>
            <w:tcW w:w="438" w:type="pct"/>
            <w:tcBorders>
              <w:top w:val="single" w:sz="4" w:space="0" w:color="auto"/>
              <w:left w:val="nil"/>
              <w:bottom w:val="nil"/>
              <w:right w:val="nil"/>
            </w:tcBorders>
            <w:vAlign w:val="center"/>
          </w:tcPr>
          <w:p>
            <w:pPr>
              <w:spacing w:line="240" w:lineRule="auto"/>
              <w:jc w:val="both"/>
            </w:pPr>
            <w:r>
              <w:rPr>
                <w:sz w:val="22"/>
              </w:rPr>
              <w:t>Street</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birdsong vs traffic noise</w:t>
            </w:r>
          </w:p>
        </w:tc>
        <w:tc>
          <w:tcPr>
            <w:tcW w:w="188" w:type="pct"/>
            <w:tcBorders>
              <w:top w:val="single" w:sz="4" w:space="0" w:color="auto"/>
              <w:left w:val="nil"/>
              <w:bottom w:val="nil"/>
              <w:right w:val="nil"/>
            </w:tcBorders>
            <w:vAlign w:val="center"/>
          </w:tcPr>
          <w:p>
            <w:pPr>
              <w:spacing w:line="240" w:lineRule="auto"/>
              <w:jc w:val="both"/>
            </w:pPr>
            <w:r>
              <w:rPr>
                <w:sz w:val="22"/>
              </w:rPr>
              <w:t>57</w:t>
            </w:r>
          </w:p>
        </w:tc>
        <w:tc>
          <w:tcPr>
            <w:tcW w:w="350" w:type="pct"/>
            <w:tcBorders>
              <w:top w:val="single" w:sz="4" w:space="0" w:color="auto"/>
              <w:left w:val="nil"/>
              <w:bottom w:val="nil"/>
              <w:right w:val="nil"/>
            </w:tcBorders>
            <w:vAlign w:val="center"/>
          </w:tcPr>
          <w:p>
            <w:pPr>
              <w:spacing w:line="240" w:lineRule="auto"/>
              <w:jc w:val="both"/>
            </w:pPr>
            <w:r>
              <w:rPr>
                <w:sz w:val="22"/>
              </w:rPr>
              <w:t>Low</w:t>
            </w:r>
          </w:p>
        </w:tc>
        <w:tc>
          <w:tcPr>
            <w:tcW w:w="690" w:type="pct"/>
            <w:tcBorders>
              <w:top w:val="single" w:sz="4" w:space="0" w:color="auto"/>
              <w:left w:val="nil"/>
              <w:bottom w:val="nil"/>
            </w:tcBorders>
            <w:vAlign w:val="center"/>
          </w:tcPr>
          <w:p>
            <w:pPr>
              <w:spacing w:line="240" w:lineRule="auto"/>
              <w:jc w:val="both"/>
            </w:pPr>
            <w:r>
              <w:rPr>
                <w:sz w:val="22"/>
              </w:rPr>
              <w:t>−1.02 [−1.58, −0.47]</w:t>
            </w:r>
          </w:p>
        </w:tc>
      </w:tr>
      <w:tr>
        <w:trPr>
          <w:trHeight w:val="334"/>
          <w:jc w:val="center"/>
        </w:trPr>
        <w:tc>
          <w:tcPr>
            <w:tcW w:w="1041" w:type="pct"/>
            <w:tcBorders>
              <w:top w:val="nil"/>
              <w:bottom w:val="nil"/>
              <w:right w:val="nil"/>
            </w:tcBorders>
            <w:vAlign w:val="center"/>
          </w:tcPr>
          <w:p>
            <w:pPr>
              <w:spacing w:line="240" w:lineRule="auto"/>
              <w:jc w:val="both"/>
            </w:pPr>
            <w:r>
              <w:rPr>
                <w:sz w:val="22"/>
              </w:rPr>
              <w:t>Franěk et al. (2019)</w:t>
            </w:r>
          </w:p>
        </w:tc>
        <w:tc>
          <w:tcPr>
            <w:tcW w:w="412" w:type="pct"/>
            <w:tcBorders>
              <w:top w:val="nil"/>
              <w:left w:val="nil"/>
              <w:bottom w:val="nil"/>
              <w:right w:val="nil"/>
            </w:tcBorders>
            <w:vAlign w:val="center"/>
          </w:tcPr>
          <w:p>
            <w:pPr>
              <w:spacing w:line="240" w:lineRule="auto"/>
              <w:jc w:val="both"/>
            </w:pPr>
            <w:r>
              <w:rPr>
                <w:sz w:val="22"/>
              </w:rPr>
              <w:t>Czechia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birdsong vs city noise (Exp 1 and 2)</w:t>
            </w:r>
          </w:p>
        </w:tc>
        <w:tc>
          <w:tcPr>
            <w:tcW w:w="188" w:type="pct"/>
            <w:tcBorders>
              <w:top w:val="nil"/>
              <w:left w:val="nil"/>
              <w:bottom w:val="nil"/>
              <w:right w:val="nil"/>
            </w:tcBorders>
            <w:vAlign w:val="center"/>
          </w:tcPr>
          <w:p>
            <w:pPr>
              <w:spacing w:line="240" w:lineRule="auto"/>
              <w:jc w:val="both"/>
            </w:pPr>
            <w:r>
              <w:rPr>
                <w:sz w:val="22"/>
              </w:rPr>
              <w:t>102</w:t>
            </w:r>
          </w:p>
        </w:tc>
        <w:tc>
          <w:tcPr>
            <w:tcW w:w="350" w:type="pct"/>
            <w:tcBorders>
              <w:top w:val="nil"/>
              <w:left w:val="nil"/>
              <w:bottom w:val="nil"/>
              <w:right w:val="nil"/>
            </w:tcBorders>
            <w:vAlign w:val="center"/>
          </w:tcPr>
          <w:p>
            <w:pPr>
              <w:spacing w:line="240" w:lineRule="auto"/>
              <w:jc w:val="both"/>
            </w:pPr>
            <w:r>
              <w:rPr>
                <w:sz w:val="22"/>
              </w:rPr>
              <w:t>Low</w:t>
            </w:r>
          </w:p>
        </w:tc>
        <w:tc>
          <w:tcPr>
            <w:tcW w:w="690" w:type="pct"/>
            <w:tcBorders>
              <w:top w:val="nil"/>
              <w:left w:val="nil"/>
              <w:bottom w:val="nil"/>
            </w:tcBorders>
            <w:vAlign w:val="center"/>
          </w:tcPr>
          <w:p>
            <w:pPr>
              <w:spacing w:line="240" w:lineRule="auto"/>
              <w:jc w:val="both"/>
            </w:pPr>
            <w:r>
              <w:rPr>
                <w:sz w:val="22"/>
              </w:rPr>
              <w:t>−0.63 [−1.12, −0.13]</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Berkouk et al. (2020)</w:t>
            </w:r>
          </w:p>
        </w:tc>
        <w:tc>
          <w:tcPr>
            <w:tcW w:w="412" w:type="pct"/>
            <w:tcBorders>
              <w:top w:val="nil"/>
              <w:left w:val="nil"/>
              <w:bottom w:val="single" w:sz="4" w:space="0" w:color="auto"/>
              <w:right w:val="nil"/>
            </w:tcBorders>
            <w:vAlign w:val="center"/>
          </w:tcPr>
          <w:p>
            <w:pPr>
              <w:spacing w:line="240" w:lineRule="auto"/>
              <w:jc w:val="both"/>
            </w:pPr>
            <w:r>
              <w:rPr>
                <w:sz w:val="22"/>
              </w:rPr>
              <w:t>Algeria</w:t>
            </w:r>
          </w:p>
        </w:tc>
        <w:tc>
          <w:tcPr>
            <w:tcW w:w="438" w:type="pct"/>
            <w:tcBorders>
              <w:top w:val="nil"/>
              <w:left w:val="nil"/>
              <w:bottom w:val="single" w:sz="4" w:space="0" w:color="auto"/>
              <w:right w:val="nil"/>
            </w:tcBorders>
            <w:vAlign w:val="center"/>
          </w:tcPr>
          <w:p>
            <w:pPr>
              <w:spacing w:line="240" w:lineRule="auto"/>
              <w:jc w:val="both"/>
            </w:pPr>
            <w:r>
              <w:rPr>
                <w:sz w:val="22"/>
              </w:rPr>
              <w:t>Street</w:t>
            </w:r>
          </w:p>
        </w:tc>
        <w:tc>
          <w:tcPr>
            <w:tcW w:w="622" w:type="pct"/>
            <w:tcBorders>
              <w:top w:val="nil"/>
              <w:left w:val="nil"/>
              <w:bottom w:val="single" w:sz="4" w:space="0" w:color="auto"/>
              <w:right w:val="nil"/>
            </w:tcBorders>
            <w:vAlign w:val="center"/>
          </w:tcPr>
          <w:p>
            <w:pPr>
              <w:spacing w:line="240" w:lineRule="auto"/>
              <w:jc w:val="both"/>
            </w:pPr>
            <w:r>
              <w:rPr>
                <w:sz w:val="22"/>
              </w:rPr>
              <w:t>Observation</w:t>
            </w:r>
          </w:p>
        </w:tc>
        <w:tc>
          <w:tcPr>
            <w:tcW w:w="1258" w:type="pct"/>
            <w:tcBorders>
              <w:top w:val="nil"/>
              <w:left w:val="nil"/>
              <w:bottom w:val="single" w:sz="4" w:space="0" w:color="auto"/>
              <w:right w:val="nil"/>
            </w:tcBorders>
            <w:vAlign w:val="center"/>
          </w:tcPr>
          <w:p>
            <w:pPr>
              <w:spacing w:line="240" w:lineRule="auto"/>
              <w:jc w:val="both"/>
            </w:pPr>
            <w:r>
              <w:rPr>
                <w:sz w:val="22"/>
              </w:rPr>
              <w:t>natural vs traffic sound</w:t>
            </w:r>
          </w:p>
        </w:tc>
        <w:tc>
          <w:tcPr>
            <w:tcW w:w="188" w:type="pct"/>
            <w:tcBorders>
              <w:top w:val="nil"/>
              <w:left w:val="nil"/>
              <w:bottom w:val="single" w:sz="4" w:space="0" w:color="auto"/>
              <w:right w:val="nil"/>
            </w:tcBorders>
            <w:vAlign w:val="center"/>
          </w:tcPr>
          <w:p>
            <w:pPr>
              <w:spacing w:line="240" w:lineRule="auto"/>
              <w:jc w:val="both"/>
            </w:pPr>
            <w:r>
              <w:rPr>
                <w:sz w:val="22"/>
              </w:rPr>
              <w:t>54</w:t>
            </w:r>
          </w:p>
        </w:tc>
        <w:tc>
          <w:tcPr>
            <w:tcW w:w="350" w:type="pct"/>
            <w:tcBorders>
              <w:top w:val="nil"/>
              <w:left w:val="nil"/>
              <w:bottom w:val="single" w:sz="4" w:space="0" w:color="auto"/>
              <w:right w:val="nil"/>
            </w:tcBorders>
            <w:vAlign w:val="center"/>
          </w:tcPr>
          <w:p>
            <w:pPr>
              <w:spacing w:line="240" w:lineRule="auto"/>
              <w:jc w:val="both"/>
            </w:pPr>
            <w:r>
              <w:rPr>
                <w:sz w:val="22"/>
              </w:rPr>
              <w:t>Low</w:t>
            </w:r>
          </w:p>
        </w:tc>
        <w:tc>
          <w:tcPr>
            <w:tcW w:w="690" w:type="pct"/>
            <w:tcBorders>
              <w:top w:val="nil"/>
              <w:left w:val="nil"/>
              <w:bottom w:val="single" w:sz="4" w:space="0" w:color="auto"/>
            </w:tcBorders>
            <w:vAlign w:val="center"/>
          </w:tcPr>
          <w:p>
            <w:pPr>
              <w:spacing w:line="240" w:lineRule="auto"/>
              <w:jc w:val="both"/>
            </w:pPr>
            <w:r>
              <w:rPr>
                <w:sz w:val="22"/>
              </w:rPr>
              <w:t>+0.23 [−0.31, +0.76]</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Staying / dwell time (Hedges' g; positive = longer stay)</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Aletta et al. (2016)</w:t>
            </w:r>
          </w:p>
        </w:tc>
        <w:tc>
          <w:tcPr>
            <w:tcW w:w="412" w:type="pct"/>
            <w:tcBorders>
              <w:top w:val="single" w:sz="4" w:space="0" w:color="auto"/>
              <w:left w:val="nil"/>
              <w:bottom w:val="nil"/>
              <w:right w:val="nil"/>
            </w:tcBorders>
            <w:vAlign w:val="center"/>
          </w:tcPr>
          <w:p>
            <w:pPr>
              <w:spacing w:line="240" w:lineRule="auto"/>
              <w:jc w:val="both"/>
            </w:pPr>
            <w:r>
              <w:rPr>
                <w:sz w:val="22"/>
              </w:rPr>
              <w:t>UK</w:t>
            </w:r>
          </w:p>
        </w:tc>
        <w:tc>
          <w:tcPr>
            <w:tcW w:w="438" w:type="pct"/>
            <w:tcBorders>
              <w:top w:val="single" w:sz="4" w:space="0" w:color="auto"/>
              <w:left w:val="nil"/>
              <w:bottom w:val="nil"/>
              <w:right w:val="nil"/>
            </w:tcBorders>
            <w:vAlign w:val="center"/>
          </w:tcPr>
          <w:p>
            <w:pPr>
              <w:spacing w:line="240" w:lineRule="auto"/>
              <w:jc w:val="both"/>
            </w:pPr>
            <w:r>
              <w:rPr>
                <w:sz w:val="22"/>
              </w:rPr>
              <w:t>Campus</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music vs no music</w:t>
            </w:r>
          </w:p>
        </w:tc>
        <w:tc>
          <w:tcPr>
            <w:tcW w:w="188" w:type="pct"/>
            <w:tcBorders>
              <w:top w:val="single" w:sz="4" w:space="0" w:color="auto"/>
              <w:left w:val="nil"/>
              <w:bottom w:val="nil"/>
              <w:right w:val="nil"/>
            </w:tcBorders>
            <w:vAlign w:val="center"/>
          </w:tcPr>
          <w:p>
            <w:pPr>
              <w:spacing w:line="240" w:lineRule="auto"/>
              <w:jc w:val="both"/>
            </w:pPr>
            <w:r>
              <w:rPr>
                <w:sz w:val="22"/>
              </w:rPr>
              <w:t>596</w:t>
            </w:r>
          </w:p>
        </w:tc>
        <w:tc>
          <w:tcPr>
            <w:tcW w:w="350" w:type="pct"/>
            <w:tcBorders>
              <w:top w:val="single" w:sz="4" w:space="0" w:color="auto"/>
              <w:left w:val="nil"/>
              <w:bottom w:val="nil"/>
              <w:right w:val="nil"/>
            </w:tcBorders>
            <w:vAlign w:val="center"/>
          </w:tcPr>
          <w:p>
            <w:pPr>
              <w:spacing w:line="240" w:lineRule="auto"/>
              <w:jc w:val="both"/>
            </w:pPr>
            <w:r>
              <w:rPr>
                <w:sz w:val="22"/>
              </w:rPr>
              <w:t>High</w:t>
            </w:r>
          </w:p>
        </w:tc>
        <w:tc>
          <w:tcPr>
            <w:tcW w:w="690" w:type="pct"/>
            <w:tcBorders>
              <w:top w:val="single" w:sz="4" w:space="0" w:color="auto"/>
              <w:left w:val="nil"/>
              <w:bottom w:val="nil"/>
            </w:tcBorders>
            <w:vAlign w:val="center"/>
          </w:tcPr>
          <w:p>
            <w:pPr>
              <w:spacing w:line="240" w:lineRule="auto"/>
              <w:jc w:val="both"/>
            </w:pPr>
            <w:r>
              <w:rPr>
                <w:sz w:val="22"/>
              </w:rPr>
              <w:t>+0.39 [+0.19, +0.59]</w:t>
            </w:r>
          </w:p>
        </w:tc>
      </w:tr>
      <w:tr>
        <w:trPr>
          <w:trHeight w:val="334"/>
          <w:jc w:val="center"/>
        </w:trPr>
        <w:tc>
          <w:tcPr>
            <w:tcW w:w="1041" w:type="pct"/>
            <w:tcBorders>
              <w:top w:val="nil"/>
              <w:bottom w:val="nil"/>
              <w:right w:val="nil"/>
            </w:tcBorders>
            <w:vAlign w:val="center"/>
          </w:tcPr>
          <w:p>
            <w:pPr>
              <w:spacing w:line="240" w:lineRule="auto"/>
              <w:jc w:val="both"/>
            </w:pPr>
            <w:r>
              <w:rPr>
                <w:sz w:val="22"/>
              </w:rPr>
              <w:t>Ba et al. (2020)</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music vs no sound</w:t>
            </w:r>
          </w:p>
        </w:tc>
        <w:tc>
          <w:tcPr>
            <w:tcW w:w="188" w:type="pct"/>
            <w:tcBorders>
              <w:top w:val="nil"/>
              <w:left w:val="nil"/>
              <w:bottom w:val="nil"/>
              <w:right w:val="nil"/>
            </w:tcBorders>
            <w:vAlign w:val="center"/>
          </w:tcPr>
          <w:p>
            <w:pPr>
              <w:spacing w:line="240" w:lineRule="auto"/>
              <w:jc w:val="both"/>
            </w:pPr>
            <w:r>
              <w:rPr>
                <w:sz w:val="22"/>
              </w:rPr>
              <w:t>97</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+0.61 [+0.21, +1.02]</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Fu et al. (2026)</w:t>
            </w:r>
          </w:p>
        </w:tc>
        <w:tc>
          <w:tcPr>
            <w:tcW w:w="412" w:type="pct"/>
            <w:tcBorders>
              <w:top w:val="nil"/>
              <w:left w:val="nil"/>
              <w:bottom w:val="single" w:sz="4" w:space="0" w:color="auto"/>
              <w:right w:val="nil"/>
            </w:tcBorders>
            <w:vAlign w:val="center"/>
          </w:tcPr>
          <w:p>
            <w:pPr>
              <w:spacing w:line="240" w:lineRule="auto"/>
              <w:jc w:val="both"/>
            </w:pPr>
            <w:r>
              <w:rPr>
                <w:sz w:val="22"/>
              </w:rPr>
              <w:t>China</w:t>
            </w:r>
          </w:p>
        </w:tc>
        <w:tc>
          <w:tcPr>
            <w:tcW w:w="438" w:type="pct"/>
            <w:tcBorders>
              <w:top w:val="nil"/>
              <w:left w:val="nil"/>
              <w:bottom w:val="single" w:sz="4" w:space="0" w:color="auto"/>
              <w:right w:val="nil"/>
            </w:tcBorders>
            <w:vAlign w:val="center"/>
          </w:tcPr>
          <w:p>
            <w:pPr>
              <w:spacing w:line="240" w:lineRule="auto"/>
              <w:jc w:val="both"/>
            </w:pPr>
            <w:r>
              <w:rPr>
                <w:sz w:val="22"/>
              </w:rPr>
              <w:t>Mixed</w:t>
            </w:r>
          </w:p>
        </w:tc>
        <w:tc>
          <w:tcPr>
            <w:tcW w:w="622" w:type="pct"/>
            <w:tcBorders>
              <w:top w:val="nil"/>
              <w:left w:val="nil"/>
              <w:bottom w:val="single" w:sz="4" w:space="0" w:color="auto"/>
              <w:right w:val="nil"/>
            </w:tcBorders>
            <w:vAlign w:val="center"/>
          </w:tcPr>
          <w:p>
            <w:pPr>
              <w:spacing w:line="240" w:lineRule="auto"/>
              <w:jc w:val="both"/>
            </w:pPr>
            <w:r>
              <w:rPr>
                <w:sz w:val="22"/>
              </w:rPr>
              <w:t>Mixed</w:t>
            </w:r>
          </w:p>
        </w:tc>
        <w:tc>
          <w:tcPr>
            <w:tcW w:w="1258" w:type="pct"/>
            <w:tcBorders>
              <w:top w:val="nil"/>
              <w:left w:val="nil"/>
              <w:bottom w:val="single" w:sz="4" w:space="0" w:color="auto"/>
              <w:right w:val="nil"/>
            </w:tcBorders>
            <w:vAlign w:val="center"/>
          </w:tcPr>
          <w:p>
            <w:pPr>
              <w:spacing w:line="240" w:lineRule="auto"/>
              <w:jc w:val="both"/>
            </w:pPr>
            <w:r>
              <w:rPr>
                <w:sz w:val="22"/>
              </w:rPr>
              <w:t>natural sound index (high vs low)</w:t>
            </w:r>
          </w:p>
        </w:tc>
        <w:tc>
          <w:tcPr>
            <w:tcW w:w="188" w:type="pct"/>
            <w:tcBorders>
              <w:top w:val="nil"/>
              <w:left w:val="nil"/>
              <w:bottom w:val="single" w:sz="4" w:space="0" w:color="auto"/>
              <w:right w:val="nil"/>
            </w:tcBorders>
            <w:vAlign w:val="center"/>
          </w:tcPr>
          <w:p>
            <w:pPr>
              <w:spacing w:line="240" w:lineRule="auto"/>
              <w:jc w:val="both"/>
            </w:pPr>
            <w:r>
              <w:rPr>
                <w:sz w:val="22"/>
              </w:rPr>
              <w:t>241</w:t>
            </w:r>
          </w:p>
        </w:tc>
        <w:tc>
          <w:tcPr>
            <w:tcW w:w="350" w:type="pct"/>
            <w:tcBorders>
              <w:top w:val="nil"/>
              <w:left w:val="nil"/>
              <w:bottom w:val="single" w:sz="4" w:space="0" w:color="auto"/>
              <w:right w:val="nil"/>
            </w:tcBorders>
            <w:vAlign w:val="center"/>
          </w:tcPr>
          <w:p>
            <w:pPr>
              <w:spacing w:line="240" w:lineRule="auto"/>
              <w:jc w:val="both"/>
            </w:pPr>
            <w:r>
              <w:rPr>
                <w:sz w:val="22"/>
              </w:rPr>
              <w:t>Moderate</w:t>
            </w:r>
          </w:p>
        </w:tc>
        <w:tc>
          <w:tcPr>
            <w:tcW w:w="690" w:type="pct"/>
            <w:tcBorders>
              <w:top w:val="nil"/>
              <w:left w:val="nil"/>
              <w:bottom w:val="single" w:sz="4" w:space="0" w:color="auto"/>
            </w:tcBorders>
            <w:vAlign w:val="center"/>
          </w:tcPr>
          <w:p>
            <w:pPr>
              <w:spacing w:line="240" w:lineRule="auto"/>
              <w:jc w:val="both"/>
            </w:pPr>
            <w:r>
              <w:rPr>
                <w:sz w:val="22"/>
              </w:rPr>
              <w:t>+0.21 [+0.07, +0.36]</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Social interaction (Hedges' g; positive = more interaction)</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Chen &amp; Kang (2023)</w:t>
            </w:r>
          </w:p>
        </w:tc>
        <w:tc>
          <w:tcPr>
            <w:tcW w:w="412" w:type="pct"/>
            <w:tcBorders>
              <w:top w:val="single" w:sz="4" w:space="0" w:color="auto"/>
              <w:left w:val="nil"/>
              <w:bottom w:val="nil"/>
              <w:right w:val="nil"/>
            </w:tcBorders>
            <w:vAlign w:val="center"/>
          </w:tcPr>
          <w:p>
            <w:pPr>
              <w:spacing w:line="240" w:lineRule="auto"/>
              <w:jc w:val="both"/>
            </w:pPr>
            <w:r>
              <w:rPr>
                <w:sz w:val="22"/>
              </w:rPr>
              <w:t>China</w:t>
            </w:r>
          </w:p>
        </w:tc>
        <w:tc>
          <w:tcPr>
            <w:tcW w:w="438" w:type="pct"/>
            <w:tcBorders>
              <w:top w:val="single" w:sz="4" w:space="0" w:color="auto"/>
              <w:left w:val="nil"/>
              <w:bottom w:val="nil"/>
              <w:right w:val="nil"/>
            </w:tcBorders>
            <w:vAlign w:val="center"/>
          </w:tcPr>
          <w:p>
            <w:pPr>
              <w:spacing w:line="240" w:lineRule="auto"/>
              <w:jc w:val="both"/>
            </w:pPr>
            <w:r>
              <w:rPr>
                <w:sz w:val="22"/>
              </w:rPr>
              <w:t>Park</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natural vs noise (group interaction)</w:t>
            </w:r>
          </w:p>
        </w:tc>
        <w:tc>
          <w:tcPr>
            <w:tcW w:w="188" w:type="pct"/>
            <w:tcBorders>
              <w:top w:val="single" w:sz="4" w:space="0" w:color="auto"/>
              <w:left w:val="nil"/>
              <w:bottom w:val="nil"/>
              <w:right w:val="nil"/>
            </w:tcBorders>
            <w:vAlign w:val="center"/>
          </w:tcPr>
          <w:p>
            <w:pPr>
              <w:spacing w:line="240" w:lineRule="auto"/>
              <w:jc w:val="both"/>
            </w:pPr>
            <w:r>
              <w:rPr>
                <w:sz w:val="22"/>
              </w:rPr>
              <w:t>73</w:t>
            </w:r>
          </w:p>
        </w:tc>
        <w:tc>
          <w:tcPr>
            <w:tcW w:w="350" w:type="pct"/>
            <w:tcBorders>
              <w:top w:val="single" w:sz="4" w:space="0" w:color="auto"/>
              <w:left w:val="nil"/>
              <w:bottom w:val="nil"/>
              <w:right w:val="nil"/>
            </w:tcBorders>
            <w:vAlign w:val="center"/>
          </w:tcPr>
          <w:p>
            <w:pPr>
              <w:spacing w:line="240" w:lineRule="auto"/>
              <w:jc w:val="both"/>
            </w:pPr>
            <w:r>
              <w:rPr>
                <w:sz w:val="22"/>
              </w:rPr>
              <w:t>Moderate</w:t>
            </w:r>
          </w:p>
        </w:tc>
        <w:tc>
          <w:tcPr>
            <w:tcW w:w="690" w:type="pct"/>
            <w:tcBorders>
              <w:top w:val="single" w:sz="4" w:space="0" w:color="auto"/>
              <w:left w:val="nil"/>
              <w:bottom w:val="nil"/>
            </w:tcBorders>
            <w:vAlign w:val="center"/>
          </w:tcPr>
          <w:p>
            <w:pPr>
              <w:spacing w:line="240" w:lineRule="auto"/>
              <w:jc w:val="both"/>
            </w:pPr>
            <w:r>
              <w:rPr>
                <w:sz w:val="22"/>
              </w:rPr>
              <w:t>+0.98 [+0.49, +1.46]</w:t>
            </w:r>
          </w:p>
        </w:tc>
      </w:tr>
      <w:tr>
        <w:trPr>
          <w:trHeight w:val="334"/>
          <w:jc w:val="center"/>
        </w:trPr>
        <w:tc>
          <w:tcPr>
            <w:tcW w:w="1041" w:type="pct"/>
            <w:tcBorders>
              <w:top w:val="nil"/>
              <w:bottom w:val="nil"/>
              <w:right w:val="nil"/>
            </w:tcBorders>
            <w:vAlign w:val="center"/>
          </w:tcPr>
          <w:p>
            <w:pPr>
              <w:spacing w:line="240" w:lineRule="auto"/>
              <w:jc w:val="both"/>
            </w:pPr>
            <w:r>
              <w:rPr>
                <w:sz w:val="22"/>
              </w:rPr>
              <w:t>Chen et al. (2024)</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Residential</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natural vs noise (paired interaction)</w:t>
            </w:r>
          </w:p>
        </w:tc>
        <w:tc>
          <w:tcPr>
            <w:tcW w:w="188" w:type="pct"/>
            <w:tcBorders>
              <w:top w:val="nil"/>
              <w:left w:val="nil"/>
              <w:bottom w:val="nil"/>
              <w:right w:val="nil"/>
            </w:tcBorders>
            <w:vAlign w:val="center"/>
          </w:tcPr>
          <w:p>
            <w:pPr>
              <w:spacing w:line="240" w:lineRule="auto"/>
              <w:jc w:val="both"/>
            </w:pPr>
            <w:r>
              <w:rPr>
                <w:sz w:val="22"/>
              </w:rPr>
              <w:t>146</w:t>
            </w:r>
          </w:p>
        </w:tc>
        <w:tc>
          <w:tcPr>
            <w:tcW w:w="350" w:type="pct"/>
            <w:tcBorders>
              <w:top w:val="nil"/>
              <w:left w:val="nil"/>
              <w:bottom w:val="nil"/>
              <w:right w:val="nil"/>
            </w:tcBorders>
            <w:vAlign w:val="center"/>
          </w:tcPr>
          <w:p>
            <w:pPr>
              <w:spacing w:line="240" w:lineRule="auto"/>
              <w:jc w:val="both"/>
            </w:pPr>
            <w:r>
              <w:rPr>
                <w:sz w:val="22"/>
              </w:rPr>
              <w:t>High</w:t>
            </w:r>
          </w:p>
        </w:tc>
        <w:tc>
          <w:tcPr>
            <w:tcW w:w="690" w:type="pct"/>
            <w:tcBorders>
              <w:top w:val="nil"/>
              <w:left w:val="nil"/>
              <w:bottom w:val="nil"/>
            </w:tcBorders>
            <w:vAlign w:val="center"/>
          </w:tcPr>
          <w:p>
            <w:pPr>
              <w:spacing w:line="240" w:lineRule="auto"/>
              <w:jc w:val="both"/>
            </w:pPr>
            <w:r>
              <w:rPr>
                <w:sz w:val="22"/>
              </w:rPr>
              <w:t>+0.55 [+0.22, +0.88]</w:t>
            </w:r>
          </w:p>
        </w:tc>
      </w:tr>
      <w:tr>
        <w:trPr>
          <w:trHeight w:val="334"/>
          <w:jc w:val="center"/>
        </w:trPr>
        <w:tc>
          <w:tcPr>
            <w:tcW w:w="1041" w:type="pct"/>
            <w:tcBorders>
              <w:top w:val="nil"/>
              <w:bottom w:val="nil"/>
              <w:right w:val="nil"/>
            </w:tcBorders>
            <w:vAlign w:val="center"/>
          </w:tcPr>
          <w:p>
            <w:pPr>
              <w:spacing w:line="240" w:lineRule="auto"/>
              <w:jc w:val="both"/>
            </w:pPr>
            <w:r>
              <w:rPr>
                <w:sz w:val="22"/>
              </w:rPr>
              <w:t>Moser (1988)</w:t>
            </w:r>
          </w:p>
        </w:tc>
        <w:tc>
          <w:tcPr>
            <w:tcW w:w="412" w:type="pct"/>
            <w:tcBorders>
              <w:top w:val="nil"/>
              <w:left w:val="nil"/>
              <w:bottom w:val="nil"/>
              <w:right w:val="nil"/>
            </w:tcBorders>
            <w:vAlign w:val="center"/>
          </w:tcPr>
          <w:p>
            <w:pPr>
              <w:spacing w:line="240" w:lineRule="auto"/>
              <w:jc w:val="both"/>
            </w:pPr>
            <w:r>
              <w:rPr>
                <w:sz w:val="22"/>
              </w:rPr>
              <w:t>France</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quiet vs roadworks noise (helping)</w:t>
            </w:r>
          </w:p>
        </w:tc>
        <w:tc>
          <w:tcPr>
            <w:tcW w:w="188" w:type="pct"/>
            <w:tcBorders>
              <w:top w:val="nil"/>
              <w:left w:val="nil"/>
              <w:bottom w:val="nil"/>
              <w:right w:val="nil"/>
            </w:tcBorders>
            <w:vAlign w:val="center"/>
          </w:tcPr>
          <w:p>
            <w:pPr>
              <w:spacing w:line="240" w:lineRule="auto"/>
              <w:jc w:val="both"/>
            </w:pPr>
            <w:r>
              <w:rPr>
                <w:sz w:val="22"/>
              </w:rPr>
              <w:t>150</w:t>
            </w:r>
          </w:p>
        </w:tc>
        <w:tc>
          <w:tcPr>
            <w:tcW w:w="350" w:type="pct"/>
            <w:tcBorders>
              <w:top w:val="nil"/>
              <w:left w:val="nil"/>
              <w:bottom w:val="nil"/>
              <w:right w:val="nil"/>
            </w:tcBorders>
            <w:vAlign w:val="center"/>
          </w:tcPr>
          <w:p>
            <w:pPr>
              <w:spacing w:line="240" w:lineRule="auto"/>
              <w:jc w:val="both"/>
            </w:pPr>
            <w:r>
              <w:rPr>
                <w:sz w:val="22"/>
              </w:rPr>
              <w:t>High</w:t>
            </w:r>
          </w:p>
        </w:tc>
        <w:tc>
          <w:tcPr>
            <w:tcW w:w="690" w:type="pct"/>
            <w:tcBorders>
              <w:top w:val="nil"/>
              <w:left w:val="nil"/>
              <w:bottom w:val="nil"/>
            </w:tcBorders>
            <w:vAlign w:val="center"/>
          </w:tcPr>
          <w:p>
            <w:pPr>
              <w:spacing w:line="240" w:lineRule="auto"/>
              <w:jc w:val="both"/>
            </w:pPr>
            <w:r>
              <w:rPr>
                <w:sz w:val="22"/>
              </w:rPr>
              <w:t>+0.43 [+0.13, +0.73]</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Mathews &amp; Canon (1975) ▲</w:t>
            </w:r>
          </w:p>
        </w:tc>
        <w:tc>
          <w:tcPr>
            <w:tcW w:w="412" w:type="pct"/>
            <w:tcBorders>
              <w:top w:val="nil"/>
              <w:left w:val="nil"/>
              <w:bottom w:val="single" w:sz="4" w:space="0" w:color="auto"/>
              <w:right w:val="nil"/>
            </w:tcBorders>
            <w:vAlign w:val="center"/>
          </w:tcPr>
          <w:p>
            <w:pPr>
              <w:spacing w:line="240" w:lineRule="auto"/>
              <w:jc w:val="both"/>
            </w:pPr>
            <w:r>
              <w:rPr>
                <w:sz w:val="22"/>
              </w:rPr>
              <w:t>NR</w:t>
            </w:r>
          </w:p>
        </w:tc>
        <w:tc>
          <w:tcPr>
            <w:tcW w:w="438" w:type="pct"/>
            <w:tcBorders>
              <w:top w:val="nil"/>
              <w:left w:val="nil"/>
              <w:bottom w:val="single" w:sz="4" w:space="0" w:color="auto"/>
              <w:right w:val="nil"/>
            </w:tcBorders>
            <w:vAlign w:val="center"/>
          </w:tcPr>
          <w:p>
            <w:pPr>
              <w:spacing w:line="240" w:lineRule="auto"/>
              <w:jc w:val="both"/>
            </w:pPr>
            <w:r>
              <w:rPr>
                <w:sz w:val="22"/>
              </w:rPr>
              <w:t>Street</w:t>
            </w:r>
          </w:p>
        </w:tc>
        <w:tc>
          <w:tcPr>
            <w:tcW w:w="622" w:type="pct"/>
            <w:tcBorders>
              <w:top w:val="nil"/>
              <w:left w:val="nil"/>
              <w:bottom w:val="single" w:sz="4" w:space="0" w:color="auto"/>
              <w:right w:val="nil"/>
            </w:tcBorders>
            <w:vAlign w:val="center"/>
          </w:tcPr>
          <w:p>
            <w:pPr>
              <w:spacing w:line="240" w:lineRule="auto"/>
              <w:jc w:val="both"/>
            </w:pPr>
            <w:r>
              <w:rPr>
                <w:sz w:val="22"/>
              </w:rPr>
              <w:t>Field experiment</w:t>
            </w:r>
          </w:p>
        </w:tc>
        <w:tc>
          <w:tcPr>
            <w:tcW w:w="1258" w:type="pct"/>
            <w:tcBorders>
              <w:top w:val="nil"/>
              <w:left w:val="nil"/>
              <w:bottom w:val="single" w:sz="4" w:space="0" w:color="auto"/>
              <w:right w:val="nil"/>
            </w:tcBorders>
            <w:vAlign w:val="center"/>
          </w:tcPr>
          <w:p>
            <w:pPr>
              <w:spacing w:line="240" w:lineRule="auto"/>
              <w:jc w:val="both"/>
            </w:pPr>
            <w:r>
              <w:rPr>
                <w:sz w:val="22"/>
              </w:rPr>
              <w:t>quiet vs lawnmower noise (helping)</w:t>
            </w:r>
          </w:p>
        </w:tc>
        <w:tc>
          <w:tcPr>
            <w:tcW w:w="188" w:type="pct"/>
            <w:tcBorders>
              <w:top w:val="nil"/>
              <w:left w:val="nil"/>
              <w:bottom w:val="single" w:sz="4" w:space="0" w:color="auto"/>
              <w:right w:val="nil"/>
            </w:tcBorders>
            <w:vAlign w:val="center"/>
          </w:tcPr>
          <w:p>
            <w:pPr>
              <w:spacing w:line="240" w:lineRule="auto"/>
              <w:jc w:val="both"/>
            </w:pPr>
            <w:r>
              <w:rPr>
                <w:sz w:val="22"/>
              </w:rPr>
              <w:t>80</w:t>
            </w:r>
          </w:p>
        </w:tc>
        <w:tc>
          <w:tcPr>
            <w:tcW w:w="350" w:type="pct"/>
            <w:tcBorders>
              <w:top w:val="nil"/>
              <w:left w:val="nil"/>
              <w:bottom w:val="single" w:sz="4" w:space="0" w:color="auto"/>
              <w:right w:val="nil"/>
            </w:tcBorders>
            <w:vAlign w:val="center"/>
          </w:tcPr>
          <w:p>
            <w:pPr>
              <w:spacing w:line="240" w:lineRule="auto"/>
              <w:jc w:val="both"/>
            </w:pPr>
            <w:r>
              <w:rPr>
                <w:sz w:val="22"/>
              </w:rPr>
              <w:t>Moderate</w:t>
            </w:r>
          </w:p>
        </w:tc>
        <w:tc>
          <w:tcPr>
            <w:tcW w:w="690" w:type="pct"/>
            <w:tcBorders>
              <w:top w:val="nil"/>
              <w:left w:val="nil"/>
              <w:bottom w:val="single" w:sz="4" w:space="0" w:color="auto"/>
            </w:tcBorders>
            <w:vAlign w:val="center"/>
          </w:tcPr>
          <w:p>
            <w:pPr>
              <w:spacing w:line="240" w:lineRule="auto"/>
              <w:jc w:val="both"/>
            </w:pPr>
            <w:r>
              <w:rPr>
                <w:sz w:val="22"/>
              </w:rPr>
              <w:t>+1.07 [+0.45, +1.69]</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Sound–behaviour correlation (r; acoustic or perceptual measure, either direction)</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Guo et al. (2024)</w:t>
            </w:r>
          </w:p>
        </w:tc>
        <w:tc>
          <w:tcPr>
            <w:tcW w:w="412" w:type="pct"/>
            <w:tcBorders>
              <w:top w:val="single" w:sz="4" w:space="0" w:color="auto"/>
              <w:left w:val="nil"/>
              <w:bottom w:val="nil"/>
              <w:right w:val="nil"/>
            </w:tcBorders>
            <w:vAlign w:val="center"/>
          </w:tcPr>
          <w:p>
            <w:pPr>
              <w:spacing w:line="240" w:lineRule="auto"/>
              <w:jc w:val="both"/>
            </w:pPr>
            <w:r>
              <w:rPr>
                <w:sz w:val="22"/>
              </w:rPr>
              <w:t>China</w:t>
            </w:r>
          </w:p>
        </w:tc>
        <w:tc>
          <w:tcPr>
            <w:tcW w:w="438" w:type="pct"/>
            <w:tcBorders>
              <w:top w:val="single" w:sz="4" w:space="0" w:color="auto"/>
              <w:left w:val="nil"/>
              <w:bottom w:val="nil"/>
              <w:right w:val="nil"/>
            </w:tcBorders>
            <w:vAlign w:val="center"/>
          </w:tcPr>
          <w:p>
            <w:pPr>
              <w:spacing w:line="240" w:lineRule="auto"/>
              <w:jc w:val="both"/>
            </w:pPr>
            <w:r>
              <w:rPr>
                <w:sz w:val="22"/>
              </w:rPr>
              <w:t>Park</w:t>
            </w:r>
          </w:p>
        </w:tc>
        <w:tc>
          <w:tcPr>
            <w:tcW w:w="622" w:type="pct"/>
            <w:tcBorders>
              <w:top w:val="single" w:sz="4" w:space="0" w:color="auto"/>
              <w:left w:val="nil"/>
              <w:bottom w:val="nil"/>
              <w:right w:val="nil"/>
            </w:tcBorders>
            <w:vAlign w:val="center"/>
          </w:tcPr>
          <w:p>
            <w:pPr>
              <w:spacing w:line="240" w:lineRule="auto"/>
              <w:jc w:val="both"/>
            </w:pPr>
            <w:r>
              <w:rPr>
                <w:sz w:val="22"/>
              </w:rPr>
              <w:t>Survey</w:t>
            </w:r>
          </w:p>
        </w:tc>
        <w:tc>
          <w:tcPr>
            <w:tcW w:w="1258" w:type="pct"/>
            <w:tcBorders>
              <w:top w:val="single" w:sz="4" w:space="0" w:color="auto"/>
              <w:left w:val="nil"/>
              <w:bottom w:val="nil"/>
              <w:right w:val="nil"/>
            </w:tcBorders>
            <w:vAlign w:val="center"/>
          </w:tcPr>
          <w:p>
            <w:pPr>
              <w:spacing w:line="240" w:lineRule="auto"/>
              <w:jc w:val="both"/>
            </w:pPr>
            <w:r>
              <w:rPr>
                <w:sz w:val="22"/>
              </w:rPr>
              <w:t>pleasantness with static behaviour</w:t>
            </w:r>
          </w:p>
        </w:tc>
        <w:tc>
          <w:tcPr>
            <w:tcW w:w="188" w:type="pct"/>
            <w:tcBorders>
              <w:top w:val="single" w:sz="4" w:space="0" w:color="auto"/>
              <w:left w:val="nil"/>
              <w:bottom w:val="nil"/>
              <w:right w:val="nil"/>
            </w:tcBorders>
            <w:vAlign w:val="center"/>
          </w:tcPr>
          <w:p>
            <w:pPr>
              <w:spacing w:line="240" w:lineRule="auto"/>
              <w:jc w:val="both"/>
            </w:pPr>
            <w:r>
              <w:rPr>
                <w:sz w:val="22"/>
              </w:rPr>
              <w:t>419</w:t>
            </w:r>
          </w:p>
        </w:tc>
        <w:tc>
          <w:tcPr>
            <w:tcW w:w="350" w:type="pct"/>
            <w:tcBorders>
              <w:top w:val="single" w:sz="4" w:space="0" w:color="auto"/>
              <w:left w:val="nil"/>
              <w:bottom w:val="nil"/>
              <w:right w:val="nil"/>
            </w:tcBorders>
            <w:vAlign w:val="center"/>
          </w:tcPr>
          <w:p>
            <w:pPr>
              <w:spacing w:line="240" w:lineRule="auto"/>
              <w:jc w:val="both"/>
            </w:pPr>
            <w:r>
              <w:rPr>
                <w:sz w:val="22"/>
              </w:rPr>
              <w:t>Moderate</w:t>
            </w:r>
          </w:p>
        </w:tc>
        <w:tc>
          <w:tcPr>
            <w:tcW w:w="690" w:type="pct"/>
            <w:tcBorders>
              <w:top w:val="single" w:sz="4" w:space="0" w:color="auto"/>
              <w:left w:val="nil"/>
              <w:bottom w:val="nil"/>
            </w:tcBorders>
            <w:vAlign w:val="center"/>
          </w:tcPr>
          <w:p>
            <w:pPr>
              <w:spacing w:line="240" w:lineRule="auto"/>
              <w:jc w:val="both"/>
            </w:pPr>
            <w:r>
              <w:rPr>
                <w:sz w:val="22"/>
              </w:rPr>
              <w:t>+0.56 [+0.49, +0.63]</w:t>
            </w:r>
          </w:p>
        </w:tc>
      </w:tr>
      <w:tr>
        <w:trPr>
          <w:trHeight w:val="334"/>
          <w:jc w:val="center"/>
        </w:trPr>
        <w:tc>
          <w:tcPr>
            <w:tcW w:w="1041" w:type="pct"/>
            <w:tcBorders>
              <w:top w:val="nil"/>
              <w:bottom w:val="nil"/>
              <w:right w:val="nil"/>
            </w:tcBorders>
            <w:vAlign w:val="center"/>
          </w:tcPr>
          <w:p>
            <w:pPr>
              <w:spacing w:line="240" w:lineRule="auto"/>
              <w:jc w:val="both"/>
            </w:pPr>
            <w:r>
              <w:rPr>
                <w:sz w:val="22"/>
              </w:rPr>
              <w:t>Zhou et al. (2026)</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natural sound events with queuing</w:t>
            </w:r>
          </w:p>
        </w:tc>
        <w:tc>
          <w:tcPr>
            <w:tcW w:w="188" w:type="pct"/>
            <w:tcBorders>
              <w:top w:val="nil"/>
              <w:left w:val="nil"/>
              <w:bottom w:val="nil"/>
              <w:right w:val="nil"/>
            </w:tcBorders>
            <w:vAlign w:val="center"/>
          </w:tcPr>
          <w:p>
            <w:pPr>
              <w:spacing w:line="240" w:lineRule="auto"/>
              <w:jc w:val="both"/>
            </w:pPr>
            <w:r>
              <w:rPr>
                <w:sz w:val="22"/>
              </w:rPr>
              <w:t>315</w:t>
            </w:r>
          </w:p>
        </w:tc>
        <w:tc>
          <w:tcPr>
            <w:tcW w:w="350" w:type="pct"/>
            <w:tcBorders>
              <w:top w:val="nil"/>
              <w:left w:val="nil"/>
              <w:bottom w:val="nil"/>
              <w:right w:val="nil"/>
            </w:tcBorders>
            <w:vAlign w:val="center"/>
          </w:tcPr>
          <w:p>
            <w:pPr>
              <w:spacing w:line="240" w:lineRule="auto"/>
              <w:jc w:val="both"/>
            </w:pPr>
            <w:r>
              <w:rPr>
                <w:sz w:val="22"/>
              </w:rPr>
              <w:t>Low</w:t>
            </w:r>
          </w:p>
        </w:tc>
        <w:tc>
          <w:tcPr>
            <w:tcW w:w="690" w:type="pct"/>
            <w:tcBorders>
              <w:top w:val="nil"/>
              <w:left w:val="nil"/>
              <w:bottom w:val="nil"/>
            </w:tcBorders>
            <w:vAlign w:val="center"/>
          </w:tcPr>
          <w:p>
            <w:pPr>
              <w:spacing w:line="240" w:lineRule="auto"/>
              <w:jc w:val="both"/>
            </w:pPr>
            <w:r>
              <w:rPr>
                <w:sz w:val="22"/>
              </w:rPr>
              <w:t>+0.21 [+0.10, +0.31]</w:t>
            </w:r>
          </w:p>
        </w:tc>
      </w:tr>
      <w:tr>
        <w:trPr>
          <w:trHeight w:val="334"/>
          <w:jc w:val="center"/>
        </w:trPr>
        <w:tc>
          <w:tcPr>
            <w:tcW w:w="1041" w:type="pct"/>
            <w:tcBorders>
              <w:top w:val="nil"/>
              <w:bottom w:val="nil"/>
              <w:right w:val="nil"/>
            </w:tcBorders>
            <w:vAlign w:val="center"/>
          </w:tcPr>
          <w:p>
            <w:pPr>
              <w:spacing w:line="240" w:lineRule="auto"/>
              <w:jc w:val="both"/>
            </w:pPr>
            <w:r>
              <w:rPr>
                <w:sz w:val="22"/>
              </w:rPr>
              <w:t>Mansouri et al. (2025)</w:t>
            </w:r>
          </w:p>
        </w:tc>
        <w:tc>
          <w:tcPr>
            <w:tcW w:w="412" w:type="pct"/>
            <w:tcBorders>
              <w:top w:val="nil"/>
              <w:left w:val="nil"/>
              <w:bottom w:val="nil"/>
              <w:right w:val="nil"/>
            </w:tcBorders>
            <w:vAlign w:val="center"/>
          </w:tcPr>
          <w:p>
            <w:pPr>
              <w:spacing w:line="240" w:lineRule="auto"/>
              <w:jc w:val="both"/>
            </w:pPr>
            <w:r>
              <w:rPr>
                <w:sz w:val="22"/>
              </w:rPr>
              <w:t>Algeria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sound comfort with walking comfort</w:t>
            </w:r>
          </w:p>
        </w:tc>
        <w:tc>
          <w:tcPr>
            <w:tcW w:w="188" w:type="pct"/>
            <w:tcBorders>
              <w:top w:val="nil"/>
              <w:left w:val="nil"/>
              <w:bottom w:val="nil"/>
              <w:right w:val="nil"/>
            </w:tcBorders>
            <w:vAlign w:val="center"/>
          </w:tcPr>
          <w:p>
            <w:pPr>
              <w:spacing w:line="240" w:lineRule="auto"/>
              <w:jc w:val="both"/>
            </w:pPr>
            <w:r>
              <w:rPr>
                <w:sz w:val="22"/>
              </w:rPr>
              <w:t>NR</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+0.40 [+0.04, +0.67]</w:t>
            </w:r>
          </w:p>
        </w:tc>
      </w:tr>
      <w:tr>
        <w:trPr>
          <w:trHeight w:val="334"/>
          <w:jc w:val="center"/>
        </w:trPr>
        <w:tc>
          <w:tcPr>
            <w:tcW w:w="1041" w:type="pct"/>
            <w:tcBorders>
              <w:top w:val="nil"/>
              <w:bottom w:val="nil"/>
              <w:right w:val="nil"/>
            </w:tcBorders>
            <w:vAlign w:val="center"/>
          </w:tcPr>
          <w:p>
            <w:pPr>
              <w:spacing w:line="240" w:lineRule="auto"/>
              <w:jc w:val="both"/>
            </w:pPr>
            <w:r>
              <w:rPr>
                <w:sz w:val="22"/>
              </w:rPr>
              <w:t>Bao et al. (2023)</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Park</w:t>
            </w:r>
          </w:p>
        </w:tc>
        <w:tc>
          <w:tcPr>
            <w:tcW w:w="622" w:type="pct"/>
            <w:tcBorders>
              <w:top w:val="nil"/>
              <w:left w:val="nil"/>
              <w:bottom w:val="nil"/>
              <w:right w:val="nil"/>
            </w:tcBorders>
            <w:vAlign w:val="center"/>
          </w:tcPr>
          <w:p>
            <w:pPr>
              <w:spacing w:line="240" w:lineRule="auto"/>
              <w:jc w:val="both"/>
            </w:pPr>
            <w:r>
              <w:rPr>
                <w:sz w:val="22"/>
              </w:rPr>
              <w:t>Survey</w:t>
            </w:r>
          </w:p>
        </w:tc>
        <w:tc>
          <w:tcPr>
            <w:tcW w:w="1258" w:type="pct"/>
            <w:tcBorders>
              <w:top w:val="nil"/>
              <w:left w:val="nil"/>
              <w:bottom w:val="nil"/>
              <w:right w:val="nil"/>
            </w:tcBorders>
            <w:vAlign w:val="center"/>
          </w:tcPr>
          <w:p>
            <w:pPr>
              <w:spacing w:line="240" w:lineRule="auto"/>
              <w:jc w:val="both"/>
            </w:pPr>
            <w:r>
              <w:rPr>
                <w:sz w:val="22"/>
              </w:rPr>
              <w:t>dwell time with perceived restoration</w:t>
            </w:r>
          </w:p>
        </w:tc>
        <w:tc>
          <w:tcPr>
            <w:tcW w:w="188" w:type="pct"/>
            <w:tcBorders>
              <w:top w:val="nil"/>
              <w:left w:val="nil"/>
              <w:bottom w:val="nil"/>
              <w:right w:val="nil"/>
            </w:tcBorders>
            <w:vAlign w:val="center"/>
          </w:tcPr>
          <w:p>
            <w:pPr>
              <w:spacing w:line="240" w:lineRule="auto"/>
              <w:jc w:val="both"/>
            </w:pPr>
            <w:r>
              <w:rPr>
                <w:sz w:val="22"/>
              </w:rPr>
              <w:t>180</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+0.55 [+0.44, +0.65]</w:t>
            </w:r>
          </w:p>
        </w:tc>
      </w:tr>
      <w:tr>
        <w:trPr>
          <w:trHeight w:val="334"/>
          <w:jc w:val="center"/>
        </w:trPr>
        <w:tc>
          <w:tcPr>
            <w:tcW w:w="1041" w:type="pct"/>
            <w:tcBorders>
              <w:top w:val="nil"/>
              <w:bottom w:val="nil"/>
              <w:right w:val="nil"/>
            </w:tcBorders>
            <w:vAlign w:val="center"/>
          </w:tcPr>
          <w:p>
            <w:pPr>
              <w:spacing w:line="240" w:lineRule="auto"/>
              <w:jc w:val="both"/>
            </w:pPr>
            <w:r>
              <w:rPr>
                <w:sz w:val="22"/>
              </w:rPr>
              <w:t>Montes González et al. (2023) ▲</w:t>
            </w:r>
          </w:p>
        </w:tc>
        <w:tc>
          <w:tcPr>
            <w:tcW w:w="412" w:type="pct"/>
            <w:tcBorders>
              <w:top w:val="nil"/>
              <w:left w:val="nil"/>
              <w:bottom w:val="nil"/>
              <w:right w:val="nil"/>
            </w:tcBorders>
            <w:vAlign w:val="center"/>
          </w:tcPr>
          <w:p>
            <w:pPr>
              <w:spacing w:line="240" w:lineRule="auto"/>
              <w:jc w:val="both"/>
            </w:pPr>
            <w:r>
              <w:rPr>
                <w:sz w:val="22"/>
              </w:rPr>
              <w:t>Spain</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Survey</w:t>
            </w:r>
          </w:p>
        </w:tc>
        <w:tc>
          <w:tcPr>
            <w:tcW w:w="1258" w:type="pct"/>
            <w:tcBorders>
              <w:top w:val="nil"/>
              <w:left w:val="nil"/>
              <w:bottom w:val="nil"/>
              <w:right w:val="nil"/>
            </w:tcBorders>
            <w:vAlign w:val="center"/>
          </w:tcPr>
          <w:p>
            <w:pPr>
              <w:spacing w:line="240" w:lineRule="auto"/>
              <w:jc w:val="both"/>
            </w:pPr>
            <w:r>
              <w:rPr>
                <w:sz w:val="22"/>
              </w:rPr>
              <w:t>LAeq with vocal effort</w:t>
            </w:r>
          </w:p>
        </w:tc>
        <w:tc>
          <w:tcPr>
            <w:tcW w:w="188" w:type="pct"/>
            <w:tcBorders>
              <w:top w:val="nil"/>
              <w:left w:val="nil"/>
              <w:bottom w:val="nil"/>
              <w:right w:val="nil"/>
            </w:tcBorders>
            <w:vAlign w:val="center"/>
          </w:tcPr>
          <w:p>
            <w:pPr>
              <w:spacing w:line="240" w:lineRule="auto"/>
              <w:jc w:val="both"/>
            </w:pPr>
            <w:r>
              <w:rPr>
                <w:sz w:val="22"/>
              </w:rPr>
              <w:t>29</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+0.65 [+0.37, +0.82]</w:t>
            </w:r>
          </w:p>
        </w:tc>
      </w:tr>
      <w:tr>
        <w:trPr>
          <w:trHeight w:val="334"/>
          <w:jc w:val="center"/>
        </w:trPr>
        <w:tc>
          <w:tcPr>
            <w:tcW w:w="1041" w:type="pct"/>
            <w:tcBorders>
              <w:top w:val="nil"/>
              <w:bottom w:val="single" w:sz="12" w:space="0" w:color="auto"/>
              <w:right w:val="nil"/>
            </w:tcBorders>
            <w:vAlign w:val="center"/>
          </w:tcPr>
          <w:p>
            <w:pPr>
              <w:spacing w:line="240" w:lineRule="auto"/>
              <w:jc w:val="both"/>
            </w:pPr>
            <w:r>
              <w:rPr>
                <w:sz w:val="22"/>
              </w:rPr>
              <w:t>Cao &amp; Kang (2021) ▲</w:t>
            </w:r>
          </w:p>
        </w:tc>
        <w:tc>
          <w:tcPr>
            <w:tcW w:w="412" w:type="pct"/>
            <w:tcBorders>
              <w:top w:val="nil"/>
              <w:left w:val="nil"/>
              <w:bottom w:val="single" w:sz="12" w:space="0" w:color="auto"/>
              <w:right w:val="nil"/>
            </w:tcBorders>
            <w:vAlign w:val="center"/>
          </w:tcPr>
          <w:p>
            <w:pPr>
              <w:spacing w:line="240" w:lineRule="auto"/>
              <w:jc w:val="both"/>
              <w:rPr>
                <w:lang w:eastAsia="ko-KR"/>
              </w:rPr>
            </w:pPr>
            <w:r>
              <w:rPr>
                <w:sz w:val="22"/>
              </w:rPr>
              <w:t>China; UK</w:t>
            </w:r>
          </w:p>
        </w:tc>
        <w:tc>
          <w:tcPr>
            <w:tcW w:w="438" w:type="pct"/>
            <w:tcBorders>
              <w:top w:val="nil"/>
              <w:left w:val="nil"/>
              <w:bottom w:val="single" w:sz="12" w:space="0" w:color="auto"/>
              <w:right w:val="nil"/>
            </w:tcBorders>
            <w:vAlign w:val="center"/>
          </w:tcPr>
          <w:p>
            <w:pPr>
              <w:spacing w:line="240" w:lineRule="auto"/>
              <w:jc w:val="both"/>
            </w:pPr>
            <w:r>
              <w:rPr>
                <w:sz w:val="22"/>
              </w:rPr>
              <w:t>Square</w:t>
            </w:r>
          </w:p>
        </w:tc>
        <w:tc>
          <w:tcPr>
            <w:tcW w:w="622" w:type="pct"/>
            <w:tcBorders>
              <w:top w:val="nil"/>
              <w:left w:val="nil"/>
              <w:bottom w:val="single" w:sz="12" w:space="0" w:color="auto"/>
              <w:right w:val="nil"/>
            </w:tcBorders>
            <w:vAlign w:val="center"/>
          </w:tcPr>
          <w:p>
            <w:pPr>
              <w:spacing w:line="240" w:lineRule="auto"/>
              <w:jc w:val="both"/>
            </w:pPr>
            <w:r>
              <w:rPr>
                <w:sz w:val="22"/>
              </w:rPr>
              <w:t>Survey</w:t>
            </w:r>
          </w:p>
        </w:tc>
        <w:tc>
          <w:tcPr>
            <w:tcW w:w="1258" w:type="pct"/>
            <w:tcBorders>
              <w:top w:val="nil"/>
              <w:left w:val="nil"/>
              <w:bottom w:val="single" w:sz="12" w:space="0" w:color="auto"/>
              <w:right w:val="nil"/>
            </w:tcBorders>
            <w:vAlign w:val="center"/>
          </w:tcPr>
          <w:p>
            <w:pPr>
              <w:spacing w:line="240" w:lineRule="auto"/>
              <w:jc w:val="both"/>
            </w:pPr>
            <w:r>
              <w:rPr>
                <w:sz w:val="22"/>
              </w:rPr>
              <w:t>companion presence with sound noticing</w:t>
            </w:r>
          </w:p>
        </w:tc>
        <w:tc>
          <w:tcPr>
            <w:tcW w:w="188" w:type="pct"/>
            <w:tcBorders>
              <w:top w:val="nil"/>
              <w:left w:val="nil"/>
              <w:bottom w:val="single" w:sz="12" w:space="0" w:color="auto"/>
              <w:right w:val="nil"/>
            </w:tcBorders>
            <w:vAlign w:val="center"/>
          </w:tcPr>
          <w:p>
            <w:pPr>
              <w:spacing w:line="240" w:lineRule="auto"/>
              <w:jc w:val="both"/>
            </w:pPr>
            <w:r>
              <w:rPr>
                <w:sz w:val="22"/>
              </w:rPr>
              <w:t>301</w:t>
            </w:r>
          </w:p>
        </w:tc>
        <w:tc>
          <w:tcPr>
            <w:tcW w:w="350" w:type="pct"/>
            <w:tcBorders>
              <w:top w:val="nil"/>
              <w:left w:val="nil"/>
              <w:bottom w:val="single" w:sz="12" w:space="0" w:color="auto"/>
              <w:right w:val="nil"/>
            </w:tcBorders>
            <w:vAlign w:val="center"/>
          </w:tcPr>
          <w:p>
            <w:pPr>
              <w:spacing w:line="240" w:lineRule="auto"/>
              <w:jc w:val="both"/>
            </w:pPr>
            <w:r>
              <w:rPr>
                <w:sz w:val="22"/>
              </w:rPr>
              <w:t>Moderate</w:t>
            </w:r>
          </w:p>
        </w:tc>
        <w:tc>
          <w:tcPr>
            <w:tcW w:w="690" w:type="pct"/>
            <w:tcBorders>
              <w:top w:val="nil"/>
              <w:left w:val="nil"/>
              <w:bottom w:val="single" w:sz="12" w:space="0" w:color="auto"/>
            </w:tcBorders>
            <w:vAlign w:val="center"/>
          </w:tcPr>
          <w:p>
            <w:pPr>
              <w:spacing w:line="240" w:lineRule="auto"/>
              <w:jc w:val="both"/>
            </w:pPr>
            <w:r>
              <w:rPr>
                <w:sz w:val="22"/>
              </w:rPr>
              <w:t>+0.16 [+0.05, +0.27]</w:t>
            </w:r>
          </w:p>
        </w:tc>
      </w:tr>
    </w:tbl>
    <w:p>
      <w:pPr>
        <w:spacing w:before="160" w:after="80" w:line="240" w:lineRule="auto"/>
      </w:pPr>
      <w:r>
        <w:rPr>
          <w:i/>
          <w:sz w:val="22"/>
        </w:rPr>
        <w:t>Note.</w:t>
      </w:r>
      <w:r>
        <w:rPr>
          <w:sz w:val="22"/>
        </w:rPr>
        <w:t xml:space="preserve"> ▲ = retrieved by citation searching. </w:t>
      </w:r>
      <w:r>
        <w:rPr>
          <w:i/>
          <w:sz w:val="22"/>
        </w:rPr>
        <w:t>n</w:t>
      </w:r>
      <w:r>
        <w:rPr>
          <w:sz w:val="22"/>
        </w:rPr>
        <w:t xml:space="preserve"> = analytic sample for the pooled contrast, which can differ from the total sample of the study. Effect sizes are Hedges' </w:t>
      </w:r>
      <w:r>
        <w:rPr>
          <w:i/>
          <w:sz w:val="22"/>
        </w:rPr>
        <w:t>g</w:t>
      </w:r>
      <w:r>
        <w:rPr>
          <w:sz w:val="22"/>
        </w:rPr>
        <w:t xml:space="preserve"> with 95% CI for the first three clusters and </w:t>
      </w:r>
      <w:r>
        <w:rPr>
          <w:i/>
          <w:sz w:val="22"/>
        </w:rPr>
        <w:t>r</w:t>
      </w:r>
      <w:r>
        <w:rPr>
          <w:sz w:val="22"/>
        </w:rPr>
        <w:t xml:space="preserve"> with 95% CI for the sound–behaviour correlation cluster. MMAT = Mixed Methods Appraisal Tool 2018 grade. NR = not reported; where </w:t>
      </w:r>
      <w:r>
        <w:rPr>
          <w:i/>
          <w:sz w:val="22"/>
        </w:rPr>
        <w:t>n</w:t>
      </w:r>
      <w:r>
        <w:rPr>
          <w:sz w:val="22"/>
        </w:rPr>
        <w:t xml:space="preserve"> was not reported, the variance was derived from the published CI. UK = United Kingdom.</w:t>
      </w:r>
    </w:p>
    <w:p>
      <w:pPr>
        <w:spacing w:before="200" w:after="80" w:line="240" w:lineRule="auto"/>
        <w:jc w:val="center"/>
        <w:sectPr>
          <w:pgSz w:w="16834" w:h="11909" w:orient="landscape"/>
          <w:pgMar w:top="1701" w:right="1361" w:bottom="1440" w:left="1361" w:header="720" w:footer="720" w:gutter="0"/>
          <w:cols w:space="720"/>
          <w:docGrid w:linePitch="360"/>
        </w:sectPr>
      </w:pPr>
    </w:p>
    <w:p>
      <w:pPr>
        <w:spacing w:before="200" w:after="80" w:line="240" w:lineRule="auto"/>
        <w:jc w:val="center"/>
      </w:pPr>
      <w:r>
        <w:drawing>
          <wp:inline xmlns:a="http://schemas.openxmlformats.org/drawingml/2006/main" xmlns:pic="http://schemas.openxmlformats.org/drawingml/2006/picture">
            <wp:extent cx="5444950" cy="8714631"/>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44950" cy="8714631"/>
                    </a:xfrm>
                    <a:prstGeom prst="rect"/>
                  </pic:spPr>
                </pic:pic>
              </a:graphicData>
            </a:graphic>
          </wp:inline>
        </w:drawing>
      </w:r>
    </w:p>
    <w:p>
      <w:pPr>
        <w:spacing w:after="240" w:line="240" w:lineRule="auto"/>
      </w:pPr>
      <w:r>
        <w:rPr>
          <w:b/>
          <w:sz w:val="22"/>
        </w:rPr>
        <w:t xml:space="preserve">Fig. 4. </w:t>
      </w:r>
      <w:r>
        <w:rPr>
          <w:sz w:val="22"/>
        </w:rPr>
        <w:t>Forest plots of the four behavioural clusters: (a) walking speed, (b) staying or dwell time, (c) social interaction and (d) sound–behaviour correlation. Squares show the effect size of each study, and their size reflects the study's weight in the random-effects model (REML with the Hartung–Knapp adjustment); horizontal lines are 95% confidence intervals. Diamonds show the pooled estimate and its 95% confidence interval, and the dashed vertical line marks no effect. The columns on the right give each effect size with its 95% confidence interval and its weight (%). Effect sizes are Hedges' g in panels (a)–(c) and r in panel (d). Triangles mark studies retrieved by citation searching. Heterogeneity (I² and Q) and the p value of the pooled effect are given below each panel; prediction intervals and sensitivity analyses are given in Table 3.</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Sensitivity analyses and publication bias</w:t>
      </w:r>
    </w:p>
    <w:p>
      <w:pPr>
        <w:ind w:firstLine="288"/>
        <w:jc w:val="both"/>
        <w:rPr>
          <w:lang w:eastAsia="ko-KR"/>
        </w:rPr>
      </w:pPr>
      <w:r>
        <w:rPr>
          <w:lang w:eastAsia="ko-KR"/>
        </w:rPr>
        <w:t xml:space="preserve">민감도 분석 결과는 Table 3에 제시했다. 보행속도와 체류 클러스터에서는 어떤 민감도 분석에서도 합성 효과가 유의하지 않았다. 보행속도 클러스터에서 광장 배경음악 연구를 포함하면 추정치는 </w:t>
      </w:r>
      <w:r>
        <w:rPr>
          <w:i/>
          <w:lang w:eastAsia="ko-KR"/>
        </w:rPr>
        <w:t>g</w:t>
      </w:r>
      <w:r>
        <w:rPr>
          <w:lang w:eastAsia="ko-KR"/>
        </w:rPr>
        <w:t xml:space="preserve"> = −0.77(</w:t>
      </w:r>
      <w:r>
        <w:rPr>
          <w:i/>
          <w:lang w:eastAsia="ko-KR"/>
        </w:rPr>
        <w:t>p</w:t>
      </w:r>
      <w:r>
        <w:rPr>
          <w:lang w:eastAsia="ko-KR"/>
        </w:rPr>
        <w:t xml:space="preserve"> = 0.145)로 커졌고, 체류 클러스터에서 방문빈도를 결과로 보고한 연구를 포함하면 </w:t>
      </w:r>
      <w:r>
        <w:rPr>
          <w:i/>
          <w:lang w:eastAsia="ko-KR"/>
        </w:rPr>
        <w:t>g</w:t>
      </w:r>
      <w:r>
        <w:rPr>
          <w:lang w:eastAsia="ko-KR"/>
        </w:rPr>
        <w:t xml:space="preserve"> = +0.20(</w:t>
      </w:r>
      <w:r>
        <w:rPr>
          <w:i/>
          <w:lang w:eastAsia="ko-KR"/>
        </w:rPr>
        <w:t>p</w:t>
      </w:r>
      <w:r>
        <w:rPr>
          <w:lang w:eastAsia="ko-KR"/>
        </w:rPr>
        <w:t xml:space="preserve"> = 0.471)으로 작아졌다. 보행속도 클러스터는 기여 연구가 모두 MMAT low 등급이어서 low 등급을 제외한 분석을 수행할 수 없었다.</w:t>
      </w:r>
    </w:p>
    <w:p>
      <w:pPr>
        <w:ind w:firstLine="288"/>
        <w:jc w:val="both"/>
        <w:rPr>
          <w:lang w:eastAsia="ko-KR"/>
        </w:rPr>
      </w:pPr>
      <w:r>
        <w:rPr>
          <w:lang w:eastAsia="ko-KR"/>
        </w:rPr>
        <w:t xml:space="preserve">사회적 상호작용 클러스터에서는 한 편씩 제외한 네 분석(leave-one-out) 가운데 세 분석에서 </w:t>
      </w:r>
      <w:r>
        <w:rPr>
          <w:i/>
          <w:lang w:eastAsia="ko-KR"/>
        </w:rPr>
        <w:t>p</w:t>
      </w:r>
      <w:r>
        <w:rPr>
          <w:lang w:eastAsia="ko-KR"/>
        </w:rPr>
        <w:t>가 0.05를 넘었다. Chen과 Kang [37]을 제외했을 때 추정치가 가장 낮았고(</w:t>
      </w:r>
      <w:r>
        <w:rPr>
          <w:i/>
          <w:lang w:eastAsia="ko-KR"/>
        </w:rPr>
        <w:t>g</w:t>
      </w:r>
      <w:r>
        <w:rPr>
          <w:lang w:eastAsia="ko-KR"/>
        </w:rPr>
        <w:t xml:space="preserve"> = +0.56, </w:t>
      </w:r>
      <w:r>
        <w:rPr>
          <w:i/>
          <w:lang w:eastAsia="ko-KR"/>
        </w:rPr>
        <w:t>p</w:t>
      </w:r>
      <w:r>
        <w:rPr>
          <w:lang w:eastAsia="ko-KR"/>
        </w:rPr>
        <w:t xml:space="preserve"> = 0.059), 신뢰구간이 0을 배제한 것은 Moser [39]를 제외한 경우뿐이었다(</w:t>
      </w:r>
      <w:r>
        <w:rPr>
          <w:i/>
          <w:lang w:eastAsia="ko-KR"/>
        </w:rPr>
        <w:t>g</w:t>
      </w:r>
      <w:r>
        <w:rPr>
          <w:lang w:eastAsia="ko-KR"/>
        </w:rPr>
        <w:t xml:space="preserve"> = +0.80, </w:t>
      </w:r>
      <w:r>
        <w:rPr>
          <w:i/>
          <w:lang w:eastAsia="ko-KR"/>
        </w:rPr>
        <w:t>p</w:t>
      </w:r>
      <w:r>
        <w:rPr>
          <w:lang w:eastAsia="ko-KR"/>
        </w:rPr>
        <w:t xml:space="preserve"> = 0.041). 인용 추적으로 확보한 연구[40]를 제외하면 </w:t>
      </w:r>
      <w:r>
        <w:rPr>
          <w:i/>
          <w:lang w:eastAsia="ko-KR"/>
        </w:rPr>
        <w:t>g</w:t>
      </w:r>
      <w:r>
        <w:rPr>
          <w:lang w:eastAsia="ko-KR"/>
        </w:rPr>
        <w:t xml:space="preserve"> = +0.60(</w:t>
      </w:r>
      <w:r>
        <w:rPr>
          <w:i/>
          <w:lang w:eastAsia="ko-KR"/>
        </w:rPr>
        <w:t>p</w:t>
      </w:r>
      <w:r>
        <w:rPr>
          <w:lang w:eastAsia="ko-KR"/>
        </w:rPr>
        <w:t xml:space="preserve"> = 0.057)이었고, 관찰 기록 간 독립성 문제로 주분석에서 제외한 연구를 포함하면 </w:t>
      </w:r>
      <w:r>
        <w:rPr>
          <w:i/>
          <w:lang w:eastAsia="ko-KR"/>
        </w:rPr>
        <w:t>g</w:t>
      </w:r>
      <w:r>
        <w:rPr>
          <w:lang w:eastAsia="ko-KR"/>
        </w:rPr>
        <w:t xml:space="preserve"> = +0.81(</w:t>
      </w:r>
      <w:r>
        <w:rPr>
          <w:i/>
          <w:lang w:eastAsia="ko-KR"/>
        </w:rPr>
        <w:t>p</w:t>
      </w:r>
      <w:r>
        <w:rPr>
          <w:lang w:eastAsia="ko-KR"/>
        </w:rPr>
        <w:t xml:space="preserve"> = 0.005)이었다.</w:t>
      </w:r>
    </w:p>
    <w:p>
      <w:pPr>
        <w:ind w:firstLine="288"/>
        <w:jc w:val="both"/>
        <w:rPr>
          <w:lang w:eastAsia="ko-KR"/>
        </w:rPr>
      </w:pPr>
      <w:r>
        <w:rPr>
          <w:lang w:eastAsia="ko-KR"/>
        </w:rPr>
        <w:t xml:space="preserve">소리–행태 상관 클러스터에서는 한 편씩 제외한 분석의 추정치가 </w:t>
      </w:r>
      <w:r>
        <w:rPr>
          <w:i/>
          <w:lang w:eastAsia="ko-KR"/>
        </w:rPr>
        <w:t>r</w:t>
      </w:r>
      <w:r>
        <w:rPr>
          <w:lang w:eastAsia="ko-KR"/>
        </w:rPr>
        <w:t xml:space="preserve"> = +0.39에서 +0.48 사이였고, 모든 민감도 분석에서 신뢰구간이 0을 배제했다. MMAT low 등급 연구를 제외하면 </w:t>
      </w:r>
      <w:r>
        <w:rPr>
          <w:i/>
          <w:lang w:eastAsia="ko-KR"/>
        </w:rPr>
        <w:t>r</w:t>
      </w:r>
      <w:r>
        <w:rPr>
          <w:lang w:eastAsia="ko-KR"/>
        </w:rPr>
        <w:t xml:space="preserve"> = +0.47, 인용 추적으로 확보한 연구를 제외하면 </w:t>
      </w:r>
      <w:r>
        <w:rPr>
          <w:i/>
          <w:lang w:eastAsia="ko-KR"/>
        </w:rPr>
        <w:t>r</w:t>
      </w:r>
      <w:r>
        <w:rPr>
          <w:lang w:eastAsia="ko-KR"/>
        </w:rPr>
        <w:t xml:space="preserve"> = +0.44, 순위상관을 제외하면 </w:t>
      </w:r>
      <w:r>
        <w:rPr>
          <w:i/>
          <w:lang w:eastAsia="ko-KR"/>
        </w:rPr>
        <w:t>r</w:t>
      </w:r>
      <w:r>
        <w:rPr>
          <w:lang w:eastAsia="ko-KR"/>
        </w:rPr>
        <w:t xml:space="preserve"> = +0.48이었다. 옥외 장면을 실험실에서 재현한 연구는 어느 클러스터에도 기여하지 않았으므로 이를 제외한 분석은 주분석과 같았다. 기여 효과가 가장 많은 클러스터도 </w:t>
      </w:r>
      <w:r>
        <w:rPr>
          <w:i/>
          <w:lang w:eastAsia="ko-KR"/>
        </w:rPr>
        <w:t>k</w:t>
      </w:r>
      <w:r>
        <w:rPr>
          <w:lang w:eastAsia="ko-KR"/>
        </w:rPr>
        <w:t xml:space="preserve"> = 6으로 사전에 정한 기준(</w:t>
      </w:r>
      <w:r>
        <w:rPr>
          <w:i/>
          <w:lang w:eastAsia="ko-KR"/>
        </w:rPr>
        <w:t>k</w:t>
      </w:r>
      <w:r>
        <w:rPr>
          <w:lang w:eastAsia="ko-KR"/>
        </w:rPr>
        <w:t xml:space="preserve"> ≥ 10)에 미달해 출판편향은 평가하지 않았다.</w:t>
      </w:r>
    </w:p>
    <w:p>
      <w:pPr>
        <w:spacing w:before="160" w:after="80" w:line="240" w:lineRule="auto"/>
      </w:pPr>
      <w:r>
        <w:rPr>
          <w:b/>
          <w:sz w:val="22"/>
        </w:rPr>
        <w:t>Table 3.</w:t>
      </w:r>
      <w:r>
        <w:rPr>
          <w:sz w:val="22"/>
        </w:rPr>
        <w:t xml:space="preserve"> Pooled estimates and sensitivity analyses for the four behavioural clusters.</w:t>
      </w:r>
    </w:p>
    <w:tbl>
      <w:tblPr>
        <w:tblStyle w:val="af9"/>
        <w:tblW w:w="9136"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3398"/>
        <w:gridCol w:w="352"/>
        <w:gridCol w:w="2076"/>
        <w:gridCol w:w="1362"/>
        <w:gridCol w:w="1332"/>
        <w:gridCol w:w="616"/>
      </w:tblGrid>
      <w:tr>
        <w:trPr>
          <w:trHeight w:val="291"/>
          <w:jc w:val="center"/>
        </w:trPr>
        <w:tc>
          <w:tcPr>
            <w:tcW w:w="3398" w:type="dxa"/>
            <w:vAlign w:val="center"/>
          </w:tcPr>
          <w:p>
            <w:pPr>
              <w:spacing w:line="240" w:lineRule="auto"/>
            </w:pPr>
            <w:r>
              <w:rPr>
                <w:b/>
                <w:sz w:val="22"/>
              </w:rPr>
              <w:t>Analysis</w:t>
            </w:r>
          </w:p>
        </w:tc>
        <w:tc>
          <w:tcPr>
            <w:tcW w:w="352" w:type="dxa"/>
            <w:vAlign w:val="center"/>
          </w:tcPr>
          <w:p>
            <w:pPr>
              <w:spacing w:line="240" w:lineRule="auto"/>
            </w:pPr>
            <w:r>
              <w:rPr>
                <w:b/>
                <w:i/>
                <w:sz w:val="22"/>
              </w:rPr>
              <w:t>k</w:t>
            </w:r>
          </w:p>
        </w:tc>
        <w:tc>
          <w:tcPr>
            <w:tcW w:w="2076" w:type="dxa"/>
            <w:vAlign w:val="center"/>
          </w:tcPr>
          <w:p>
            <w:pPr>
              <w:spacing w:line="240" w:lineRule="auto"/>
            </w:pPr>
            <w:r>
              <w:rPr>
                <w:b/>
                <w:sz w:val="22"/>
              </w:rPr>
              <w:t>Estimate [95% CI]</w:t>
            </w:r>
          </w:p>
        </w:tc>
        <w:tc>
          <w:tcPr>
            <w:tcW w:w="1362" w:type="dxa"/>
            <w:vAlign w:val="center"/>
          </w:tcPr>
          <w:p>
            <w:pPr>
              <w:spacing w:line="240" w:lineRule="auto"/>
            </w:pPr>
            <w:r>
              <w:rPr>
                <w:b/>
                <w:sz w:val="22"/>
              </w:rPr>
              <w:t>95% PI</w:t>
            </w:r>
          </w:p>
        </w:tc>
        <w:tc>
          <w:tcPr>
            <w:tcW w:w="1332" w:type="dxa"/>
            <w:vAlign w:val="center"/>
          </w:tcPr>
          <w:p>
            <w:pPr>
              <w:spacing w:line="240" w:lineRule="auto"/>
            </w:pPr>
            <w:r>
              <w:rPr>
                <w:b/>
                <w:i/>
                <w:sz w:val="22"/>
              </w:rPr>
              <w:t>p</w:t>
            </w:r>
          </w:p>
        </w:tc>
        <w:tc>
          <w:tcPr>
            <w:tcW w:w="616" w:type="dxa"/>
            <w:vAlign w:val="center"/>
          </w:tcPr>
          <w:p>
            <w:pPr>
              <w:spacing w:line="240" w:lineRule="auto"/>
              <w:rPr>
                <w:lang w:eastAsia="ko-KR"/>
              </w:rPr>
            </w:pPr>
            <w:r>
              <w:rPr>
                <w:b/>
                <w:i/>
                <w:sz w:val="22"/>
              </w:rPr>
              <w:t>I</w:t>
            </w:r>
            <w:r>
              <w:rPr>
                <w:b/>
                <w:i/>
                <w:sz w:val="22"/>
              </w:rPr>
              <w:t>² (%)</w:t>
            </w:r>
          </w:p>
        </w:tc>
      </w:tr>
      <w:tr>
        <w:trPr>
          <w:trHeight w:val="291"/>
          <w:jc w:val="center"/>
        </w:trPr>
        <w:tc>
          <w:tcPr>
            <w:tcW w:w="9136" w:type="dxa"/>
            <w:gridSpan w:val="6"/>
            <w:vAlign w:val="center"/>
          </w:tcPr>
          <w:p>
            <w:pPr>
              <w:spacing w:line="240" w:lineRule="auto"/>
            </w:pPr>
            <w:r>
              <w:rPr>
                <w:b/>
                <w:sz w:val="22"/>
              </w:rPr>
              <w:t>Walking speed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3</w:t>
            </w:r>
          </w:p>
        </w:tc>
        <w:tc>
          <w:tcPr>
            <w:tcW w:w="2076" w:type="dxa"/>
            <w:tcBorders>
              <w:top w:val="single" w:sz="4" w:space="0" w:color="auto"/>
              <w:bottom w:val="nil"/>
            </w:tcBorders>
            <w:vAlign w:val="center"/>
          </w:tcPr>
          <w:p>
            <w:pPr>
              <w:spacing w:line="240" w:lineRule="auto"/>
            </w:pPr>
            <w:r>
              <w:rPr>
                <w:sz w:val="22"/>
              </w:rPr>
              <w:t>−0.47 [−2.06, +1.11]</w:t>
            </w:r>
          </w:p>
        </w:tc>
        <w:tc>
          <w:tcPr>
            <w:tcW w:w="1362" w:type="dxa"/>
            <w:tcBorders>
              <w:top w:val="single" w:sz="4" w:space="0" w:color="auto"/>
              <w:bottom w:val="nil"/>
            </w:tcBorders>
            <w:vAlign w:val="center"/>
          </w:tcPr>
          <w:p>
            <w:pPr>
              <w:spacing w:line="240" w:lineRule="auto"/>
            </w:pPr>
            <w:r>
              <w:rPr>
                <w:sz w:val="22"/>
              </w:rPr>
              <w:t>−9.13, +8.19</w:t>
            </w:r>
          </w:p>
        </w:tc>
        <w:tc>
          <w:tcPr>
            <w:tcW w:w="1332" w:type="dxa"/>
            <w:tcBorders>
              <w:top w:val="single" w:sz="4" w:space="0" w:color="auto"/>
              <w:bottom w:val="nil"/>
            </w:tcBorders>
            <w:vAlign w:val="center"/>
          </w:tcPr>
          <w:p>
            <w:pPr>
              <w:spacing w:line="240" w:lineRule="auto"/>
            </w:pPr>
            <w:r>
              <w:rPr>
                <w:sz w:val="22"/>
              </w:rPr>
              <w:t>0.326</w:t>
            </w:r>
          </w:p>
        </w:tc>
        <w:tc>
          <w:tcPr>
            <w:tcW w:w="616" w:type="dxa"/>
            <w:tcBorders>
              <w:top w:val="single" w:sz="4" w:space="0" w:color="auto"/>
              <w:bottom w:val="nil"/>
            </w:tcBorders>
            <w:vAlign w:val="center"/>
          </w:tcPr>
          <w:p>
            <w:pPr>
              <w:spacing w:line="240" w:lineRule="auto"/>
            </w:pPr>
            <w:r>
              <w:rPr>
                <w:sz w:val="22"/>
              </w:rPr>
              <w:t>81.4</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−0.81 to −0.21</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0.153–0.713</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low-quality studies</w:t>
            </w:r>
          </w:p>
        </w:tc>
        <w:tc>
          <w:tcPr>
            <w:tcW w:w="352" w:type="dxa"/>
            <w:tcBorders>
              <w:top w:val="nil"/>
              <w:bottom w:val="nil"/>
            </w:tcBorders>
            <w:vAlign w:val="center"/>
          </w:tcPr>
          <w:p>
            <w:pPr>
              <w:spacing w:line="240" w:lineRule="auto"/>
            </w:pPr>
            <w:r>
              <w:rPr>
                <w:sz w:val="22"/>
              </w:rPr>
              <w:t>0</w:t>
            </w:r>
          </w:p>
        </w:tc>
        <w:tc>
          <w:tcPr>
            <w:tcW w:w="2076" w:type="dxa"/>
            <w:tcBorders>
              <w:top w:val="nil"/>
              <w:bottom w:val="nil"/>
            </w:tcBorders>
            <w:vAlign w:val="center"/>
          </w:tcPr>
          <w:p>
            <w:pPr>
              <w:spacing w:line="240" w:lineRule="auto"/>
            </w:pPr>
            <w:r>
              <w:rPr>
                <w:sz w:val="22"/>
              </w:rPr>
              <w:t>Not estimable</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Sample size from observations</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−0.44 [−2.05, +1.17]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0.362</w:t>
            </w:r>
          </w:p>
        </w:tc>
        <w:tc>
          <w:tcPr>
            <w:tcW w:w="616" w:type="dxa"/>
            <w:tcBorders>
              <w:top w:val="nil"/>
              <w:bottom w:val="nil"/>
            </w:tcBorders>
            <w:vAlign w:val="center"/>
          </w:tcPr>
          <w:p>
            <w:pPr>
              <w:spacing w:line="240" w:lineRule="auto"/>
            </w:pPr>
            <w:r>
              <w:rPr>
                <w:sz w:val="22"/>
              </w:rPr>
              <w:t>91.1</w:t>
            </w:r>
          </w:p>
        </w:tc>
      </w:tr>
      <w:tr>
        <w:trPr>
          <w:trHeight w:val="291"/>
          <w:jc w:val="center"/>
        </w:trPr>
        <w:tc>
          <w:tcPr>
            <w:tcW w:w="3398" w:type="dxa"/>
            <w:tcBorders>
              <w:top w:val="nil"/>
              <w:bottom w:val="nil"/>
            </w:tcBorders>
            <w:vAlign w:val="center"/>
          </w:tcPr>
          <w:p>
            <w:pPr>
              <w:spacing w:line="240" w:lineRule="auto"/>
            </w:pPr>
            <w:r>
              <w:rPr>
                <w:sz w:val="22"/>
              </w:rPr>
              <w:t>Excluding imputed input</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−0.40</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0.641</w:t>
            </w:r>
          </w:p>
        </w:tc>
        <w:tc>
          <w:tcPr>
            <w:tcW w:w="616" w:type="dxa"/>
            <w:tcBorders>
              <w:top w:val="nil"/>
              <w:bottom w:val="nil"/>
            </w:tcBorders>
            <w:vAlign w:val="center"/>
          </w:tcPr>
          <w:p>
            <w:pPr>
              <w:spacing w:line="240" w:lineRule="auto"/>
            </w:pPr>
            <w:r>
              <w:rPr>
                <w:sz w:val="22"/>
              </w:rPr>
              <w:t>90.1</w:t>
            </w:r>
          </w:p>
        </w:tc>
      </w:tr>
      <w:tr>
        <w:trPr>
          <w:trHeight w:val="291"/>
          <w:jc w:val="center"/>
        </w:trPr>
        <w:tc>
          <w:tcPr>
            <w:tcW w:w="3398" w:type="dxa"/>
            <w:tcBorders>
              <w:top w:val="nil"/>
              <w:bottom w:val="single" w:sz="4" w:space="0" w:color="auto"/>
            </w:tcBorders>
            <w:vAlign w:val="center"/>
          </w:tcPr>
          <w:p>
            <w:pPr>
              <w:spacing w:line="240" w:lineRule="auto"/>
            </w:pPr>
            <w:r>
              <w:rPr>
                <w:sz w:val="22"/>
              </w:rPr>
              <w:t>Adding background-music study</w:t>
            </w:r>
          </w:p>
        </w:tc>
        <w:tc>
          <w:tcPr>
            <w:tcW w:w="352" w:type="dxa"/>
            <w:tcBorders>
              <w:top w:val="nil"/>
              <w:bottom w:val="single" w:sz="4" w:space="0" w:color="auto"/>
            </w:tcBorders>
            <w:vAlign w:val="center"/>
          </w:tcPr>
          <w:p>
            <w:pPr>
              <w:spacing w:line="240" w:lineRule="auto"/>
            </w:pPr>
            <w:r>
              <w:rPr>
                <w:sz w:val="22"/>
              </w:rPr>
              <w:t>4</w:t>
            </w:r>
          </w:p>
        </w:tc>
        <w:tc>
          <w:tcPr>
            <w:tcW w:w="2076" w:type="dxa"/>
            <w:tcBorders>
              <w:top w:val="nil"/>
              <w:bottom w:val="single" w:sz="4" w:space="0" w:color="auto"/>
            </w:tcBorders>
            <w:vAlign w:val="center"/>
          </w:tcPr>
          <w:p>
            <w:pPr>
              <w:spacing w:line="240" w:lineRule="auto"/>
            </w:pPr>
            <w:r>
              <w:rPr>
                <w:sz w:val="22"/>
              </w:rPr>
              <w:t>−0.77 [−2.03, +0.48]</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0.145</w:t>
            </w:r>
          </w:p>
        </w:tc>
        <w:tc>
          <w:tcPr>
            <w:tcW w:w="616" w:type="dxa"/>
            <w:tcBorders>
              <w:top w:val="nil"/>
              <w:bottom w:val="single" w:sz="4" w:space="0" w:color="auto"/>
            </w:tcBorders>
            <w:vAlign w:val="center"/>
          </w:tcPr>
          <w:p>
            <w:pPr>
              <w:spacing w:line="240" w:lineRule="auto"/>
            </w:pPr>
            <w:r>
              <w:rPr>
                <w:sz w:val="22"/>
              </w:rPr>
              <w:t>88.6</w:t>
            </w:r>
          </w:p>
        </w:tc>
      </w:tr>
      <w:tr>
        <w:trPr>
          <w:trHeight w:val="291"/>
          <w:jc w:val="center"/>
        </w:trPr>
        <w:tc>
          <w:tcPr>
            <w:tcW w:w="9136" w:type="dxa"/>
            <w:gridSpan w:val="6"/>
            <w:vAlign w:val="center"/>
          </w:tcPr>
          <w:p>
            <w:pPr>
              <w:spacing w:line="240" w:lineRule="auto"/>
            </w:pPr>
            <w:r>
              <w:rPr>
                <w:b/>
                <w:sz w:val="22"/>
              </w:rPr>
              <w:t>Staying / dwell time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3</w:t>
            </w:r>
          </w:p>
        </w:tc>
        <w:tc>
          <w:tcPr>
            <w:tcW w:w="2076" w:type="dxa"/>
            <w:tcBorders>
              <w:top w:val="single" w:sz="4" w:space="0" w:color="auto"/>
              <w:bottom w:val="nil"/>
            </w:tcBorders>
            <w:vAlign w:val="center"/>
          </w:tcPr>
          <w:p>
            <w:pPr>
              <w:spacing w:line="240" w:lineRule="auto"/>
            </w:pPr>
            <w:r>
              <w:rPr>
                <w:sz w:val="22"/>
              </w:rPr>
              <w:t>+0.34 [−0.09, +0.78]</w:t>
            </w:r>
          </w:p>
        </w:tc>
        <w:tc>
          <w:tcPr>
            <w:tcW w:w="1362" w:type="dxa"/>
            <w:tcBorders>
              <w:top w:val="single" w:sz="4" w:space="0" w:color="auto"/>
              <w:bottom w:val="nil"/>
            </w:tcBorders>
            <w:vAlign w:val="center"/>
          </w:tcPr>
          <w:p>
            <w:pPr>
              <w:spacing w:line="240" w:lineRule="auto"/>
            </w:pPr>
            <w:r>
              <w:rPr>
                <w:sz w:val="22"/>
              </w:rPr>
              <w:t>−1.67, +2.36</w:t>
            </w:r>
          </w:p>
        </w:tc>
        <w:tc>
          <w:tcPr>
            <w:tcW w:w="1332" w:type="dxa"/>
            <w:tcBorders>
              <w:top w:val="single" w:sz="4" w:space="0" w:color="auto"/>
              <w:bottom w:val="nil"/>
            </w:tcBorders>
            <w:vAlign w:val="center"/>
          </w:tcPr>
          <w:p>
            <w:pPr>
              <w:spacing w:line="240" w:lineRule="auto"/>
            </w:pPr>
            <w:r>
              <w:rPr>
                <w:sz w:val="22"/>
              </w:rPr>
              <w:t>0.077</w:t>
            </w:r>
          </w:p>
        </w:tc>
        <w:tc>
          <w:tcPr>
            <w:tcW w:w="616" w:type="dxa"/>
            <w:tcBorders>
              <w:top w:val="single" w:sz="4" w:space="0" w:color="auto"/>
              <w:bottom w:val="nil"/>
            </w:tcBorders>
            <w:vAlign w:val="center"/>
          </w:tcPr>
          <w:p>
            <w:pPr>
              <w:spacing w:line="240" w:lineRule="auto"/>
            </w:pPr>
            <w:r>
              <w:rPr>
                <w:sz w:val="22"/>
              </w:rPr>
              <w:t>54.4</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+0.29 to +0.43</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0.131–0.310</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imputed input</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+0.29</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0.185</w:t>
            </w:r>
          </w:p>
        </w:tc>
        <w:tc>
          <w:tcPr>
            <w:tcW w:w="616" w:type="dxa"/>
            <w:tcBorders>
              <w:top w:val="nil"/>
              <w:bottom w:val="nil"/>
            </w:tcBorders>
            <w:vAlign w:val="center"/>
          </w:tcPr>
          <w:p>
            <w:pPr>
              <w:spacing w:line="240" w:lineRule="auto"/>
            </w:pPr>
            <w:r>
              <w:rPr>
                <w:sz w:val="22"/>
              </w:rPr>
              <w:t>46.9</w:t>
            </w:r>
          </w:p>
        </w:tc>
      </w:tr>
      <w:tr>
        <w:trPr>
          <w:trHeight w:val="291"/>
          <w:jc w:val="center"/>
        </w:trPr>
        <w:tc>
          <w:tcPr>
            <w:tcW w:w="3398" w:type="dxa"/>
            <w:tcBorders>
              <w:top w:val="nil"/>
              <w:bottom w:val="single" w:sz="4" w:space="0" w:color="auto"/>
            </w:tcBorders>
            <w:vAlign w:val="center"/>
          </w:tcPr>
          <w:p>
            <w:pPr>
              <w:spacing w:line="240" w:lineRule="auto"/>
            </w:pPr>
            <w:r>
              <w:rPr>
                <w:sz w:val="22"/>
              </w:rPr>
              <w:t>Adding visit-frequency outcome</w:t>
            </w:r>
          </w:p>
        </w:tc>
        <w:tc>
          <w:tcPr>
            <w:tcW w:w="352" w:type="dxa"/>
            <w:tcBorders>
              <w:top w:val="nil"/>
              <w:bottom w:val="single" w:sz="4" w:space="0" w:color="auto"/>
            </w:tcBorders>
            <w:vAlign w:val="center"/>
          </w:tcPr>
          <w:p>
            <w:pPr>
              <w:spacing w:line="240" w:lineRule="auto"/>
            </w:pPr>
            <w:r>
              <w:rPr>
                <w:sz w:val="22"/>
              </w:rPr>
              <w:t>4</w:t>
            </w:r>
          </w:p>
        </w:tc>
        <w:tc>
          <w:tcPr>
            <w:tcW w:w="2076" w:type="dxa"/>
            <w:tcBorders>
              <w:top w:val="nil"/>
              <w:bottom w:val="single" w:sz="4" w:space="0" w:color="auto"/>
            </w:tcBorders>
            <w:vAlign w:val="center"/>
          </w:tcPr>
          <w:p>
            <w:pPr>
              <w:spacing w:line="240" w:lineRule="auto"/>
            </w:pPr>
            <w:r>
              <w:rPr>
                <w:sz w:val="22"/>
              </w:rPr>
              <w:t>+0.20 [−0.58, +0.99]</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0.471</w:t>
            </w:r>
          </w:p>
        </w:tc>
        <w:tc>
          <w:tcPr>
            <w:tcW w:w="616" w:type="dxa"/>
            <w:tcBorders>
              <w:top w:val="nil"/>
              <w:bottom w:val="single" w:sz="4" w:space="0" w:color="auto"/>
            </w:tcBorders>
            <w:vAlign w:val="center"/>
          </w:tcPr>
          <w:p>
            <w:pPr>
              <w:spacing w:line="240" w:lineRule="auto"/>
            </w:pPr>
            <w:r>
              <w:rPr>
                <w:sz w:val="22"/>
              </w:rPr>
              <w:t>75.5</w:t>
            </w:r>
          </w:p>
        </w:tc>
      </w:tr>
      <w:tr>
        <w:trPr>
          <w:trHeight w:val="291"/>
          <w:jc w:val="center"/>
        </w:trPr>
        <w:tc>
          <w:tcPr>
            <w:tcW w:w="9136" w:type="dxa"/>
            <w:gridSpan w:val="6"/>
            <w:vAlign w:val="center"/>
          </w:tcPr>
          <w:p>
            <w:pPr>
              <w:spacing w:line="240" w:lineRule="auto"/>
            </w:pPr>
            <w:r>
              <w:rPr>
                <w:b/>
                <w:sz w:val="22"/>
              </w:rPr>
              <w:t>Social interaction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4</w:t>
            </w:r>
          </w:p>
        </w:tc>
        <w:tc>
          <w:tcPr>
            <w:tcW w:w="2076" w:type="dxa"/>
            <w:tcBorders>
              <w:top w:val="single" w:sz="4" w:space="0" w:color="auto"/>
              <w:bottom w:val="nil"/>
            </w:tcBorders>
            <w:vAlign w:val="center"/>
          </w:tcPr>
          <w:p>
            <w:pPr>
              <w:spacing w:line="240" w:lineRule="auto"/>
            </w:pPr>
            <w:r>
              <w:rPr>
                <w:sz w:val="22"/>
              </w:rPr>
              <w:t>+0.68 [+0.20, +1.16]</w:t>
            </w:r>
          </w:p>
        </w:tc>
        <w:tc>
          <w:tcPr>
            <w:tcW w:w="1362" w:type="dxa"/>
            <w:tcBorders>
              <w:top w:val="single" w:sz="4" w:space="0" w:color="auto"/>
              <w:bottom w:val="nil"/>
            </w:tcBorders>
            <w:vAlign w:val="center"/>
          </w:tcPr>
          <w:p>
            <w:pPr>
              <w:spacing w:line="240" w:lineRule="auto"/>
            </w:pPr>
            <w:r>
              <w:rPr>
                <w:sz w:val="22"/>
              </w:rPr>
              <w:t>−0.42, +1.78</w:t>
            </w:r>
          </w:p>
        </w:tc>
        <w:tc>
          <w:tcPr>
            <w:tcW w:w="1332" w:type="dxa"/>
            <w:tcBorders>
              <w:top w:val="single" w:sz="4" w:space="0" w:color="auto"/>
              <w:bottom w:val="nil"/>
            </w:tcBorders>
            <w:vAlign w:val="center"/>
          </w:tcPr>
          <w:p>
            <w:pPr>
              <w:spacing w:line="240" w:lineRule="auto"/>
            </w:pPr>
            <w:r>
              <w:rPr>
                <w:sz w:val="22"/>
              </w:rPr>
              <w:t>0.020</w:t>
            </w:r>
          </w:p>
        </w:tc>
        <w:tc>
          <w:tcPr>
            <w:tcW w:w="616" w:type="dxa"/>
            <w:tcBorders>
              <w:top w:val="single" w:sz="4" w:space="0" w:color="auto"/>
              <w:bottom w:val="nil"/>
            </w:tcBorders>
            <w:vAlign w:val="center"/>
          </w:tcPr>
          <w:p>
            <w:pPr>
              <w:spacing w:line="240" w:lineRule="auto"/>
            </w:pPr>
            <w:r>
              <w:rPr>
                <w:sz w:val="22"/>
              </w:rPr>
              <w:t>48.6</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+0.56 to +0.80</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0.041–0.066</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citation-searching study</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+0.60 [−0.04, +1.24]</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0.057</w:t>
            </w:r>
          </w:p>
        </w:tc>
        <w:tc>
          <w:tcPr>
            <w:tcW w:w="616" w:type="dxa"/>
            <w:tcBorders>
              <w:top w:val="nil"/>
              <w:bottom w:val="nil"/>
            </w:tcBorders>
            <w:vAlign w:val="center"/>
          </w:tcPr>
          <w:p>
            <w:pPr>
              <w:spacing w:line="240" w:lineRule="auto"/>
            </w:pPr>
            <w:r>
              <w:rPr>
                <w:sz w:val="22"/>
              </w:rPr>
              <w:t>43.5</w:t>
            </w:r>
          </w:p>
        </w:tc>
      </w:tr>
      <w:tr>
        <w:trPr>
          <w:trHeight w:val="291"/>
          <w:jc w:val="center"/>
        </w:trPr>
        <w:tc>
          <w:tcPr>
            <w:tcW w:w="3398" w:type="dxa"/>
            <w:tcBorders>
              <w:top w:val="nil"/>
              <w:bottom w:val="single" w:sz="4" w:space="0" w:color="auto"/>
            </w:tcBorders>
            <w:vAlign w:val="center"/>
          </w:tcPr>
          <w:p>
            <w:pPr>
              <w:spacing w:line="240" w:lineRule="auto"/>
            </w:pPr>
            <w:r>
              <w:rPr>
                <w:sz w:val="22"/>
              </w:rPr>
              <w:t>Adding non-independent study</w:t>
            </w:r>
          </w:p>
        </w:tc>
        <w:tc>
          <w:tcPr>
            <w:tcW w:w="352" w:type="dxa"/>
            <w:tcBorders>
              <w:top w:val="nil"/>
              <w:bottom w:val="single" w:sz="4" w:space="0" w:color="auto"/>
            </w:tcBorders>
            <w:vAlign w:val="center"/>
          </w:tcPr>
          <w:p>
            <w:pPr>
              <w:spacing w:line="240" w:lineRule="auto"/>
            </w:pPr>
            <w:r>
              <w:rPr>
                <w:sz w:val="22"/>
              </w:rPr>
              <w:t>5</w:t>
            </w:r>
          </w:p>
        </w:tc>
        <w:tc>
          <w:tcPr>
            <w:tcW w:w="2076" w:type="dxa"/>
            <w:tcBorders>
              <w:top w:val="nil"/>
              <w:bottom w:val="single" w:sz="4" w:space="0" w:color="auto"/>
            </w:tcBorders>
            <w:vAlign w:val="center"/>
          </w:tcPr>
          <w:p>
            <w:pPr>
              <w:spacing w:line="240" w:lineRule="auto"/>
            </w:pPr>
            <w:r>
              <w:rPr>
                <w:sz w:val="22"/>
              </w:rPr>
              <w:t>+0.81 [+0.40, +1.22]</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0.005</w:t>
            </w:r>
          </w:p>
        </w:tc>
        <w:tc>
          <w:tcPr>
            <w:tcW w:w="616" w:type="dxa"/>
            <w:tcBorders>
              <w:top w:val="nil"/>
              <w:bottom w:val="single" w:sz="4" w:space="0" w:color="auto"/>
            </w:tcBorders>
            <w:vAlign w:val="center"/>
          </w:tcPr>
          <w:p>
            <w:pPr>
              <w:spacing w:line="240" w:lineRule="auto"/>
            </w:pPr>
            <w:r>
              <w:rPr>
                <w:sz w:val="22"/>
              </w:rPr>
              <w:t>77.4</w:t>
            </w:r>
          </w:p>
        </w:tc>
      </w:tr>
      <w:tr>
        <w:trPr>
          <w:trHeight w:val="291"/>
          <w:jc w:val="center"/>
        </w:trPr>
        <w:tc>
          <w:tcPr>
            <w:tcW w:w="9136" w:type="dxa"/>
            <w:gridSpan w:val="6"/>
            <w:vAlign w:val="center"/>
          </w:tcPr>
          <w:p>
            <w:pPr>
              <w:spacing w:line="240" w:lineRule="auto"/>
            </w:pPr>
            <w:r>
              <w:rPr>
                <w:b/>
                <w:sz w:val="22"/>
              </w:rPr>
              <w:t>Sound–behaviour correlation (r)</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6</w:t>
            </w:r>
          </w:p>
        </w:tc>
        <w:tc>
          <w:tcPr>
            <w:tcW w:w="2076" w:type="dxa"/>
            <w:tcBorders>
              <w:top w:val="single" w:sz="4" w:space="0" w:color="auto"/>
              <w:bottom w:val="nil"/>
            </w:tcBorders>
            <w:vAlign w:val="center"/>
          </w:tcPr>
          <w:p>
            <w:pPr>
              <w:spacing w:line="240" w:lineRule="auto"/>
            </w:pPr>
            <w:r>
              <w:rPr>
                <w:sz w:val="22"/>
              </w:rPr>
              <w:t>+0.42 [+0.19, +0.61]</w:t>
            </w:r>
          </w:p>
        </w:tc>
        <w:tc>
          <w:tcPr>
            <w:tcW w:w="1362" w:type="dxa"/>
            <w:tcBorders>
              <w:top w:val="single" w:sz="4" w:space="0" w:color="auto"/>
              <w:bottom w:val="nil"/>
            </w:tcBorders>
            <w:vAlign w:val="center"/>
          </w:tcPr>
          <w:p>
            <w:pPr>
              <w:spacing w:line="240" w:lineRule="auto"/>
            </w:pPr>
            <w:r>
              <w:rPr>
                <w:sz w:val="22"/>
              </w:rPr>
              <w:t>−0.24, +0.82</w:t>
            </w:r>
          </w:p>
        </w:tc>
        <w:tc>
          <w:tcPr>
            <w:tcW w:w="1332" w:type="dxa"/>
            <w:tcBorders>
              <w:top w:val="single" w:sz="4" w:space="0" w:color="auto"/>
              <w:bottom w:val="nil"/>
            </w:tcBorders>
            <w:vAlign w:val="center"/>
          </w:tcPr>
          <w:p>
            <w:pPr>
              <w:spacing w:line="240" w:lineRule="auto"/>
            </w:pPr>
            <w:r>
              <w:rPr>
                <w:sz w:val="22"/>
              </w:rPr>
              <w:t>0.006</w:t>
            </w:r>
          </w:p>
        </w:tc>
        <w:tc>
          <w:tcPr>
            <w:tcW w:w="616" w:type="dxa"/>
            <w:tcBorders>
              <w:top w:val="single" w:sz="4" w:space="0" w:color="auto"/>
              <w:bottom w:val="nil"/>
            </w:tcBorders>
            <w:vAlign w:val="center"/>
          </w:tcPr>
          <w:p>
            <w:pPr>
              <w:spacing w:line="240" w:lineRule="auto"/>
            </w:pPr>
            <w:r>
              <w:rPr>
                <w:sz w:val="22"/>
              </w:rPr>
              <w:t>92.0</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5</w:t>
            </w:r>
          </w:p>
        </w:tc>
        <w:tc>
          <w:tcPr>
            <w:tcW w:w="2076" w:type="dxa"/>
            <w:tcBorders>
              <w:top w:val="nil"/>
              <w:bottom w:val="nil"/>
            </w:tcBorders>
            <w:vAlign w:val="center"/>
          </w:tcPr>
          <w:p>
            <w:pPr>
              <w:spacing w:line="240" w:lineRule="auto"/>
            </w:pPr>
            <w:r>
              <w:rPr>
                <w:sz w:val="22"/>
              </w:rPr>
              <w:t>+0.39 to +0.48</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0.006–0.024</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low-quality studies</w:t>
            </w:r>
          </w:p>
        </w:tc>
        <w:tc>
          <w:tcPr>
            <w:tcW w:w="352" w:type="dxa"/>
            <w:tcBorders>
              <w:top w:val="nil"/>
              <w:bottom w:val="nil"/>
            </w:tcBorders>
            <w:vAlign w:val="center"/>
          </w:tcPr>
          <w:p>
            <w:pPr>
              <w:spacing w:line="240" w:lineRule="auto"/>
            </w:pPr>
            <w:r>
              <w:rPr>
                <w:sz w:val="22"/>
              </w:rPr>
              <w:t>5</w:t>
            </w:r>
          </w:p>
        </w:tc>
        <w:tc>
          <w:tcPr>
            <w:tcW w:w="2076" w:type="dxa"/>
            <w:tcBorders>
              <w:top w:val="nil"/>
              <w:bottom w:val="nil"/>
            </w:tcBorders>
            <w:vAlign w:val="center"/>
          </w:tcPr>
          <w:p>
            <w:pPr>
              <w:spacing w:line="240" w:lineRule="auto"/>
            </w:pPr>
            <w:r>
              <w:rPr>
                <w:sz w:val="22"/>
              </w:rPr>
              <w:t>+0.47 [+0.21, +0.67]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0.009</w:t>
            </w:r>
          </w:p>
        </w:tc>
        <w:tc>
          <w:tcPr>
            <w:tcW w:w="616" w:type="dxa"/>
            <w:tcBorders>
              <w:top w:val="nil"/>
              <w:bottom w:val="nil"/>
            </w:tcBorders>
            <w:vAlign w:val="center"/>
          </w:tcPr>
          <w:p>
            <w:pPr>
              <w:spacing w:line="240" w:lineRule="auto"/>
            </w:pPr>
            <w:r>
              <w:rPr>
                <w:sz w:val="22"/>
              </w:rPr>
              <w:t>91.2</w:t>
            </w:r>
          </w:p>
        </w:tc>
      </w:tr>
      <w:tr>
        <w:trPr>
          <w:trHeight w:val="291"/>
          <w:jc w:val="center"/>
        </w:trPr>
        <w:tc>
          <w:tcPr>
            <w:tcW w:w="3398" w:type="dxa"/>
            <w:tcBorders>
              <w:top w:val="nil"/>
              <w:bottom w:val="nil"/>
            </w:tcBorders>
            <w:vAlign w:val="center"/>
          </w:tcPr>
          <w:p>
            <w:pPr>
              <w:spacing w:line="240" w:lineRule="auto"/>
            </w:pPr>
            <w:r>
              <w:rPr>
                <w:sz w:val="22"/>
              </w:rPr>
              <w:t>Excluding citation-searching studies</w:t>
            </w:r>
          </w:p>
        </w:tc>
        <w:tc>
          <w:tcPr>
            <w:tcW w:w="352" w:type="dxa"/>
            <w:tcBorders>
              <w:top w:val="nil"/>
              <w:bottom w:val="nil"/>
            </w:tcBorders>
            <w:vAlign w:val="center"/>
          </w:tcPr>
          <w:p>
            <w:pPr>
              <w:spacing w:line="240" w:lineRule="auto"/>
            </w:pPr>
            <w:r>
              <w:rPr>
                <w:sz w:val="22"/>
              </w:rPr>
              <w:t>4</w:t>
            </w:r>
          </w:p>
        </w:tc>
        <w:tc>
          <w:tcPr>
            <w:tcW w:w="2076" w:type="dxa"/>
            <w:tcBorders>
              <w:top w:val="nil"/>
              <w:bottom w:val="nil"/>
            </w:tcBorders>
            <w:vAlign w:val="center"/>
          </w:tcPr>
          <w:p>
            <w:pPr>
              <w:spacing w:line="240" w:lineRule="auto"/>
            </w:pPr>
            <w:r>
              <w:rPr>
                <w:sz w:val="22"/>
              </w:rPr>
              <w:t>+0.44 [+0.14, +0.67]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0.020</w:t>
            </w:r>
          </w:p>
        </w:tc>
        <w:tc>
          <w:tcPr>
            <w:tcW w:w="616" w:type="dxa"/>
            <w:tcBorders>
              <w:top w:val="nil"/>
              <w:bottom w:val="nil"/>
            </w:tcBorders>
            <w:vAlign w:val="center"/>
          </w:tcPr>
          <w:p>
            <w:pPr>
              <w:spacing w:line="240" w:lineRule="auto"/>
            </w:pPr>
            <w:r>
              <w:rPr>
                <w:sz w:val="22"/>
              </w:rPr>
              <w:t>91.8</w:t>
            </w:r>
          </w:p>
        </w:tc>
      </w:tr>
      <w:tr>
        <w:trPr>
          <w:trHeight w:val="291"/>
          <w:jc w:val="center"/>
        </w:trPr>
        <w:tc>
          <w:tcPr>
            <w:tcW w:w="3398" w:type="dxa"/>
            <w:tcBorders>
              <w:top w:val="nil"/>
              <w:bottom w:val="single" w:sz="12" w:space="0" w:color="auto"/>
            </w:tcBorders>
            <w:vAlign w:val="center"/>
          </w:tcPr>
          <w:p>
            <w:pPr>
              <w:spacing w:line="240" w:lineRule="auto"/>
            </w:pPr>
            <w:r>
              <w:rPr>
                <w:sz w:val="22"/>
              </w:rPr>
              <w:t>Excluding rank correlations</w:t>
            </w:r>
          </w:p>
        </w:tc>
        <w:tc>
          <w:tcPr>
            <w:tcW w:w="352" w:type="dxa"/>
            <w:tcBorders>
              <w:top w:val="nil"/>
              <w:bottom w:val="single" w:sz="12" w:space="0" w:color="auto"/>
            </w:tcBorders>
            <w:vAlign w:val="center"/>
          </w:tcPr>
          <w:p>
            <w:pPr>
              <w:spacing w:line="240" w:lineRule="auto"/>
            </w:pPr>
            <w:r>
              <w:rPr>
                <w:sz w:val="22"/>
              </w:rPr>
              <w:t>4</w:t>
            </w:r>
          </w:p>
        </w:tc>
        <w:tc>
          <w:tcPr>
            <w:tcW w:w="2076" w:type="dxa"/>
            <w:tcBorders>
              <w:top w:val="nil"/>
              <w:bottom w:val="single" w:sz="12" w:space="0" w:color="auto"/>
            </w:tcBorders>
            <w:vAlign w:val="center"/>
          </w:tcPr>
          <w:p>
            <w:pPr>
              <w:spacing w:line="240" w:lineRule="auto"/>
            </w:pPr>
            <w:r>
              <w:rPr>
                <w:sz w:val="22"/>
              </w:rPr>
              <w:t>+0.48 [+0.11, +0.74]</w:t>
            </w:r>
          </w:p>
        </w:tc>
        <w:tc>
          <w:tcPr>
            <w:tcW w:w="1362" w:type="dxa"/>
            <w:tcBorders>
              <w:top w:val="nil"/>
              <w:bottom w:val="single" w:sz="12" w:space="0" w:color="auto"/>
            </w:tcBorders>
            <w:vAlign w:val="center"/>
          </w:tcPr>
          <w:p>
            <w:pPr>
              <w:spacing w:line="240" w:lineRule="auto"/>
            </w:pPr>
            <w:r>
              <w:rPr>
                <w:sz w:val="22"/>
              </w:rPr>
              <w:t>—</w:t>
            </w:r>
          </w:p>
        </w:tc>
        <w:tc>
          <w:tcPr>
            <w:tcW w:w="1332" w:type="dxa"/>
            <w:tcBorders>
              <w:top w:val="nil"/>
              <w:bottom w:val="single" w:sz="12" w:space="0" w:color="auto"/>
            </w:tcBorders>
            <w:vAlign w:val="center"/>
          </w:tcPr>
          <w:p>
            <w:pPr>
              <w:spacing w:line="240" w:lineRule="auto"/>
            </w:pPr>
            <w:r>
              <w:rPr>
                <w:sz w:val="22"/>
              </w:rPr>
              <w:t>0.028</w:t>
            </w:r>
          </w:p>
        </w:tc>
        <w:tc>
          <w:tcPr>
            <w:tcW w:w="616" w:type="dxa"/>
            <w:tcBorders>
              <w:top w:val="nil"/>
              <w:bottom w:val="single" w:sz="12" w:space="0" w:color="auto"/>
            </w:tcBorders>
            <w:vAlign w:val="center"/>
          </w:tcPr>
          <w:p>
            <w:pPr>
              <w:spacing w:line="240" w:lineRule="auto"/>
            </w:pPr>
            <w:r>
              <w:rPr>
                <w:sz w:val="22"/>
              </w:rPr>
              <w:t>93.4</w:t>
            </w:r>
          </w:p>
        </w:tc>
      </w:tr>
    </w:tbl>
    <w:p>
      <w:pPr>
        <w:spacing w:before="160" w:after="80" w:line="240" w:lineRule="auto"/>
      </w:pPr>
      <w:r>
        <w:rPr>
          <w:i/>
          <w:sz w:val="22"/>
        </w:rPr>
        <w:t>Note.</w:t>
      </w:r>
      <w:r>
        <w:rPr>
          <w:sz w:val="22"/>
        </w:rPr>
        <w:t xml:space="preserve"> Estimates are Hedges' </w:t>
      </w:r>
      <w:r>
        <w:rPr>
          <w:i/>
          <w:sz w:val="22"/>
        </w:rPr>
        <w:t>g</w:t>
      </w:r>
      <w:r>
        <w:rPr>
          <w:sz w:val="22"/>
        </w:rPr>
        <w:t xml:space="preserve"> (walking speed, staying and social interaction) or </w:t>
      </w:r>
      <w:r>
        <w:rPr>
          <w:i/>
          <w:sz w:val="22"/>
        </w:rPr>
        <w:t>r</w:t>
      </w:r>
      <w:r>
        <w:rPr>
          <w:sz w:val="22"/>
        </w:rPr>
        <w:t xml:space="preserve"> (sound–behaviour correlation) from REML random-effects models with the Hartung–Knapp adjustment. CI = confidence interval; PI = prediction interval. Leave-one-out rows give the range of estimates and </w:t>
      </w:r>
      <w:r>
        <w:rPr>
          <w:i/>
          <w:sz w:val="22"/>
        </w:rPr>
        <w:t>p</w:t>
      </w:r>
      <w:r>
        <w:rPr>
          <w:sz w:val="22"/>
        </w:rPr>
        <w:t xml:space="preserve"> values across omitted studies. Confidence intervals are not shown for </w:t>
      </w:r>
      <w:r>
        <w:rPr>
          <w:i/>
          <w:sz w:val="22"/>
        </w:rPr>
        <w:t>k</w:t>
      </w:r>
      <w:r>
        <w:rPr>
          <w:sz w:val="22"/>
        </w:rPr>
        <w:t xml:space="preserve"> = 2 because the Hartung–Knapp interval then uses a </w:t>
      </w:r>
      <w:r>
        <w:rPr>
          <w:i/>
          <w:sz w:val="22"/>
        </w:rPr>
        <w:t>t</w:t>
      </w:r>
      <w:r>
        <w:rPr>
          <w:sz w:val="22"/>
        </w:rPr>
        <w:t xml:space="preserve"> distribution with one degree of freedom. Analyses excluding low-quality studies (staying and social interaction), studies from citation searching (walking speed and staying) and laboratory reproductions of outdoor scenes (all clusters) were identical to the main analysis and are not shown. Rows beginning with </w:t>
      </w:r>
      <w:r>
        <w:rPr>
          <w:i/>
          <w:sz w:val="22"/>
        </w:rPr>
        <w:t>Adding</w:t>
      </w:r>
      <w:r>
        <w:rPr>
          <w:sz w:val="22"/>
        </w:rPr>
        <w:t xml:space="preserve"> include a study that was excluded from the main analysis (Section 2.9).</w:t>
      </w:r>
    </w:p>
    <w:p>
      <w:pPr>
        <w:spacing w:after="120" w:line="240" w:lineRule="auto"/>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Direction of the relationship (RQ2)</w:t>
      </w:r>
    </w:p>
    <w:p>
      <w:pPr>
        <w:ind w:firstLine="288"/>
        <w:jc w:val="both"/>
        <w:rPr>
          <w:lang w:eastAsia="ko-KR"/>
        </w:rPr>
      </w:pPr>
      <w:r>
        <w:rPr>
          <w:lang w:eastAsia="ko-KR"/>
        </w:rPr>
        <w:t>98편에서 추출한 행태 도메인 수준 레코드 212건 가운데 113건은 순방향(소리 → 행태), 74건은 역방향(행태 → 소리), 25건은 양방향이었다. 순방향 또는 역방향으로 분류된 187건 중 역방향은 74건(40%)이었고, 양방향 레코드까지 분모에 포함하면 35%였다.</w:t>
      </w:r>
    </w:p>
    <w:p>
      <w:pPr>
        <w:ind w:firstLine="288"/>
        <w:jc w:val="both"/>
        <w:rPr>
          <w:lang w:eastAsia="ko-KR"/>
        </w:rPr>
      </w:pPr>
      <w:r>
        <w:rPr>
          <w:lang w:eastAsia="ko-KR"/>
        </w:rPr>
        <w:t>역방향 레코드의 비중은 행태 도메인에 따라 달랐다(Fig. 5). 이동(순방향 33건, 역방향 8건)과 체류(16건, 8건)에서는 순방향 레코드가 대부분이었지만, 공간이용(26건, 23건), 활동(18건, 21건), 사회적 행태(20건, 14건)에서는 두 방향의 레코드 수가 비슷했다. 역방향 연구에는 군중 밀도와 음압의 관계, 활동 프로그램에 따른 음환경 변화, 동행 여부와 소리 인지의 관계를 다룬 연구 등이 포함됐다.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relationship examined, by behavioural domain. Bars show the number of study × behavioural-domain records classified as forward (acoustic environment to behaviour), both, or reverse (behaviour or activity to acoustic environment or soundscape). The percentage to the right of each bar is the share of reverse records among forward and reverse records.</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Behavioural measurement methods (RQ3)</w:t>
      </w:r>
    </w:p>
    <w:p>
      <w:pPr>
        <w:ind w:firstLine="288"/>
        <w:jc w:val="both"/>
        <w:rPr>
          <w:lang w:eastAsia="ko-KR"/>
        </w:rPr>
      </w:pPr>
      <w:r>
        <w:rPr>
          <w:lang w:eastAsia="ko-KR"/>
        </w:rPr>
        <w:t>센서, GPS, 영상, 빅데이터를 이용한 행태 측정(G3)은 2010–2019년 4편에서 2020년 이후 20편으로 늘었고, 같은 기간 자기보고(G1)는 14편에서 39편으로, 체계적 관찰(G2)은 11편에서 28편으로 늘었다(Fig. 6). 22편은 두 세대 이상의 방법을 함께 사용했으며, 이러한 연구는 2010년대 5편에서 2020년 이후 17편으로 늘었다.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used in the included studies, by publication period. G1 = self-report; G2 = systematic observation; G3 = sensing, GPS, video or big-data measurement of behaviour. Studies that used more than one method are counted in each corresponding series.</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3.8 Evidence map</w:t>
      </w:r>
    </w:p>
    <w:p>
      <w:pPr>
        <w:ind w:firstLine="288"/>
        <w:jc w:val="both"/>
        <w:rPr>
          <w:lang w:eastAsia="ko-KR"/>
        </w:rPr>
      </w:pPr>
      <w:r>
        <w:rPr>
          <w:lang w:eastAsia="ko-KR"/>
        </w:rPr>
        <w:t>행태 도메인과 음원의 조합은 항공기 소음을 제외한 모든 조합에서 연구가 확인됐다(Fig. 7). 항공기 소음에서는 다섯 도메인 중 세 도메인(이동, 체류, 사회적 행태)에 해당하는 연구가 없었고, 나머지 두 도메인의 레코드 4건은 모두 2편에서 나왔다.</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Each cell gives the number of included studies that examined the combination, and darker shading indicates more studies. A study contributes to every combination it examined, so cell counts do not sum to the number of included studies.</w:t>
      </w: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spacing w:before="200" w:after="80" w:line="240" w:lineRule="auto"/>
        <w:jc w:val="center"/>
      </w:pPr>
      <w:r>
        <w:drawing>
          <wp:inline xmlns:a="http://schemas.openxmlformats.org/drawingml/2006/main" xmlns:pic="http://schemas.openxmlformats.org/drawingml/2006/picture">
            <wp:extent cx="5568950" cy="4100016"/>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68950" cy="4100016"/>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Behavioural outcomes are organised below the framework along an engagement gradient from avoidance and passing to staying, interacting, and appropriating; this gradient is used as a synthesis device and is not a validated behavioural scale.</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Table 4는 코퍼스에서 도출한 열 개의 계획 레버와 각 레버의 계획 근거 강도(2.8절)를 정리한 것이다. 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세 가지를 짚어 둔다.</w:t>
      </w:r>
    </w:p>
    <w:p>
      <w:pPr>
        <w:ind w:firstLine="288"/>
        <w:jc w:val="both"/>
        <w:rPr>
          <w:lang w:eastAsia="ko-KR"/>
        </w:rPr>
      </w:pPr>
      <w:r>
        <w:rPr>
          <w:lang w:eastAsia="ko-KR"/>
        </w:rPr>
        <w:t>첫째, 유의한 사회적 상호작용 클러스터를 자연음을 더한 효과나 소음을 없앤 효과 중 어느 하나로만 해석해서는 안 된다.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클러스터를 유의 수준 너머로 끌어올린 증분은 인용 검색으로 확보한 기계음 실험 한 편에서 나왔다.</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연구였고[28,29], 인용 추적으로 추가된 MMAT high 등급 보행 논문 두 편[31,32]도 같은 연구진이 같은 1.75–1.8 km 순환 경로에서 수행한 것이었다. 나머지 한 효과는 부호가 반대인 알제리의 현장 관찰 연구였다[30].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[47]은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큰 결과로 다루는 것이 적절하다.</w:t>
      </w:r>
    </w:p>
    <w:p>
      <w:pPr>
        <w:ind w:firstLine="288"/>
        <w:jc w:val="both"/>
        <w:rPr>
          <w:lang w:eastAsia="ko-KR"/>
        </w:rPr>
      </w:pPr>
      <w:r>
        <w:rPr>
          <w:lang w:eastAsia="ko-KR"/>
        </w:rPr>
        <w:t>셋째, 소리–행태 상관 클러스터는 개입 효과가 아니라 연관적 증거 기반(associative evidence base)으로 해석해야 한다. 이 클러스터의 결과는 검색 경로나 개별 연구의 제외에 따라 크게 달라지지 않았지만(3.5절), 순방향과 역방향 연구, 지각 지표와 객관적 음향 지표(LAeq), 여러 행태 결과가 함께 포함돼 이질성이 높았다(</w:t>
      </w:r>
      <w:r>
        <w:rPr>
          <w:i/>
          <w:lang w:eastAsia="ko-KR"/>
        </w:rPr>
        <w:t>I</w:t>
      </w:r>
      <w:r>
        <w:rPr>
          <w:lang w:eastAsia="ko-KR"/>
        </w:rPr>
        <w:t>² = 92.0%). 따라서 이 결과는 소리 지표와 행태가 대체로 함께 변한다는 점을 보여 주지만, 어떤 소리 지표가 어떤 행태와 어느 방향으로 얼마나 연관되는지는 알려 주지 않는다. 측정 방법의 차이도 이러한 이질성의 원인일 수 있다(4.4절).</w:t>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spacing w:before="160" w:after="80" w:line="240" w:lineRule="auto"/>
      </w:pPr>
      <w:r>
        <w:rPr>
          <w:b/>
          <w:sz w:val="22"/>
        </w:rPr>
        <w:t>Table 4.</w:t>
      </w:r>
      <w:r>
        <w:rPr>
          <w:sz w:val="22"/>
        </w:rPr>
        <w:t xml:space="preserve"> Planning levers derived from the included studies and their planning evidence strength.</w:t>
      </w:r>
    </w:p>
    <w:tbl>
      <w:tblPr>
        <w:tblStyle w:val="af9"/>
        <w:tblW w:w="14541"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780"/>
        <w:gridCol w:w="3081"/>
        <w:gridCol w:w="6061"/>
        <w:gridCol w:w="1134"/>
        <w:gridCol w:w="992"/>
        <w:gridCol w:w="1345"/>
        <w:gridCol w:w="1148"/>
      </w:tblGrid>
      <w:tr>
        <w:trPr>
          <w:trHeight w:val="60"/>
          <w:jc w:val="center"/>
        </w:trPr>
        <w:tc>
          <w:tcPr>
            <w:tcW w:w="780" w:type="dxa"/>
            <w:tcBorders>
              <w:bottom w:val="single" w:sz="4" w:space="0" w:color="auto"/>
            </w:tcBorders>
            <w:vAlign w:val="center"/>
          </w:tcPr>
          <w:p>
            <w:pPr>
              <w:spacing w:line="240" w:lineRule="auto"/>
            </w:pPr>
            <w:r>
              <w:rPr>
                <w:b/>
                <w:sz w:val="22"/>
              </w:rPr>
              <w:t>Lever</w:t>
            </w:r>
          </w:p>
        </w:tc>
        <w:tc>
          <w:tcPr>
            <w:tcW w:w="3081" w:type="dxa"/>
            <w:tcBorders>
              <w:bottom w:val="single" w:sz="4" w:space="0" w:color="auto"/>
            </w:tcBorders>
            <w:vAlign w:val="center"/>
          </w:tcPr>
          <w:p>
            <w:pPr>
              <w:spacing w:line="240" w:lineRule="auto"/>
            </w:pPr>
            <w:r>
              <w:rPr>
                <w:b/>
                <w:sz w:val="22"/>
              </w:rPr>
              <w:t>Planning action</w:t>
            </w:r>
          </w:p>
        </w:tc>
        <w:tc>
          <w:tcPr>
            <w:tcW w:w="6061" w:type="dxa"/>
            <w:tcBorders>
              <w:bottom w:val="single" w:sz="4" w:space="0" w:color="auto"/>
            </w:tcBorders>
            <w:vAlign w:val="center"/>
          </w:tcPr>
          <w:p>
            <w:pPr>
              <w:spacing w:line="240" w:lineRule="auto"/>
            </w:pPr>
            <w:r>
              <w:rPr>
                <w:b/>
                <w:sz w:val="22"/>
              </w:rPr>
              <w:t>Behavioural outcome</w:t>
            </w:r>
          </w:p>
        </w:tc>
        <w:tc>
          <w:tcPr>
            <w:tcW w:w="1134" w:type="dxa"/>
            <w:tcBorders>
              <w:bottom w:val="single" w:sz="4" w:space="0" w:color="auto"/>
            </w:tcBorders>
            <w:vAlign w:val="center"/>
          </w:tcPr>
          <w:p>
            <w:pPr>
              <w:spacing w:line="240" w:lineRule="auto"/>
            </w:pPr>
            <w:r>
              <w:rPr>
                <w:b/>
                <w:sz w:val="22"/>
              </w:rPr>
              <w:t>Evidence direction</w:t>
            </w:r>
          </w:p>
        </w:tc>
        <w:tc>
          <w:tcPr>
            <w:tcW w:w="992" w:type="dxa"/>
            <w:tcBorders>
              <w:bottom w:val="single" w:sz="4" w:space="0" w:color="auto"/>
            </w:tcBorders>
            <w:vAlign w:val="center"/>
          </w:tcPr>
          <w:p>
            <w:pPr>
              <w:spacing w:line="240" w:lineRule="auto"/>
            </w:pPr>
            <w:r>
              <w:rPr>
                <w:b/>
                <w:sz w:val="22"/>
              </w:rPr>
              <w:t>Studies</w:t>
            </w:r>
          </w:p>
        </w:tc>
        <w:tc>
          <w:tcPr>
            <w:tcW w:w="1345" w:type="dxa"/>
            <w:tcBorders>
              <w:bottom w:val="single" w:sz="4" w:space="0" w:color="auto"/>
            </w:tcBorders>
            <w:vAlign w:val="center"/>
          </w:tcPr>
          <w:p>
            <w:pPr>
              <w:spacing w:line="240" w:lineRule="auto"/>
              <w:rPr>
                <w:b/>
                <w:sz w:val="22"/>
              </w:rPr>
            </w:pPr>
            <w:r>
              <w:rPr>
                <w:b/>
                <w:sz w:val="22"/>
              </w:rPr>
              <w:t>MMAT (H / M / L)</w:t>
            </w:r>
          </w:p>
        </w:tc>
        <w:tc>
          <w:tcPr>
            <w:tcW w:w="1148" w:type="dxa"/>
            <w:tcBorders>
              <w:bottom w:val="single" w:sz="4" w:space="0" w:color="auto"/>
            </w:tcBorders>
            <w:vAlign w:val="center"/>
          </w:tcPr>
          <w:p>
            <w:pPr>
              <w:spacing w:line="240" w:lineRule="auto"/>
            </w:pPr>
            <w:r>
              <w:rPr>
                <w:b/>
                <w:sz w:val="22"/>
              </w:rPr>
              <w:t>Planning evidence strength</w:t>
            </w:r>
          </w:p>
        </w:tc>
      </w:tr>
      <w:tr>
        <w:trPr>
          <w:jc w:val="center"/>
        </w:trPr>
        <w:tc>
          <w:tcPr>
            <w:tcW w:w="780" w:type="dxa"/>
            <w:tcBorders>
              <w:top w:val="single" w:sz="4" w:space="0" w:color="auto"/>
              <w:bottom w:val="nil"/>
            </w:tcBorders>
            <w:vAlign w:val="center"/>
          </w:tcPr>
          <w:p>
            <w:pPr>
              <w:spacing w:line="240" w:lineRule="auto"/>
            </w:pPr>
            <w:r>
              <w:rPr>
                <w:b/>
                <w:sz w:val="22"/>
              </w:rPr>
              <w:t>L1</w:t>
            </w:r>
          </w:p>
        </w:tc>
        <w:tc>
          <w:tcPr>
            <w:tcW w:w="3081" w:type="dxa"/>
            <w:tcBorders>
              <w:top w:val="single" w:sz="4" w:space="0" w:color="auto"/>
              <w:bottom w:val="nil"/>
            </w:tcBorders>
            <w:vAlign w:val="center"/>
          </w:tcPr>
          <w:p>
            <w:pPr>
              <w:spacing w:line="240" w:lineRule="auto"/>
            </w:pPr>
            <w:r>
              <w:rPr>
                <w:sz w:val="22"/>
              </w:rPr>
              <w:t>Programme music in public space</w:t>
            </w:r>
          </w:p>
        </w:tc>
        <w:tc>
          <w:tcPr>
            <w:tcW w:w="6061" w:type="dxa"/>
            <w:tcBorders>
              <w:top w:val="single" w:sz="4" w:space="0" w:color="auto"/>
              <w:bottom w:val="nil"/>
            </w:tcBorders>
            <w:vAlign w:val="center"/>
          </w:tcPr>
          <w:p>
            <w:pPr>
              <w:spacing w:line="240" w:lineRule="auto"/>
            </w:pPr>
            <w:r>
              <w:rPr>
                <w:sz w:val="22"/>
              </w:rPr>
              <w:t>May increase dwell time and approach to or engagement with the sound source; evidence for increasing visitor numbers is weaker</w:t>
            </w:r>
          </w:p>
        </w:tc>
        <w:tc>
          <w:tcPr>
            <w:tcW w:w="1134" w:type="dxa"/>
            <w:tcBorders>
              <w:top w:val="single" w:sz="4" w:space="0" w:color="auto"/>
              <w:bottom w:val="nil"/>
            </w:tcBorders>
            <w:vAlign w:val="center"/>
          </w:tcPr>
          <w:p>
            <w:pPr>
              <w:spacing w:line="240" w:lineRule="auto"/>
            </w:pPr>
            <w:r>
              <w:rPr>
                <w:sz w:val="22"/>
              </w:rPr>
              <w:t>promotes</w:t>
            </w:r>
          </w:p>
        </w:tc>
        <w:tc>
          <w:tcPr>
            <w:tcW w:w="992" w:type="dxa"/>
            <w:tcBorders>
              <w:top w:val="single" w:sz="4" w:space="0" w:color="auto"/>
              <w:bottom w:val="nil"/>
            </w:tcBorders>
            <w:vAlign w:val="center"/>
          </w:tcPr>
          <w:p>
            <w:pPr>
              <w:spacing w:line="240" w:lineRule="auto"/>
            </w:pPr>
            <w:r>
              <w:rPr>
                <w:sz w:val="22"/>
              </w:rPr>
              <w:t>7</w:t>
            </w:r>
          </w:p>
        </w:tc>
        <w:tc>
          <w:tcPr>
            <w:tcW w:w="1345" w:type="dxa"/>
            <w:tcBorders>
              <w:top w:val="single" w:sz="4" w:space="0" w:color="auto"/>
              <w:bottom w:val="nil"/>
            </w:tcBorders>
            <w:vAlign w:val="center"/>
          </w:tcPr>
          <w:p>
            <w:pPr>
              <w:spacing w:line="240" w:lineRule="auto"/>
            </w:pPr>
            <w:r>
              <w:rPr>
                <w:sz w:val="22"/>
              </w:rPr>
              <w:t>3 / 2 / 2</w:t>
            </w:r>
          </w:p>
        </w:tc>
        <w:tc>
          <w:tcPr>
            <w:tcW w:w="1148" w:type="dxa"/>
            <w:tcBorders>
              <w:top w:val="single" w:sz="4" w:space="0" w:color="auto"/>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L2</w:t>
            </w:r>
          </w:p>
        </w:tc>
        <w:tc>
          <w:tcPr>
            <w:tcW w:w="3081" w:type="dxa"/>
            <w:tcBorders>
              <w:top w:val="nil"/>
              <w:bottom w:val="nil"/>
            </w:tcBorders>
            <w:vAlign w:val="center"/>
          </w:tcPr>
          <w:p>
            <w:pPr>
              <w:spacing w:line="240" w:lineRule="auto"/>
            </w:pPr>
            <w:r>
              <w:rPr>
                <w:sz w:val="22"/>
              </w:rPr>
              <w:t>Provide or enhance natural sounds (e.g., water, birdsong)</w:t>
            </w:r>
          </w:p>
        </w:tc>
        <w:tc>
          <w:tcPr>
            <w:tcW w:w="6061" w:type="dxa"/>
            <w:tcBorders>
              <w:top w:val="nil"/>
              <w:bottom w:val="nil"/>
            </w:tcBorders>
            <w:vAlign w:val="center"/>
          </w:tcPr>
          <w:p>
            <w:pPr>
              <w:spacing w:line="240" w:lineRule="auto"/>
            </w:pPr>
            <w:r>
              <w:rPr>
                <w:sz w:val="22"/>
              </w:rPr>
              <w:t>Associated with greater social interaction and staying; independent contributions of natural sound and competing-noise removal remain unresolved</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6</w:t>
            </w:r>
          </w:p>
        </w:tc>
        <w:tc>
          <w:tcPr>
            <w:tcW w:w="1345" w:type="dxa"/>
            <w:tcBorders>
              <w:top w:val="nil"/>
              <w:bottom w:val="nil"/>
            </w:tcBorders>
            <w:vAlign w:val="center"/>
          </w:tcPr>
          <w:p>
            <w:pPr>
              <w:spacing w:line="240" w:lineRule="auto"/>
            </w:pPr>
            <w:r>
              <w:rPr>
                <w:sz w:val="22"/>
              </w:rPr>
              <w:t>2 / 3 / 1</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L3</w:t>
            </w:r>
          </w:p>
        </w:tc>
        <w:tc>
          <w:tcPr>
            <w:tcW w:w="3081" w:type="dxa"/>
            <w:tcBorders>
              <w:top w:val="nil"/>
              <w:bottom w:val="nil"/>
            </w:tcBorders>
            <w:vAlign w:val="center"/>
          </w:tcPr>
          <w:p>
            <w:pPr>
              <w:spacing w:line="240" w:lineRule="auto"/>
            </w:pPr>
            <w:r>
              <w:rPr>
                <w:sz w:val="22"/>
              </w:rPr>
              <w:t>Provide quieter routes for walking and cycling</w:t>
            </w:r>
          </w:p>
        </w:tc>
        <w:tc>
          <w:tcPr>
            <w:tcW w:w="6061" w:type="dxa"/>
            <w:tcBorders>
              <w:top w:val="nil"/>
              <w:bottom w:val="nil"/>
            </w:tcBorders>
            <w:vAlign w:val="center"/>
          </w:tcPr>
          <w:p>
            <w:pPr>
              <w:spacing w:line="240" w:lineRule="auto"/>
            </w:pPr>
            <w:r>
              <w:rPr>
                <w:sz w:val="22"/>
              </w:rPr>
              <w:t>May influence route choice and the spatial distribution of movement by allowing users to avoid noisier alignments</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8</w:t>
            </w:r>
          </w:p>
        </w:tc>
        <w:tc>
          <w:tcPr>
            <w:tcW w:w="1345" w:type="dxa"/>
            <w:tcBorders>
              <w:top w:val="nil"/>
              <w:bottom w:val="nil"/>
            </w:tcBorders>
            <w:vAlign w:val="center"/>
          </w:tcPr>
          <w:p>
            <w:pPr>
              <w:spacing w:line="240" w:lineRule="auto"/>
            </w:pPr>
            <w:r>
              <w:rPr>
                <w:sz w:val="22"/>
              </w:rPr>
              <w:t>4 / 1 / 3</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L4</w:t>
            </w:r>
          </w:p>
        </w:tc>
        <w:tc>
          <w:tcPr>
            <w:tcW w:w="3081" w:type="dxa"/>
            <w:tcBorders>
              <w:top w:val="nil"/>
              <w:bottom w:val="nil"/>
            </w:tcBorders>
            <w:vAlign w:val="center"/>
          </w:tcPr>
          <w:p>
            <w:pPr>
              <w:spacing w:line="240" w:lineRule="auto"/>
            </w:pPr>
            <w:r>
              <w:rPr>
                <w:sz w:val="22"/>
              </w:rPr>
              <w:t>Remove, relocate, or reschedule mechanical and maintenance noise</w:t>
            </w:r>
          </w:p>
        </w:tc>
        <w:tc>
          <w:tcPr>
            <w:tcW w:w="6061" w:type="dxa"/>
            <w:tcBorders>
              <w:top w:val="nil"/>
              <w:bottom w:val="nil"/>
            </w:tcBorders>
            <w:vAlign w:val="center"/>
          </w:tcPr>
          <w:p>
            <w:pPr>
              <w:spacing w:line="240" w:lineRule="auto"/>
            </w:pPr>
            <w:r>
              <w:rPr>
                <w:sz w:val="22"/>
              </w:rPr>
              <w:t>May reduce avoidance and support staying and social interaction in intended social spaces</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7</w:t>
            </w:r>
          </w:p>
        </w:tc>
        <w:tc>
          <w:tcPr>
            <w:tcW w:w="1345" w:type="dxa"/>
            <w:tcBorders>
              <w:top w:val="nil"/>
              <w:bottom w:val="nil"/>
            </w:tcBorders>
            <w:vAlign w:val="center"/>
          </w:tcPr>
          <w:p>
            <w:pPr>
              <w:spacing w:line="240" w:lineRule="auto"/>
            </w:pPr>
            <w:r>
              <w:rPr>
                <w:sz w:val="22"/>
              </w:rPr>
              <w:t>2 / 3 / 2</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L5</w:t>
            </w:r>
          </w:p>
        </w:tc>
        <w:tc>
          <w:tcPr>
            <w:tcW w:w="3081" w:type="dxa"/>
            <w:tcBorders>
              <w:top w:val="nil"/>
              <w:bottom w:val="nil"/>
            </w:tcBorders>
            <w:vAlign w:val="center"/>
          </w:tcPr>
          <w:p>
            <w:pPr>
              <w:spacing w:line="240" w:lineRule="auto"/>
            </w:pPr>
            <w:r>
              <w:rPr>
                <w:sz w:val="22"/>
              </w:rPr>
              <w:t>Provide quieter sides or designated quiet zones</w:t>
            </w:r>
          </w:p>
        </w:tc>
        <w:tc>
          <w:tcPr>
            <w:tcW w:w="6061" w:type="dxa"/>
            <w:tcBorders>
              <w:top w:val="nil"/>
              <w:bottom w:val="nil"/>
            </w:tcBorders>
            <w:vAlign w:val="center"/>
          </w:tcPr>
          <w:p>
            <w:pPr>
              <w:spacing w:line="240" w:lineRule="auto"/>
            </w:pPr>
            <w:r>
              <w:rPr>
                <w:sz w:val="22"/>
              </w:rPr>
              <w:t>May support walking, exercise, rest, and staying where acoustic conditions are otherwise constraining</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10</w:t>
            </w:r>
          </w:p>
        </w:tc>
        <w:tc>
          <w:tcPr>
            <w:tcW w:w="1345" w:type="dxa"/>
            <w:tcBorders>
              <w:top w:val="nil"/>
              <w:bottom w:val="nil"/>
            </w:tcBorders>
            <w:vAlign w:val="center"/>
          </w:tcPr>
          <w:p>
            <w:pPr>
              <w:spacing w:line="240" w:lineRule="auto"/>
            </w:pPr>
            <w:r>
              <w:rPr>
                <w:sz w:val="22"/>
              </w:rPr>
              <w:t>2 / 4 / 4</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L6</w:t>
            </w:r>
          </w:p>
        </w:tc>
        <w:tc>
          <w:tcPr>
            <w:tcW w:w="3081" w:type="dxa"/>
            <w:tcBorders>
              <w:top w:val="nil"/>
              <w:bottom w:val="nil"/>
            </w:tcBorders>
            <w:vAlign w:val="center"/>
          </w:tcPr>
          <w:p>
            <w:pPr>
              <w:spacing w:line="240" w:lineRule="auto"/>
            </w:pPr>
            <w:r>
              <w:rPr>
                <w:sz w:val="22"/>
              </w:rPr>
              <w:t>Use acoustic zoning and spatial separation of functions</w:t>
            </w:r>
          </w:p>
        </w:tc>
        <w:tc>
          <w:tcPr>
            <w:tcW w:w="6061" w:type="dxa"/>
            <w:tcBorders>
              <w:top w:val="nil"/>
              <w:bottom w:val="nil"/>
            </w:tcBorders>
            <w:vAlign w:val="center"/>
          </w:tcPr>
          <w:p>
            <w:pPr>
              <w:spacing w:line="240" w:lineRule="auto"/>
            </w:pPr>
            <w:r>
              <w:rPr>
                <w:sz w:val="22"/>
              </w:rPr>
              <w:t>May redistribute crowd density, interaction, and staying across adjacent activity areas</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6</w:t>
            </w:r>
          </w:p>
        </w:tc>
        <w:tc>
          <w:tcPr>
            <w:tcW w:w="1345" w:type="dxa"/>
            <w:tcBorders>
              <w:top w:val="nil"/>
              <w:bottom w:val="nil"/>
            </w:tcBorders>
            <w:vAlign w:val="center"/>
          </w:tcPr>
          <w:p>
            <w:pPr>
              <w:spacing w:line="240" w:lineRule="auto"/>
            </w:pPr>
            <w:r>
              <w:rPr>
                <w:sz w:val="22"/>
              </w:rPr>
              <w:t>1 / 5 / 0</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L7</w:t>
            </w:r>
          </w:p>
        </w:tc>
        <w:tc>
          <w:tcPr>
            <w:tcW w:w="3081" w:type="dxa"/>
            <w:tcBorders>
              <w:top w:val="nil"/>
              <w:bottom w:val="nil"/>
            </w:tcBorders>
            <w:vAlign w:val="center"/>
          </w:tcPr>
          <w:p>
            <w:pPr>
              <w:spacing w:line="240" w:lineRule="auto"/>
            </w:pPr>
            <w:r>
              <w:rPr>
                <w:sz w:val="22"/>
              </w:rPr>
              <w:t>Programme sound-generating public activities</w:t>
            </w:r>
          </w:p>
        </w:tc>
        <w:tc>
          <w:tcPr>
            <w:tcW w:w="6061" w:type="dxa"/>
            <w:tcBorders>
              <w:top w:val="nil"/>
              <w:bottom w:val="nil"/>
            </w:tcBorders>
            <w:vAlign w:val="center"/>
          </w:tcPr>
          <w:p>
            <w:pPr>
              <w:spacing w:line="240" w:lineRule="auto"/>
            </w:pPr>
            <w:r>
              <w:rPr>
                <w:sz w:val="22"/>
              </w:rPr>
              <w:t>May convert passage into watching, lingering, and social interaction; evidence for increasing overall visitor numbers is insufficient</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6</w:t>
            </w:r>
          </w:p>
        </w:tc>
        <w:tc>
          <w:tcPr>
            <w:tcW w:w="1345" w:type="dxa"/>
            <w:tcBorders>
              <w:top w:val="nil"/>
              <w:bottom w:val="nil"/>
            </w:tcBorders>
            <w:vAlign w:val="center"/>
          </w:tcPr>
          <w:p>
            <w:pPr>
              <w:spacing w:line="240" w:lineRule="auto"/>
            </w:pPr>
            <w:r>
              <w:rPr>
                <w:sz w:val="22"/>
              </w:rPr>
              <w:t>1 / 2 / 3</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L8</w:t>
            </w:r>
          </w:p>
        </w:tc>
        <w:tc>
          <w:tcPr>
            <w:tcW w:w="3081" w:type="dxa"/>
            <w:tcBorders>
              <w:top w:val="nil"/>
              <w:bottom w:val="nil"/>
            </w:tcBorders>
            <w:vAlign w:val="center"/>
          </w:tcPr>
          <w:p>
            <w:pPr>
              <w:spacing w:line="240" w:lineRule="auto"/>
            </w:pPr>
            <w:r>
              <w:rPr>
                <w:sz w:val="22"/>
              </w:rPr>
              <w:t>Use auditory guidance and warning signals where appropriate</w:t>
            </w:r>
          </w:p>
        </w:tc>
        <w:tc>
          <w:tcPr>
            <w:tcW w:w="6061" w:type="dxa"/>
            <w:tcBorders>
              <w:top w:val="nil"/>
              <w:bottom w:val="nil"/>
            </w:tcBorders>
            <w:vAlign w:val="center"/>
          </w:tcPr>
          <w:p>
            <w:pPr>
              <w:spacing w:line="240" w:lineRule="auto"/>
            </w:pPr>
            <w:r>
              <w:rPr>
                <w:sz w:val="22"/>
              </w:rPr>
              <w:t>May modify crossing trajectories, detection timing, and movement responses</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4</w:t>
            </w:r>
          </w:p>
        </w:tc>
        <w:tc>
          <w:tcPr>
            <w:tcW w:w="1345" w:type="dxa"/>
            <w:tcBorders>
              <w:top w:val="nil"/>
              <w:bottom w:val="nil"/>
            </w:tcBorders>
            <w:vAlign w:val="center"/>
          </w:tcPr>
          <w:p>
            <w:pPr>
              <w:spacing w:line="240" w:lineRule="auto"/>
            </w:pPr>
            <w:r>
              <w:rPr>
                <w:sz w:val="22"/>
              </w:rPr>
              <w:t>1 / 2 / 1</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L9</w:t>
            </w:r>
          </w:p>
        </w:tc>
        <w:tc>
          <w:tcPr>
            <w:tcW w:w="3081" w:type="dxa"/>
            <w:tcBorders>
              <w:top w:val="nil"/>
              <w:bottom w:val="nil"/>
            </w:tcBorders>
            <w:vAlign w:val="center"/>
          </w:tcPr>
          <w:p>
            <w:pPr>
              <w:spacing w:line="240" w:lineRule="auto"/>
            </w:pPr>
            <w:r>
              <w:rPr>
                <w:sz w:val="22"/>
              </w:rPr>
              <w:t>Treat natural sound as a potential modifier of pedestrian pace</w:t>
            </w:r>
          </w:p>
        </w:tc>
        <w:tc>
          <w:tcPr>
            <w:tcW w:w="6061" w:type="dxa"/>
            <w:tcBorders>
              <w:top w:val="nil"/>
              <w:bottom w:val="nil"/>
            </w:tcBorders>
            <w:vAlign w:val="center"/>
          </w:tcPr>
          <w:p>
            <w:pPr>
              <w:spacing w:line="240" w:lineRule="auto"/>
            </w:pPr>
            <w:r>
              <w:rPr>
                <w:sz w:val="22"/>
              </w:rPr>
              <w:t>Existing evidence is insufficient to justify designing specifically to slow pedestrian movement through natural sound</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5</w:t>
            </w:r>
          </w:p>
        </w:tc>
        <w:tc>
          <w:tcPr>
            <w:tcW w:w="1345" w:type="dxa"/>
            <w:tcBorders>
              <w:top w:val="nil"/>
              <w:bottom w:val="nil"/>
            </w:tcBorders>
            <w:vAlign w:val="center"/>
          </w:tcPr>
          <w:p>
            <w:pPr>
              <w:spacing w:line="240" w:lineRule="auto"/>
            </w:pPr>
            <w:r>
              <w:rPr>
                <w:sz w:val="22"/>
              </w:rPr>
              <w:t>1 / 0 / 4</w:t>
            </w:r>
          </w:p>
        </w:tc>
        <w:tc>
          <w:tcPr>
            <w:tcW w:w="1148" w:type="dxa"/>
            <w:tcBorders>
              <w:top w:val="nil"/>
              <w:bottom w:val="nil"/>
            </w:tcBorders>
            <w:vAlign w:val="center"/>
          </w:tcPr>
          <w:p>
            <w:pPr>
              <w:spacing w:line="240" w:lineRule="auto"/>
            </w:pPr>
            <w:r>
              <w:rPr>
                <w:b/>
                <w:sz w:val="22"/>
              </w:rPr>
              <w:t>Very low</w:t>
            </w:r>
          </w:p>
        </w:tc>
      </w:tr>
      <w:tr>
        <w:trPr>
          <w:jc w:val="center"/>
        </w:trPr>
        <w:tc>
          <w:tcPr>
            <w:tcW w:w="780" w:type="dxa"/>
            <w:tcBorders>
              <w:top w:val="nil"/>
              <w:bottom w:val="single" w:sz="12" w:space="0" w:color="auto"/>
            </w:tcBorders>
            <w:vAlign w:val="center"/>
          </w:tcPr>
          <w:p>
            <w:pPr>
              <w:spacing w:line="240" w:lineRule="auto"/>
            </w:pPr>
            <w:r>
              <w:rPr>
                <w:b/>
                <w:sz w:val="22"/>
              </w:rPr>
              <w:t>L10</w:t>
            </w:r>
          </w:p>
        </w:tc>
        <w:tc>
          <w:tcPr>
            <w:tcW w:w="3081" w:type="dxa"/>
            <w:tcBorders>
              <w:top w:val="nil"/>
              <w:bottom w:val="single" w:sz="12" w:space="0" w:color="auto"/>
            </w:tcBorders>
            <w:vAlign w:val="center"/>
          </w:tcPr>
          <w:p>
            <w:pPr>
              <w:spacing w:line="240" w:lineRule="auto"/>
            </w:pPr>
            <w:r>
              <w:rPr>
                <w:sz w:val="22"/>
              </w:rPr>
              <w:t>Use speech-interference considerations when locating social spaces</w:t>
            </w:r>
          </w:p>
        </w:tc>
        <w:tc>
          <w:tcPr>
            <w:tcW w:w="6061" w:type="dxa"/>
            <w:tcBorders>
              <w:top w:val="nil"/>
              <w:bottom w:val="single" w:sz="12" w:space="0" w:color="auto"/>
            </w:tcBorders>
            <w:vAlign w:val="center"/>
          </w:tcPr>
          <w:p>
            <w:pPr>
              <w:spacing w:line="240" w:lineRule="auto"/>
            </w:pPr>
            <w:r>
              <w:rPr>
                <w:sz w:val="22"/>
              </w:rPr>
              <w:t>Lower acoustic interference may support conversational interaction and reduce vocal effort</w:t>
            </w:r>
          </w:p>
        </w:tc>
        <w:tc>
          <w:tcPr>
            <w:tcW w:w="1134" w:type="dxa"/>
            <w:tcBorders>
              <w:top w:val="nil"/>
              <w:bottom w:val="single" w:sz="12" w:space="0" w:color="auto"/>
            </w:tcBorders>
            <w:vAlign w:val="center"/>
          </w:tcPr>
          <w:p>
            <w:pPr>
              <w:spacing w:line="240" w:lineRule="auto"/>
            </w:pPr>
            <w:r>
              <w:rPr>
                <w:sz w:val="22"/>
              </w:rPr>
              <w:t>promotes</w:t>
            </w:r>
          </w:p>
        </w:tc>
        <w:tc>
          <w:tcPr>
            <w:tcW w:w="992" w:type="dxa"/>
            <w:tcBorders>
              <w:top w:val="nil"/>
              <w:bottom w:val="single" w:sz="12" w:space="0" w:color="auto"/>
            </w:tcBorders>
            <w:vAlign w:val="center"/>
          </w:tcPr>
          <w:p>
            <w:pPr>
              <w:spacing w:line="240" w:lineRule="auto"/>
            </w:pPr>
            <w:r>
              <w:rPr>
                <w:sz w:val="22"/>
              </w:rPr>
              <w:t>3</w:t>
            </w:r>
          </w:p>
        </w:tc>
        <w:tc>
          <w:tcPr>
            <w:tcW w:w="1345" w:type="dxa"/>
            <w:tcBorders>
              <w:top w:val="nil"/>
              <w:bottom w:val="single" w:sz="12" w:space="0" w:color="auto"/>
            </w:tcBorders>
            <w:vAlign w:val="center"/>
          </w:tcPr>
          <w:p>
            <w:pPr>
              <w:spacing w:line="240" w:lineRule="auto"/>
            </w:pPr>
            <w:r>
              <w:rPr>
                <w:sz w:val="22"/>
              </w:rPr>
              <w:t>2 / 1 / 0</w:t>
            </w:r>
          </w:p>
        </w:tc>
        <w:tc>
          <w:tcPr>
            <w:tcW w:w="1148" w:type="dxa"/>
            <w:tcBorders>
              <w:top w:val="nil"/>
              <w:bottom w:val="single" w:sz="12" w:space="0" w:color="auto"/>
            </w:tcBorders>
            <w:vAlign w:val="center"/>
          </w:tcPr>
          <w:p>
            <w:pPr>
              <w:spacing w:line="240" w:lineRule="auto"/>
            </w:pPr>
            <w:r>
              <w:rPr>
                <w:b/>
                <w:sz w:val="22"/>
              </w:rPr>
              <w:t>Low</w:t>
            </w:r>
          </w:p>
        </w:tc>
      </w:tr>
    </w:tbl>
    <w:p>
      <w:pPr>
        <w:spacing w:before="160" w:after="80" w:line="240" w:lineRule="auto"/>
      </w:pPr>
      <w:r>
        <w:rPr>
          <w:i/>
          <w:sz w:val="22"/>
        </w:rPr>
        <w:t>Note.</w:t>
      </w:r>
      <w:r>
        <w:rPr>
          <w:sz w:val="22"/>
        </w:rPr>
        <w:t xml:space="preserve"> Planning evidence strength is a pragmatic synthesis judgement based on the number of contributing studies, their MMAT grades, statistical uncertainty, diversity of settings and sensitivity to analytical decisions (Section 2.8); it is not a validated certainty-of-evidence framework such as GRADE. Mixed = contributing studies differ in direction or the behavioural implication depends on context. MMAT (H / M / L) = number of contributing studies rated high, moderate and low. Moderate = may be included in a design proposal with post-occupancy monitoring; Low = to be tested as a hypothesis and not written into a standard or guideline; Very low = no prescriptive basis at present.</w:t>
      </w:r>
    </w:p>
    <w:p>
      <w:pPr>
        <w:keepNext/>
        <w:widowControl w:val="0"/>
        <w:tabs>
          <w:tab w:val="num" w:pos="576"/>
        </w:tabs>
        <w:suppressAutoHyphens/>
        <w:ind w:left="576" w:hanging="576"/>
        <w:jc w:val="both"/>
        <w:outlineLvl w:val="1"/>
        <w:rPr>
          <w:b/>
          <w:kern w:val="2"/>
          <w:szCs w:val="24"/>
          <w:lang w:eastAsia="ko-KR"/>
        </w:rPr>
        <w:sectPr>
          <w:pgSz w:w="16834" w:h="11909" w:orient="landscape"/>
          <w:pgMar w:top="851" w:right="1440" w:bottom="1440" w:left="851" w:header="720" w:footer="720" w:gutter="0"/>
          <w:cols w:space="720"/>
          <w:docGrid w:linePitch="360"/>
        </w:sect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13년 간격으로 수행된 두 현장실험도 같은 방향의 결과를 보였다. Mathews와 Canon [40]의 보도 현장실험(실험 2)에서는 머플러를 제거한 잔디깎기로 주변음을 약 50 dB(C)에서 87 dB(C)로 높이자 떨어뜨린 물건을 주워 준 사람이 40명 중 20명에서 5명으로 줄었고(OR = 7.00), Moser [39]는 파리의 가로에서 도로공사 소음을 이용해 같은 2 × 2 설계를 적용한 결과 도움 행동이 줄었음을 보고했다. 두 연구는 서로 무관한 소음원과 서로 다른 도움 행동 과제를 사용했으므로, 결과가 일치한다는 점은 연구 수(</w:t>
      </w:r>
      <w:r>
        <w:rPr>
          <w:i/>
          <w:lang w:eastAsia="ko-KR"/>
        </w:rPr>
        <w:t>k</w:t>
      </w:r>
      <w:r>
        <w:rPr>
          <w:lang w:eastAsia="ko-KR"/>
        </w:rPr>
        <w:t xml:space="preserve"> = 4)만으로 판단할 때보다 더 많은 정보를 준다. 다만 Mathews와 Canon은 자료 수집 지역을 밝히지 않았으므로 국가 간 반복으로 보기는 어렵다.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연구[34]에서는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보고됐으며[43],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첫째,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둘째, 소음 저감을 신체활동을 늘리는 보편적인 방법으로 보는 관점은 가장 규모가 큰 관찰 자료에서 지지되지 않았다. 활동이 많은 장소는 음향적으로도 붐비는 경우가 많아, 이러한 자료에서는 소음과 활동이 오히려 정적으로 연관될 수 있다[48,49]. 따라서 역인과(reverse causation)와 맥락적 교란(contextual confounding)을 함께 고려해야 한다.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방법론적 질 평가에서는 표본 대표성, 무응답 편의, 교란 통제 항목의 충족률이 낮았고, 기준을 충족하지 못한 경우와 함께 필요한 정보가 보고되지 않아 판단불가로 판정된 경우도 많았다(3.3절). 코퍼스에서 가장 강한 설계를 사용한 무작위배정 연구 2편도 무작위화 절차, 기저 동등성, 눈가림을 보고하지 않아 low 등급을 받았다. 음향 지표는 자세히 보고하면서도 응답률은 보고하지 않는 경우가 흔했다. 소음과 성가심도의 용량-반응 관계를 대규모로 정량화할 수 있었던 것은 해당 문헌이 노출과 반응을 표준화된 방식으로 보고했기 때문인데[5], 행태 연구는 아직 그 수준에 이르지 못했다. 보고의 누락은 새로운 장비 없이도 개선할 수 있으므로, 표본 선정, 응답률, 분석 단위를 명확히 보고하는 것만으로도 품질평가와 정량 종합의 기반을 넓힐 수 있다. 측정 방법의 세대는 서로를 대체하기보다 누적되는 것으로 보인다. 센싱 방법이 가장 빠르게 늘었지만 자기보고와 체계적 관찰도 계속 사용되고 있으며, 22편이 두 세대 이상의 방법을 함께 사용했다. 여러 방법을 병용하면 결과를 교차 확인하는 삼각검증(triangulation)이 가능해지지만, 같은 개념이 서로 다른 방식으로 측정된 결과를 종합할 때 측정 방법을 구분하지 않으면 이질성의 상당 부분이 설명되지 않은 채 남는다. 향후 연구는 주관적 평가를 관찰 가능한 행태 및 객관적 음향 측정과 함께 수집해 이러한 상호보완성을 활용할 수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항공기 소음은 세계보건기구 유럽지역 환경소음 지침의 근거가 된 체계적 문헌고찰에서 성가심도[50]와 수면[51]에 관해 별도로 종합될 만큼 연구가 많고 건강 영향 전반에서도 마찬가지이지만[6], 본 리뷰의 적격 기준을 충족하면서 공항 주변 옥외공간의 행태를 측정한 연구는 2편뿐이었다(3.8절). 주거 소음 노출과 비특정 신체활동을 결합한 연구를 배제한 경계 규칙(2.4절)이 이 공백에 일부 영향을 주었을 수 있지만, 소음 노출이 큰 곳에서 행태 증거가 가장 부족하다는 점은 이 분야가 건강과 성가심도 중심의 틀에 머물러 왔음을 시사한다.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 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39%가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교차문화 연구들은 같은 유형의 도시 옥외공간이라도 국가에 따라 사운드스케이프 평가가 다르게 나타나며[52,53], 그러한 비교 결과가 지각 속성(perceptual attributes)의 번역과 문화 간 적응(cross-cultural adaptation) 절차에 따라서도 달라질 수 있다고 보고했다[54]. 따라서 추정치를 문화권과 무관하게 보편적인 값으로 해석해서는 안 된다. 또한 세 경로를 통틀어 122건의 전문을 확보하지 못했다(데이터베이스 89건, 인용추적 25건, 보조 색인 8건). 다만 초록에서 행태 결과가 확인된 인용추적 레코드의 전문 확보율은 92%였고, 확보하지 못한 레코드는 주로 제목만으로 식별된 것이었다. 전문을 평가한 인용추적 레코드 가운데 초록에서 행태 결과가 확인된 37건은 16건(43%)이 포함되거나 민감도 분석용으로 분류됐지만, 제목만으로 선별된 17건은 한 건도 포함되지 않았다. 최종 포함 여부가 제목의 주제적 관련성보다 초록 확보 여부와 강하게 연관된 것으로, 제목만으로 선별하면 제목과 초록을 함께 볼 때보다 민감도가 낮다는 보고와도 일치한다[55]. 이 결과는 전문을 확보하지 못한 레코드가 결론을 바꿨을 가능성이 낮음을 시사하지만, 두 집단은 무작위로 나뉘지 않았고 제목만 본 레코드가 17건에 불과하므로 미확보로 남은 제목 판단 레코드 22건의 영향은 배제할 수 없다.</w:t>
      </w:r>
    </w:p>
    <w:p>
      <w:pPr>
        <w:ind w:firstLine="288"/>
        <w:jc w:val="both"/>
        <w:rPr>
          <w:lang w:eastAsia="ko-KR"/>
        </w:rPr>
      </w:pPr>
      <w:r>
        <w:rPr>
          <w:lang w:eastAsia="ko-KR"/>
        </w:rPr>
        <w:t xml:space="preserve">스크리닝과 추출은 두 명의 독립적인 리뷰어가 아니라 한 명의 리뷰어가 수행했다(2.4절). 두 쌍의 논문이 표본을 공유했으며, 각 쌍에서 한 편만 정량 합성에 포함했다. 점검과 검증 단계를 거쳤지만 이러한 절차는 선택 오류나 추출 오류를 완전히 배제하지 못한다. 정량 종합에도 한계가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클러스터당 추정치가 3~6개에 불과해 등록한 하위그룹 분석도 수행하지 않았다. 무엇보다 네 예측구간이 모두 0을 포함하므로, 통계적으로 유의한 평균 추정치라도 새로운 연구의 결과를 예측하는 값으로 해석해서는 안 된다. 또한 사회적 상호작용 클러스터의 유의성은 인용 검색으로 확보한 연구 한 편에 의존하며, 이 연구는 데이터베이스 검색만으로는 찾을 수 없었을 것이다.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98편 가운데 16편이 기여한 네 메타분석 클러스터는 모두 이론적으로 기대되는 방향을 보였으나, 평균 추정치의 신뢰구간이 0을 배제한 것은 사회적 상호작용과 소리–행태 상관뿐이었고 네 예측구간은 모두 0을 포함했다. 사회적 상호작용에서는 현장실험 증거가 행태적 효과를 뒷받침했지만, 소리–행태 상관 클러스터는 연관을 보여 주는 수준에 머물렀다. 가장 강한 정량 결과는 사회적 상호작용(</w:t>
      </w:r>
      <w:r>
        <w:rPr>
          <w:i/>
          <w:lang w:eastAsia="ko-KR"/>
        </w:rPr>
        <w:t>g</w:t>
      </w:r>
      <w:r>
        <w:rPr>
          <w:lang w:eastAsia="ko-KR"/>
        </w:rPr>
        <w:t xml:space="preserve"> = +0.68)에서 나타났으며, 특히 자연음이 있거나 더 조용한 조건을 포함한 비교에서 확인됐다. 다만 자연음의 기여와 경쟁 소음 제거의 기여는 구분되지 않았다. 반면 소음이 보행을 빠르게 한다는 널리 인용되는 주장은 규모가 작고 이질적이며 주로 헤드폰에 기반한, MMAT 평가가 낮은 증거에 의존하고 있으므로, 이를 확립된 환경소음 효과로 다뤄서는 안 된다.</w:t>
      </w:r>
    </w:p>
    <w:p>
      <w:pPr>
        <w:ind w:firstLine="288"/>
        <w:jc w:val="both"/>
        <w:rPr>
          <w:lang w:eastAsia="ko-KR"/>
        </w:rPr>
      </w:pPr>
      <w:r>
        <w:rPr>
          <w:lang w:eastAsia="ko-KR"/>
        </w:rPr>
        <w:t>증거가 양방향으로 구성돼 있다는 점도 확인됐다. 방향성 레코드 187건 중 74건(40%)이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또한 행태로 검증되지 않은 지각 연구 결과로부터 행태적 처방을 도출해서는 안 된다. 전체적으로 이 코퍼스는 보편적인 음향–행태 기준보다 모니터링을 동반한 근거 기반 설계 가설을 지지한다.</w:t>
      </w:r>
    </w:p>
    <w:p>
      <w:pPr>
        <w:ind w:firstLine="288"/>
        <w:jc w:val="both"/>
        <w:rPr>
          <w:lang w:eastAsia="ko-KR"/>
        </w:rPr>
      </w:pPr>
      <w:r>
        <w:rPr>
          <w:lang w:eastAsia="ko-KR"/>
        </w:rPr>
        <w:t>후속 연구에 필요한 것은 또 하나의 광범위한 횡단 상관 연구가 아니라, 실제 환경음을 조작하고, 관찰 가능한 행태를 측정하며, 공간적·사회문화적 맥락을 기술하고, 그 결과로 달라진 활동의 음향적 귀결까지 정량화하는 잘 보고된 현장실험이다. 이러한 연구는 본 리뷰가 제시한 상호적 프레임워크를 직접 검증하고, 이 분야의 근거를 서술적 연관에서 설계 결정에 활용할 수 있는 증거로 발전시키는 데 기여할 것이다.</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추출 자료, 품질평가 결과, 메타분석 입력 자료와 분석 코드, 프로토콜 편차 기록은 OSF 프로젝트(osf.io/7ew8q)에 공개한다. 포함 연구의 원문은 출판사 저작권 대상이므로 재배포하지 않는다.</w:t>
      </w:r>
    </w:p>
    <w:p>
      <w:pPr>
        <w:spacing w:before="160" w:after="80" w:line="240" w:lineRule="auto"/>
        <w:rPr>
          <w:b/>
          <w:sz w:val="22"/>
          <w:lang w:eastAsia="ko-KR"/>
        </w:rPr>
      </w:pPr>
      <w:r>
        <w:rPr>
          <w:b/>
          <w:sz w:val="22"/>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[21]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[22]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[23]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[24]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[25] Higgins JPT, Thompson SG, Deeks JJ, Altman DG. Measuring inconsistency in meta-analyses. BMJ. 2003;327:557-560. doi:10.1136/bmj.327.7414.557</w:t>
      </w:r>
    </w:p>
    <w:p>
      <w:pPr>
        <w:spacing w:before="240" w:after="160" w:line="240" w:lineRule="auto"/>
        <w:ind w:left="440" w:hanging="440"/>
        <w:rPr>
          <w:kern w:val="2"/>
          <w:szCs w:val="24"/>
          <w:lang w:eastAsia="ko-KR"/>
        </w:rPr>
      </w:pPr>
      <w:r>
        <w:rPr>
          <w:kern w:val="2"/>
          <w:szCs w:val="24"/>
          <w:lang w:eastAsia="ko-KR"/>
        </w:rPr>
        <w:t>[26]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[27]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[28]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[29]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[30]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[31]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[32]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[33]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[34]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[35] Ba M, Kang J, Li Z. The effects of sounds and food odour on crowd behaviours in urban public open spaces. Building and Environment. 2020;182:107104. doi:10.1016/j.buildenv.2020.107104</w:t>
      </w:r>
    </w:p>
    <w:p>
      <w:pPr>
        <w:spacing w:before="240" w:after="160" w:line="240" w:lineRule="auto"/>
        <w:ind w:left="440" w:hanging="440"/>
        <w:rPr>
          <w:kern w:val="2"/>
          <w:szCs w:val="24"/>
          <w:lang w:eastAsia="ko-KR"/>
        </w:rPr>
      </w:pPr>
      <w:r>
        <w:rPr>
          <w:kern w:val="2"/>
          <w:szCs w:val="24"/>
          <w:lang w:eastAsia="ko-KR"/>
        </w:rPr>
        <w:t>[36] Fu Y, Zhang N, Gao Q, Dai H, Chen Q, Gao W. Research on the Effect of Rural Composite Environments on the Spatiotemporal Behavior and Perception of the Elderly: A Case Study of Qingdao, China. Buildings. 2026;16:1973. doi:10.3390/buildings16101973</w:t>
      </w:r>
    </w:p>
    <w:p>
      <w:pPr>
        <w:spacing w:before="240" w:after="160" w:line="240" w:lineRule="auto"/>
        <w:ind w:left="440" w:hanging="440"/>
        <w:rPr>
          <w:kern w:val="2"/>
          <w:szCs w:val="24"/>
          <w:lang w:eastAsia="ko-KR"/>
        </w:rPr>
      </w:pPr>
      <w:r>
        <w:rPr>
          <w:kern w:val="2"/>
          <w:szCs w:val="24"/>
          <w:lang w:eastAsia="ko-KR"/>
        </w:rPr>
        <w:t>[37]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[38]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[39]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[40]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[41] Guo X, Jiang SY, Liu J, Chen Z, Hong XC. Understanding the Role of Visitor Behavior in Soundscape Restorative Experiences in Urban Parks. Forests. 2024;15:1751. doi:10.3390/f15101751</w:t>
      </w:r>
    </w:p>
    <w:p>
      <w:pPr>
        <w:spacing w:before="240" w:after="160" w:line="240" w:lineRule="auto"/>
        <w:ind w:left="440" w:hanging="440"/>
        <w:rPr>
          <w:kern w:val="2"/>
          <w:szCs w:val="24"/>
          <w:lang w:eastAsia="ko-KR"/>
        </w:rPr>
      </w:pPr>
      <w:r>
        <w:rPr>
          <w:kern w:val="2"/>
          <w:szCs w:val="24"/>
          <w:lang w:eastAsia="ko-KR"/>
        </w:rPr>
        <w:t>[42] Bao Y, Gao M, Zhao C, Zhou X. White Spaces Unveiled: Investigating the Restorative Potential of Environmentally Perceived Characteristics in Urban Parks during Winter. Forests. 2023;14:2329. doi:10.3390/f14122329</w:t>
      </w:r>
    </w:p>
    <w:p>
      <w:pPr>
        <w:spacing w:before="240" w:after="160" w:line="240" w:lineRule="auto"/>
        <w:ind w:left="440" w:hanging="440"/>
        <w:rPr>
          <w:kern w:val="2"/>
          <w:szCs w:val="24"/>
          <w:lang w:eastAsia="ko-KR"/>
        </w:rPr>
      </w:pPr>
      <w:r>
        <w:rPr>
          <w:kern w:val="2"/>
          <w:szCs w:val="24"/>
          <w:lang w:eastAsia="ko-KR"/>
        </w:rPr>
        <w:t>[43]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[44] Cao J, Kang J. The influence of companion factors on soundscape evaluations in urban public spaces. Sustainable Cities and Society. 2021;69:102860. doi:10.1016/j.scs.2021.102860</w:t>
      </w:r>
    </w:p>
    <w:p>
      <w:pPr>
        <w:spacing w:before="240" w:after="160" w:line="240" w:lineRule="auto"/>
        <w:ind w:left="440" w:hanging="440"/>
        <w:rPr>
          <w:kern w:val="2"/>
          <w:szCs w:val="24"/>
          <w:lang w:eastAsia="ko-KR"/>
        </w:rPr>
      </w:pPr>
      <w:r>
        <w:rPr>
          <w:kern w:val="2"/>
          <w:szCs w:val="24"/>
          <w:lang w:eastAsia="ko-KR"/>
        </w:rPr>
        <w:t>[45] Zhou L, Yu W, Zhang Y, Zhou W, Wu T. Effect of soundscapes and crowd density on economic behavior in commercial streets. Applied Acoustics. 2026;242:111101. doi:10.1016/j.apacoust.2025.111101</w:t>
      </w:r>
    </w:p>
    <w:p>
      <w:pPr>
        <w:spacing w:before="240" w:after="160" w:line="240" w:lineRule="auto"/>
        <w:ind w:left="440" w:hanging="440"/>
        <w:rPr>
          <w:kern w:val="2"/>
          <w:szCs w:val="24"/>
          <w:lang w:eastAsia="ko-KR"/>
        </w:rPr>
      </w:pPr>
      <w:r>
        <w:rPr>
          <w:kern w:val="2"/>
          <w:szCs w:val="24"/>
          <w:lang w:eastAsia="ko-KR"/>
        </w:rPr>
        <w:t>[46] Mansouri Y, Matallah ME, Attar A, Mahar WA, Attia S. The Impact of Soundscape on Pedestrian Comfort, Perception and Walking Experience in Béjaïa, Algeria. Acoustics. 2025;7:64. doi:10.3390/acoustics7040064</w:t>
      </w:r>
    </w:p>
    <w:p>
      <w:pPr>
        <w:spacing w:before="240" w:after="160" w:line="240" w:lineRule="auto"/>
        <w:ind w:left="440" w:hanging="440"/>
        <w:rPr>
          <w:kern w:val="2"/>
          <w:szCs w:val="24"/>
          <w:lang w:eastAsia="ko-KR"/>
        </w:rPr>
      </w:pPr>
      <w:r>
        <w:rPr>
          <w:kern w:val="2"/>
          <w:szCs w:val="24"/>
          <w:lang w:eastAsia="ko-KR"/>
        </w:rPr>
        <w:t>[47]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[48]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[49] Huang D, Tian M, Yuan L. Sustainable design of running friendly streets: Environmental exposures predict runnability by Volunteered Geographic Information and multilevel model approaches. Sustainable Cities and Society. 2023;89:104336. doi:10.1016/j.scs.2022.104336</w:t>
      </w:r>
    </w:p>
    <w:p>
      <w:pPr>
        <w:spacing w:before="240" w:after="160" w:line="240" w:lineRule="auto"/>
        <w:ind w:left="440" w:hanging="440"/>
        <w:rPr>
          <w:kern w:val="2"/>
          <w:szCs w:val="24"/>
          <w:lang w:eastAsia="ko-KR"/>
        </w:rPr>
      </w:pPr>
      <w:r>
        <w:rPr>
          <w:kern w:val="2"/>
          <w:szCs w:val="24"/>
          <w:lang w:eastAsia="ko-KR"/>
        </w:rPr>
        <w:t>[50]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[51]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[52]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[53]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[54]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[55]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A. Search strategies</w:t>
      </w:r>
    </w:p>
    <w:p>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pPr>
        <w:ind w:firstLine="288"/>
        <w:jc w:val="both"/>
        <w:rPr>
          <w:lang w:eastAsia="ko-KR"/>
        </w:rPr>
      </w:pPr>
      <w:r>
        <w:rPr>
          <w:lang w:eastAsia="ko-KR"/>
        </w:rPr>
        <w:t>Web of Science Core Collection (limits: English; document type, article):</w:t>
      </w:r>
    </w:p>
    <w:p>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pPr>
        <w:ind w:firstLine="288"/>
        <w:jc w:val="both"/>
        <w:rPr>
          <w:lang w:eastAsia="ko-KR"/>
        </w:rPr>
      </w:pPr>
      <w:r>
        <w:rPr>
          <w:lang w:eastAsia="ko-KR"/>
        </w:rPr>
        <w:t>Scopus (limits included in the string):</w:t>
      </w:r>
    </w:p>
    <w:p>
      <w:pPr>
        <w:ind w:firstLine="288"/>
        <w:jc w:val="both"/>
        <w:rPr>
          <w:lang w:eastAsia="ko-KR"/>
        </w:rPr>
      </w:pPr>
      <w:r>
        <w:rPr>
          <w:lang w:eastAsia="ko-KR"/>
        </w:rPr>
        <w:t>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OR "street*" OR "public space*" OR "open space*" OR "square*" OR "plaza*" OR "waterfront*" OR "green space*" OR "greenspace*" OR "recreational area*" OR "campus") AND LANGUAGE(english) AND DOCTYPE(ar) AND SRCTYPE(j)</w:t>
      </w:r>
    </w:p>
    <w:p>
      <w:pPr>
        <w:ind w:firstLine="288"/>
        <w:jc w:val="both"/>
        <w:rPr>
          <w:lang w:eastAsia="ko-KR"/>
        </w:rPr>
      </w:pPr>
      <w:r>
        <w:rPr>
          <w:lang w:eastAsia="ko-KR"/>
        </w:rPr>
        <w:t>PubMed (limits included in the string):</w:t>
      </w:r>
    </w:p>
    <w:p>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pPr>
        <w:ind w:firstLine="288"/>
        <w:jc w:val="both"/>
        <w:rPr>
          <w:lang w:eastAsia="ko-KR"/>
        </w:rPr>
      </w:pPr>
      <w:r>
        <w:rPr>
          <w:lang w:eastAsia="ko-KR"/>
        </w:rPr>
        <w:t>OpenAlex, title and abstract search (filters: English; type, article; source type, journal):</w:t>
      </w:r>
    </w:p>
    <w:p>
      <w:pPr>
        <w:ind w:firstLine="288"/>
        <w:jc w:val="both"/>
        <w:rPr>
          <w:lang w:eastAsia="ko-KR"/>
        </w:rPr>
      </w:pPr>
      <w:r>
        <w:rPr>
          <w:lang w:eastAsia="ko-KR"/>
        </w:rPr>
        <w:t>(soundscape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pPr>
        <w:keepNext/>
        <w:jc w:val="both"/>
        <w:rPr>
          <w:b/>
          <w:color w:val="000000"/>
        </w:rPr>
      </w:pPr>
      <w:r>
        <w:rPr>
          <w:b/>
          <w:color w:val="000000"/>
        </w:rPr>
        <w:br w:type="page"/>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widowControl w:val="0"/>
        <w:autoSpaceDE w:val="0"/>
        <w:autoSpaceDN w:val="0"/>
        <w:jc w:val="both"/>
        <w:outlineLvl w:val="0"/>
        <w:rPr>
          <w:b/>
          <w:color w:val="000000"/>
          <w:kern w:val="2"/>
          <w:szCs w:val="24"/>
          <w:lang w:eastAsia="ko-KR"/>
        </w:rPr>
      </w:pPr>
      <w:r>
        <w:rPr>
          <w:b/>
          <w:color w:val="000000"/>
          <w:kern w:val="2"/>
          <w:szCs w:val="24"/>
          <w:lang w:eastAsia="ko-KR"/>
        </w:rPr>
        <w:t>Appendix B. Characteristics of included studies</w:t>
      </w:r>
    </w:p>
    <w:p>
      <w:pPr>
        <w:spacing w:before="160" w:after="80" w:line="240" w:lineRule="auto"/>
      </w:pPr>
      <w:r>
        <w:rPr>
          <w:b/>
          <w:sz w:val="22"/>
        </w:rPr>
        <w:t>Table B1.</w:t>
      </w:r>
      <w:r>
        <w:rPr>
          <w:sz w:val="22"/>
        </w:rPr>
        <w:t xml:space="preserve"> Studies included in the review (n = 98).</w:t>
      </w:r>
    </w:p>
    <w:tbl>
      <w:tblPr>
        <w:tblStyle w:val="af9"/>
        <w:tblW w:w="5000" w:type="pct"/>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3228"/>
        <w:gridCol w:w="1984"/>
        <w:gridCol w:w="1700"/>
        <w:gridCol w:w="2267"/>
        <w:gridCol w:w="2834"/>
        <w:gridCol w:w="1097"/>
        <w:gridCol w:w="1060"/>
      </w:tblGrid>
      <w:tr>
        <w:trPr>
          <w:jc w:val="center"/>
        </w:trPr>
        <w:tc>
          <w:tcPr>
            <w:tcW w:w="1139" w:type="pct"/>
            <w:vAlign w:val="center"/>
          </w:tcPr>
          <w:p>
            <w:pPr>
              <w:spacing w:line="240" w:lineRule="auto"/>
            </w:pPr>
            <w:r>
              <w:rPr>
                <w:b/>
                <w:sz w:val="22"/>
              </w:rPr>
              <w:t>Study</w:t>
            </w:r>
          </w:p>
        </w:tc>
        <w:tc>
          <w:tcPr>
            <w:tcW w:w="700" w:type="pct"/>
            <w:vAlign w:val="center"/>
          </w:tcPr>
          <w:p>
            <w:pPr>
              <w:spacing w:line="240" w:lineRule="auto"/>
            </w:pPr>
            <w:r>
              <w:rPr>
                <w:b/>
                <w:sz w:val="22"/>
              </w:rPr>
              <w:t>Country</w:t>
            </w:r>
          </w:p>
        </w:tc>
        <w:tc>
          <w:tcPr>
            <w:tcW w:w="600" w:type="pct"/>
            <w:vAlign w:val="center"/>
          </w:tcPr>
          <w:p>
            <w:pPr>
              <w:spacing w:line="240" w:lineRule="auto"/>
            </w:pPr>
            <w:r>
              <w:rPr>
                <w:b/>
                <w:sz w:val="22"/>
              </w:rPr>
              <w:t>Setting</w:t>
            </w:r>
          </w:p>
        </w:tc>
        <w:tc>
          <w:tcPr>
            <w:tcW w:w="800" w:type="pct"/>
            <w:vAlign w:val="center"/>
          </w:tcPr>
          <w:p>
            <w:pPr>
              <w:spacing w:line="240" w:lineRule="auto"/>
            </w:pPr>
            <w:r>
              <w:rPr>
                <w:b/>
                <w:sz w:val="22"/>
              </w:rPr>
              <w:t>Design</w:t>
            </w:r>
          </w:p>
        </w:tc>
        <w:tc>
          <w:tcPr>
            <w:tcW w:w="1000" w:type="pct"/>
            <w:vAlign w:val="center"/>
          </w:tcPr>
          <w:p>
            <w:pPr>
              <w:spacing w:line="240" w:lineRule="auto"/>
            </w:pPr>
            <w:r>
              <w:rPr>
                <w:b/>
                <w:sz w:val="22"/>
              </w:rPr>
              <w:t>Behavioural domain</w:t>
            </w:r>
          </w:p>
        </w:tc>
        <w:tc>
          <w:tcPr>
            <w:tcW w:w="387" w:type="pct"/>
            <w:vAlign w:val="center"/>
          </w:tcPr>
          <w:p>
            <w:pPr>
              <w:spacing w:line="240" w:lineRule="auto"/>
            </w:pPr>
            <w:r>
              <w:rPr>
                <w:b/>
                <w:sz w:val="22"/>
              </w:rPr>
              <w:t>Direction</w:t>
            </w:r>
          </w:p>
        </w:tc>
        <w:tc>
          <w:tcPr>
            <w:tcW w:w="374" w:type="pct"/>
            <w:vAlign w:val="center"/>
          </w:tcPr>
          <w:p>
            <w:pPr>
              <w:spacing w:line="240" w:lineRule="auto"/>
            </w:pPr>
            <w:r>
              <w:rPr>
                <w:b/>
                <w:sz w:val="22"/>
              </w:rPr>
              <w:t>MMAT</w:t>
            </w:r>
          </w:p>
        </w:tc>
      </w:tr>
      <w:tr>
        <w:trPr>
          <w:jc w:val="center"/>
        </w:trPr>
        <w:tc>
          <w:tcPr>
            <w:tcW w:w="1139" w:type="pct"/>
            <w:vAlign w:val="center"/>
          </w:tcPr>
          <w:p>
            <w:pPr>
              <w:spacing w:line="240" w:lineRule="auto"/>
            </w:pPr>
            <w:r>
              <w:rPr>
                <w:sz w:val="22"/>
              </w:rPr>
              <w:t>Adejube (2025)</w:t>
            </w:r>
          </w:p>
        </w:tc>
        <w:tc>
          <w:tcPr>
            <w:tcW w:w="700" w:type="pct"/>
            <w:vAlign w:val="center"/>
          </w:tcPr>
          <w:p>
            <w:pPr>
              <w:spacing w:line="240" w:lineRule="auto"/>
            </w:pPr>
            <w:r>
              <w:rPr>
                <w:sz w:val="22"/>
              </w:rPr>
              <w:t>Nigeria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Social; activity; staying</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Aletta &amp; Van Renterghem (2021)</w:t>
            </w:r>
          </w:p>
        </w:tc>
        <w:tc>
          <w:tcPr>
            <w:tcW w:w="700" w:type="pct"/>
            <w:vAlign w:val="center"/>
          </w:tcPr>
          <w:p>
            <w:pPr>
              <w:spacing w:line="240" w:lineRule="auto"/>
            </w:pPr>
            <w:r>
              <w:rPr>
                <w:sz w:val="22"/>
              </w:rPr>
              <w:t>Belgium</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Aletta et al. (2016)</w:t>
            </w:r>
          </w:p>
        </w:tc>
        <w:tc>
          <w:tcPr>
            <w:tcW w:w="700" w:type="pct"/>
            <w:vAlign w:val="center"/>
          </w:tcPr>
          <w:p>
            <w:pPr>
              <w:spacing w:line="240" w:lineRule="auto"/>
            </w:pPr>
            <w:r>
              <w:rPr>
                <w:sz w:val="22"/>
              </w:rPr>
              <w:t>United Kingdom</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Alishahi et al. (2021)</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Alves et al. (2021)</w:t>
            </w:r>
          </w:p>
        </w:tc>
        <w:tc>
          <w:tcPr>
            <w:tcW w:w="700" w:type="pct"/>
            <w:vAlign w:val="center"/>
          </w:tcPr>
          <w:p>
            <w:pPr>
              <w:spacing w:line="240" w:lineRule="auto"/>
            </w:pPr>
            <w:r>
              <w:rPr>
                <w:sz w:val="22"/>
              </w:rPr>
              <w:t>Italy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social; activity;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Ba et al. (2020)</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Ba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Ba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Bao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Berkouk et al. (2020)</w:t>
            </w:r>
          </w:p>
        </w:tc>
        <w:tc>
          <w:tcPr>
            <w:tcW w:w="700" w:type="pct"/>
            <w:vAlign w:val="center"/>
          </w:tcPr>
          <w:p>
            <w:pPr>
              <w:spacing w:line="240" w:lineRule="auto"/>
            </w:pPr>
            <w:r>
              <w:rPr>
                <w:sz w:val="22"/>
              </w:rPr>
              <w:t>Algeria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Bild et al. (2018)</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Bild et al. (2019)</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Activity; social; 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Bishop &amp; Marshall (2014)</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Boles &amp; Hayward (1978)</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NR</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Burrows et al. (2018)</w:t>
            </w:r>
          </w:p>
        </w:tc>
        <w:tc>
          <w:tcPr>
            <w:tcW w:w="700" w:type="pct"/>
            <w:vAlign w:val="center"/>
          </w:tcPr>
          <w:p>
            <w:pPr>
              <w:spacing w:line="240" w:lineRule="auto"/>
            </w:pPr>
            <w:r>
              <w:rPr>
                <w:sz w:val="22"/>
              </w:rPr>
              <w:t>Ireland</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Calafiore &amp; Tong (2025)</w:t>
            </w:r>
          </w:p>
        </w:tc>
        <w:tc>
          <w:tcPr>
            <w:tcW w:w="700" w:type="pct"/>
            <w:vAlign w:val="center"/>
          </w:tcPr>
          <w:p>
            <w:pPr>
              <w:spacing w:line="240" w:lineRule="auto"/>
            </w:pPr>
            <w:r>
              <w:rPr>
                <w:sz w:val="22"/>
              </w:rPr>
              <w:t>Australia; United Kingdom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Cao &amp; Kang (2021)</w:t>
            </w:r>
          </w:p>
        </w:tc>
        <w:tc>
          <w:tcPr>
            <w:tcW w:w="700" w:type="pct"/>
            <w:vAlign w:val="center"/>
          </w:tcPr>
          <w:p>
            <w:pPr>
              <w:spacing w:line="240" w:lineRule="auto"/>
            </w:pPr>
            <w:r>
              <w:rPr>
                <w:sz w:val="22"/>
              </w:rPr>
              <w:t>China; United Kingdom</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Cerwén et al. (2016)</w:t>
            </w:r>
          </w:p>
        </w:tc>
        <w:tc>
          <w:tcPr>
            <w:tcW w:w="700" w:type="pct"/>
            <w:vAlign w:val="center"/>
          </w:tcPr>
          <w:p>
            <w:pPr>
              <w:spacing w:line="240" w:lineRule="auto"/>
            </w:pPr>
            <w:r>
              <w:rPr>
                <w:sz w:val="22"/>
              </w:rPr>
              <w:t>Sweden</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Space use; staying; 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Chen &amp; Kang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Chen &amp; Kang (2025)</w:t>
            </w:r>
          </w:p>
        </w:tc>
        <w:tc>
          <w:tcPr>
            <w:tcW w:w="700" w:type="pct"/>
            <w:vAlign w:val="center"/>
          </w:tcPr>
          <w:p>
            <w:pPr>
              <w:spacing w:line="240" w:lineRule="auto"/>
            </w:pPr>
            <w:r>
              <w:rPr>
                <w:sz w:val="22"/>
              </w:rPr>
              <w:t>United Kingdom</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Social; 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Chen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Chen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Derbal &amp; Rahmane (2024)</w:t>
            </w:r>
          </w:p>
        </w:tc>
        <w:tc>
          <w:tcPr>
            <w:tcW w:w="700" w:type="pct"/>
            <w:vAlign w:val="center"/>
          </w:tcPr>
          <w:p>
            <w:pPr>
              <w:spacing w:line="240" w:lineRule="auto"/>
            </w:pPr>
            <w:r>
              <w:rPr>
                <w:sz w:val="22"/>
              </w:rPr>
              <w:t>Algeria; France</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social;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Di Loreto et al. (2022)</w:t>
            </w:r>
          </w:p>
        </w:tc>
        <w:tc>
          <w:tcPr>
            <w:tcW w:w="700" w:type="pct"/>
            <w:vAlign w:val="center"/>
          </w:tcPr>
          <w:p>
            <w:pPr>
              <w:spacing w:line="240" w:lineRule="auto"/>
            </w:pPr>
            <w:r>
              <w:rPr>
                <w:sz w:val="22"/>
              </w:rPr>
              <w:t>Italy</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Dzhambov et al. (2026)</w:t>
            </w:r>
          </w:p>
        </w:tc>
        <w:tc>
          <w:tcPr>
            <w:tcW w:w="700" w:type="pct"/>
            <w:vAlign w:val="center"/>
          </w:tcPr>
          <w:p>
            <w:pPr>
              <w:spacing w:line="240" w:lineRule="auto"/>
            </w:pPr>
            <w:r>
              <w:rPr>
                <w:sz w:val="22"/>
              </w:rPr>
              <w:t>Bulgaria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Fang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Fang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Franěk &amp; Režný (2021)</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Franěk et al. (2014)</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Franěk et al. (2018)</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Franěk et al. (2019)</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Fu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Fu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Gao &amp; Fang (2025)</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Gao &amp; Fang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Gidlöf-Gunnarsson &amp; Öhrström (2007)</w:t>
            </w:r>
          </w:p>
        </w:tc>
        <w:tc>
          <w:tcPr>
            <w:tcW w:w="700" w:type="pct"/>
            <w:vAlign w:val="center"/>
          </w:tcPr>
          <w:p>
            <w:pPr>
              <w:spacing w:line="240" w:lineRule="auto"/>
            </w:pPr>
            <w:r>
              <w:rPr>
                <w:sz w:val="22"/>
              </w:rPr>
              <w:t>Sweden</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Guo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Guo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Han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social; activity; 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Herrmann-Lunecke et al. (2021)</w:t>
            </w:r>
          </w:p>
        </w:tc>
        <w:tc>
          <w:tcPr>
            <w:tcW w:w="700" w:type="pct"/>
            <w:vAlign w:val="center"/>
          </w:tcPr>
          <w:p>
            <w:pPr>
              <w:spacing w:line="240" w:lineRule="auto"/>
            </w:pPr>
            <w:r>
              <w:rPr>
                <w:sz w:val="22"/>
              </w:rPr>
              <w:t>Chile</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Hong &amp; Jeon (2020)</w:t>
            </w:r>
          </w:p>
        </w:tc>
        <w:tc>
          <w:tcPr>
            <w:tcW w:w="700" w:type="pct"/>
            <w:vAlign w:val="center"/>
          </w:tcPr>
          <w:p>
            <w:pPr>
              <w:spacing w:line="240" w:lineRule="auto"/>
            </w:pPr>
            <w:r>
              <w:rPr>
                <w:sz w:val="22"/>
              </w:rPr>
              <w:t>South Korea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Hosseini &amp; Kowkabi (2023)</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Huang et al. (2023)</w:t>
            </w:r>
          </w:p>
        </w:tc>
        <w:tc>
          <w:tcPr>
            <w:tcW w:w="700" w:type="pct"/>
            <w:vAlign w:val="center"/>
          </w:tcPr>
          <w:p>
            <w:pPr>
              <w:spacing w:line="240" w:lineRule="auto"/>
            </w:pPr>
            <w:r>
              <w:rPr>
                <w:sz w:val="22"/>
              </w:rPr>
              <w:t>Finland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Hüg et al. (2026)</w:t>
            </w:r>
          </w:p>
        </w:tc>
        <w:tc>
          <w:tcPr>
            <w:tcW w:w="700" w:type="pct"/>
            <w:vAlign w:val="center"/>
          </w:tcPr>
          <w:p>
            <w:pPr>
              <w:spacing w:line="240" w:lineRule="auto"/>
            </w:pPr>
            <w:r>
              <w:rPr>
                <w:sz w:val="22"/>
              </w:rPr>
              <w:t>Argentina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Jin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Jo &amp; Jeon (2020)</w:t>
            </w:r>
          </w:p>
        </w:tc>
        <w:tc>
          <w:tcPr>
            <w:tcW w:w="700" w:type="pct"/>
            <w:vAlign w:val="center"/>
          </w:tcPr>
          <w:p>
            <w:pPr>
              <w:spacing w:line="240" w:lineRule="auto"/>
            </w:pPr>
            <w:r>
              <w:rPr>
                <w:sz w:val="22"/>
              </w:rPr>
              <w:t>France</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Social; 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Joo et al. (2024)</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Kim &amp; Shin (2021)</w:t>
            </w:r>
          </w:p>
        </w:tc>
        <w:tc>
          <w:tcPr>
            <w:tcW w:w="700" w:type="pct"/>
            <w:vAlign w:val="center"/>
          </w:tcPr>
          <w:p>
            <w:pPr>
              <w:spacing w:line="240" w:lineRule="auto"/>
            </w:pPr>
            <w:r>
              <w:rPr>
                <w:sz w:val="22"/>
              </w:rPr>
              <w:t>South Korea</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Activity; movement;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Krog et al. (2010)</w:t>
            </w:r>
          </w:p>
        </w:tc>
        <w:tc>
          <w:tcPr>
            <w:tcW w:w="700" w:type="pct"/>
            <w:vAlign w:val="center"/>
          </w:tcPr>
          <w:p>
            <w:pPr>
              <w:spacing w:line="240" w:lineRule="auto"/>
            </w:pPr>
            <w:r>
              <w:rPr>
                <w:sz w:val="22"/>
              </w:rPr>
              <w:t>Norway</w:t>
            </w:r>
          </w:p>
        </w:tc>
        <w:tc>
          <w:tcPr>
            <w:tcW w:w="600" w:type="pct"/>
            <w:vAlign w:val="center"/>
          </w:tcPr>
          <w:p>
            <w:pPr>
              <w:spacing w:line="240" w:lineRule="auto"/>
            </w:pPr>
            <w:r>
              <w:rPr>
                <w:sz w:val="22"/>
              </w:rPr>
              <w:t>Recreation area</w:t>
            </w:r>
          </w:p>
        </w:tc>
        <w:tc>
          <w:tcPr>
            <w:tcW w:w="800" w:type="pct"/>
            <w:vAlign w:val="center"/>
          </w:tcPr>
          <w:p>
            <w:pPr>
              <w:spacing w:line="240" w:lineRule="auto"/>
            </w:pPr>
            <w:r>
              <w:rPr>
                <w:sz w:val="22"/>
              </w:rPr>
              <w:t>Quasi-experiment</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Lai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movement;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Lenzi et al. (2021)</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Quasi-experiment</w:t>
            </w:r>
          </w:p>
        </w:tc>
        <w:tc>
          <w:tcPr>
            <w:tcW w:w="1000" w:type="pct"/>
            <w:vAlign w:val="center"/>
          </w:tcPr>
          <w:p>
            <w:pPr>
              <w:spacing w:line="240" w:lineRule="auto"/>
            </w:pPr>
            <w:r>
              <w:rPr>
                <w:sz w:val="22"/>
              </w:rPr>
              <w:t>Movement; space use; 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Li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Lin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Liu et al. (2019)</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Lobo Soares &amp; Bento Coelho (2016)</w:t>
            </w:r>
          </w:p>
        </w:tc>
        <w:tc>
          <w:tcPr>
            <w:tcW w:w="700" w:type="pct"/>
            <w:vAlign w:val="center"/>
          </w:tcPr>
          <w:p>
            <w:pPr>
              <w:spacing w:line="240" w:lineRule="auto"/>
            </w:pPr>
            <w:r>
              <w:rPr>
                <w:sz w:val="22"/>
              </w:rPr>
              <w:t>Brazil; Portugal</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Lu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Mansouri et al. (2025)</w:t>
            </w:r>
          </w:p>
        </w:tc>
        <w:tc>
          <w:tcPr>
            <w:tcW w:w="700" w:type="pct"/>
            <w:vAlign w:val="center"/>
          </w:tcPr>
          <w:p>
            <w:pPr>
              <w:spacing w:line="240" w:lineRule="auto"/>
            </w:pPr>
            <w:r>
              <w:rPr>
                <w:sz w:val="22"/>
              </w:rPr>
              <w:t>Algeria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Marquart et al. (2022)</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Mathews &amp; Canon (1975)</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&amp; Kang (2015)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&amp; Kang (2016)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Meng et al. (2017)</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Merlino et al. (2023)</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Montes González et al. (2023)</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Morillas et al. (2024)</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Moser (1988)</w:t>
            </w:r>
          </w:p>
        </w:tc>
        <w:tc>
          <w:tcPr>
            <w:tcW w:w="700" w:type="pct"/>
            <w:vAlign w:val="center"/>
          </w:tcPr>
          <w:p>
            <w:pPr>
              <w:spacing w:line="240" w:lineRule="auto"/>
            </w:pPr>
            <w:r>
              <w:rPr>
                <w:sz w:val="22"/>
              </w:rPr>
              <w:t>France</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Nguyen et al. (2025)</w:t>
            </w:r>
          </w:p>
        </w:tc>
        <w:tc>
          <w:tcPr>
            <w:tcW w:w="700" w:type="pct"/>
            <w:vAlign w:val="center"/>
          </w:tcPr>
          <w:p>
            <w:pPr>
              <w:spacing w:line="240" w:lineRule="auto"/>
            </w:pPr>
            <w:r>
              <w:rPr>
                <w:sz w:val="22"/>
              </w:rPr>
              <w:t>Japan; Vietnam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Ozturk et al. (2026)</w:t>
            </w:r>
          </w:p>
        </w:tc>
        <w:tc>
          <w:tcPr>
            <w:tcW w:w="700" w:type="pct"/>
            <w:vAlign w:val="center"/>
          </w:tcPr>
          <w:p>
            <w:pPr>
              <w:spacing w:line="240" w:lineRule="auto"/>
            </w:pPr>
            <w:r>
              <w:rPr>
                <w:sz w:val="22"/>
              </w:rPr>
              <w:t>Germany; Ireland; Italy; Switzerland; Türkiye; United Kingdom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social; space use;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Pakravan (2017)</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Space use; social; movement</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Peng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Ramón-Turner et al. (2025)</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Ren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Rey Gozalo et al. (2018)</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Rey Gozalo et al. (2019)</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Routhier et al. (2024)</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Schrapel et al. (2022)</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Soares et al. (2020)</w:t>
            </w:r>
          </w:p>
        </w:tc>
        <w:tc>
          <w:tcPr>
            <w:tcW w:w="700" w:type="pct"/>
            <w:vAlign w:val="center"/>
          </w:tcPr>
          <w:p>
            <w:pPr>
              <w:spacing w:line="240" w:lineRule="auto"/>
            </w:pPr>
            <w:r>
              <w:rPr>
                <w:sz w:val="22"/>
              </w:rPr>
              <w:t>Portugal</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Steele et al. (2019)</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staying;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Takada et al. (2022)</w:t>
            </w:r>
          </w:p>
        </w:tc>
        <w:tc>
          <w:tcPr>
            <w:tcW w:w="700" w:type="pct"/>
            <w:vAlign w:val="center"/>
          </w:tcPr>
          <w:p>
            <w:pPr>
              <w:spacing w:line="240" w:lineRule="auto"/>
            </w:pPr>
            <w:r>
              <w:rPr>
                <w:sz w:val="22"/>
              </w:rPr>
              <w:t>Taiwan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Social; movement</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Tarlao et al. (2021)</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Toutouh &amp; Alba (2022)</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Uebel et al. (2022)</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Wall et al. (2004)</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Wang &amp; Xiao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activity;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Wogan &amp; Kennedy (2024)</w:t>
            </w:r>
          </w:p>
        </w:tc>
        <w:tc>
          <w:tcPr>
            <w:tcW w:w="700" w:type="pct"/>
            <w:vAlign w:val="center"/>
          </w:tcPr>
          <w:p>
            <w:pPr>
              <w:spacing w:line="240" w:lineRule="auto"/>
            </w:pPr>
            <w:r>
              <w:rPr>
                <w:sz w:val="22"/>
              </w:rPr>
              <w:t>Ireland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Xiao &amp; Hilton (2019)</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Xu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movement</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Yin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Yu &amp; Kang (2010)</w:t>
            </w:r>
          </w:p>
        </w:tc>
        <w:tc>
          <w:tcPr>
            <w:tcW w:w="700" w:type="pct"/>
            <w:vAlign w:val="center"/>
          </w:tcPr>
          <w:p>
            <w:pPr>
              <w:spacing w:line="240" w:lineRule="auto"/>
            </w:pPr>
            <w:r>
              <w:rPr>
                <w:sz w:val="22"/>
              </w:rPr>
              <w:t>China; Germany; Greece; Italy; Switzerland; United Kingdom</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Yu (2025)</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Zhang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Zhao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Zhao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Zhou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bl>
    <w:p>
      <w:pPr>
        <w:spacing w:before="160" w:after="80" w:line="240" w:lineRule="auto"/>
      </w:pPr>
      <w:r>
        <w:rPr>
          <w:i/>
          <w:sz w:val="22"/>
        </w:rPr>
        <w:t>Note.</w:t>
      </w:r>
      <w:r>
        <w:rPr>
          <w:sz w:val="22"/>
        </w:rPr>
        <w:t xml:space="preserve"> A study can contribute to more than one behavioural domain. Direction: forward = acoustic environment to behaviour; reverse = behaviour or activity to acoustic environment or soundscape; both = both directions examined. MMAT = Mixed Methods Appraisal Tool 2018 grade. NR = not reported.</w:t>
      </w:r>
    </w:p>
    <w:p>
      <w:pPr>
        <w:spacing w:after="120" w:line="240" w:lineRule="auto"/>
        <w:rPr>
          <w:lang w:eastAsia="ko-KR"/>
        </w:rPr>
      </w:pPr>
    </w:p>
    <w:sectPr>
      <w:pgSz w:w="16834" w:h="11909" w:orient="landscape"/>
      <w:pgMar w:top="169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A7"/>
    <w:rsid w:val="000A361F"/>
    <w:rsid w:val="000C09B0"/>
    <w:rsid w:val="000E4AFA"/>
    <w:rsid w:val="0015074B"/>
    <w:rsid w:val="001709DB"/>
    <w:rsid w:val="001F7F78"/>
    <w:rsid w:val="002213AF"/>
    <w:rsid w:val="00270AA8"/>
    <w:rsid w:val="0029639D"/>
    <w:rsid w:val="002A67CD"/>
    <w:rsid w:val="002C248C"/>
    <w:rsid w:val="002D7A64"/>
    <w:rsid w:val="00326F90"/>
    <w:rsid w:val="00364E2C"/>
    <w:rsid w:val="00371039"/>
    <w:rsid w:val="003B1565"/>
    <w:rsid w:val="00465C39"/>
    <w:rsid w:val="00484A67"/>
    <w:rsid w:val="005160CB"/>
    <w:rsid w:val="00527C9F"/>
    <w:rsid w:val="00570F64"/>
    <w:rsid w:val="0062474E"/>
    <w:rsid w:val="006C5A6C"/>
    <w:rsid w:val="006D25D7"/>
    <w:rsid w:val="006D43F6"/>
    <w:rsid w:val="00766642"/>
    <w:rsid w:val="007A6CF2"/>
    <w:rsid w:val="007B6691"/>
    <w:rsid w:val="00A40075"/>
    <w:rsid w:val="00AA1D8D"/>
    <w:rsid w:val="00B4406D"/>
    <w:rsid w:val="00B47730"/>
    <w:rsid w:val="00B54CB9"/>
    <w:rsid w:val="00B87F7A"/>
    <w:rsid w:val="00C3055A"/>
    <w:rsid w:val="00C95DD5"/>
    <w:rsid w:val="00CA1AA4"/>
    <w:rsid w:val="00CB0664"/>
    <w:rsid w:val="00DA5885"/>
    <w:rsid w:val="00DF77E7"/>
    <w:rsid w:val="00E640D4"/>
    <w:rsid w:val="00EA1EDC"/>
    <w:rsid w:val="00F635D9"/>
    <w:rsid w:val="00F67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9B3C"/>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53</Pages>
  <Words>9818</Words>
  <Characters>55965</Characters>
  <Application>Microsoft Office Word</Application>
  <DocSecurity>0</DocSecurity>
  <Lines>466</Lines>
  <Paragraphs>131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25</cp:revision>
  <dcterms:created xsi:type="dcterms:W3CDTF">2013-12-23T23:15:00Z</dcterms:created>
  <dcterms:modified xsi:type="dcterms:W3CDTF">2026-09-17T13:27:00Z</dcterms:modified>
  <cp:category/>
</cp:coreProperties>
</file>