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40" w:before="0"/>
        <w:jc w:val="center"/>
      </w:pPr>
      <w:r>
        <w:rPr>
          <w:rFonts w:ascii="Times New Roman" w:hAnsi="Times New Roman" w:cs="Times New Roman" w:eastAsia="바탕"/>
          <w:b/>
          <w:i w:val="0"/>
          <w:sz w:val="32"/>
        </w:rPr>
        <w:t>Soundscape and human behaviour in urban open space: a systematic review and meta-analysis of a bidirectional relationship</w:t>
      </w:r>
    </w:p>
    <w:p>
      <w:pPr>
        <w:spacing w:line="240" w:lineRule="auto" w:after="120" w:before="0"/>
        <w:ind w:left="432"/>
      </w:pPr>
      <w:r>
        <w:rPr>
          <w:rFonts w:ascii="Times New Roman" w:hAnsi="Times New Roman" w:cs="Times New Roman" w:eastAsia="바탕"/>
          <w:b w:val="0"/>
          <w:i w:val="0"/>
          <w:sz w:val="22"/>
        </w:rPr>
        <w:t xml:space="preserve">이 판은 </w:t>
      </w:r>
      <w:r>
        <w:rPr>
          <w:rFonts w:ascii="Times New Roman" w:hAnsi="Times New Roman" w:cs="Times New Roman" w:eastAsia="바탕"/>
          <w:b/>
          <w:i w:val="0"/>
          <w:sz w:val="22"/>
        </w:rPr>
        <w:t>내용 검토용 한글본</w:t>
      </w:r>
      <w:r>
        <w:rPr>
          <w:rFonts w:ascii="Times New Roman" w:hAnsi="Times New Roman" w:cs="Times New Roman" w:eastAsia="바탕"/>
          <w:b w:val="0"/>
          <w:i w:val="0"/>
          <w:sz w:val="22"/>
        </w:rPr>
        <w:t>이다. 제목·절 제목·표·그림은 투고본과 동일하게 영문으로 두고, 산문만 한글로 썼다. 수치는 전부 정본 데이터에서 산출한 것으로 영문본과 동일하다.</w:t>
      </w:r>
    </w:p>
    <w:p>
      <w:pPr>
        <w:spacing w:line="240" w:lineRule="auto" w:after="100" w:before="240"/>
      </w:pPr>
      <w:r>
        <w:rPr>
          <w:rFonts w:ascii="Times New Roman" w:hAnsi="Times New Roman" w:cs="Times New Roman" w:eastAsia="바탕"/>
          <w:b/>
          <w:i w:val="0"/>
          <w:sz w:val="24"/>
        </w:rPr>
        <w:t>Author information</w:t>
      </w:r>
    </w:p>
    <w:p>
      <w:pPr>
        <w:spacing w:line="240" w:lineRule="auto" w:after="80" w:before="0"/>
      </w:pPr>
      <w:r>
        <w:rPr>
          <w:rFonts w:ascii="Times New Roman" w:hAnsi="Times New Roman" w:cs="Times New Roman" w:eastAsia="바탕"/>
          <w:b/>
          <w:i w:val="0"/>
          <w:sz w:val="24"/>
        </w:rPr>
        <w:t>Authors</w:t>
      </w:r>
      <w:r>
        <w:rPr>
          <w:rFonts w:ascii="Times New Roman" w:hAnsi="Times New Roman" w:cs="Times New Roman" w:eastAsia="바탕"/>
          <w:b w:val="0"/>
          <w:i w:val="0"/>
          <w:sz w:val="24"/>
        </w:rPr>
        <w:t>: [저자 1]¹*, [저자 2]², …</w:t>
      </w:r>
    </w:p>
    <w:p>
      <w:pPr>
        <w:spacing w:line="240" w:lineRule="auto" w:after="80" w:before="0"/>
      </w:pPr>
      <w:r>
        <w:rPr>
          <w:rFonts w:ascii="Times New Roman" w:hAnsi="Times New Roman" w:cs="Times New Roman" w:eastAsia="바탕"/>
          <w:b w:val="0"/>
          <w:i w:val="0"/>
          <w:sz w:val="24"/>
        </w:rPr>
        <w:t>¹ [소속, 도시, 국가] · ² [소속, 도시, 국가]</w:t>
      </w:r>
    </w:p>
    <w:p>
      <w:pPr>
        <w:spacing w:line="240" w:lineRule="auto" w:after="80" w:before="0"/>
      </w:pPr>
      <w:r>
        <w:rPr>
          <w:rFonts w:ascii="Times New Roman" w:hAnsi="Times New Roman" w:cs="Times New Roman" w:eastAsia="바탕"/>
          <w:b w:val="0"/>
          <w:i w:val="0"/>
          <w:sz w:val="24"/>
        </w:rPr>
        <w:t>* 교신저자: [성명], [우편 주소], [이메일]</w:t>
      </w:r>
    </w:p>
    <w:p>
      <w:pPr>
        <w:spacing w:line="240" w:lineRule="auto" w:after="80" w:before="0"/>
      </w:pPr>
      <w:r>
        <w:rPr>
          <w:rFonts w:ascii="Times New Roman" w:hAnsi="Times New Roman" w:cs="Times New Roman" w:eastAsia="바탕"/>
          <w:b/>
          <w:i w:val="0"/>
          <w:sz w:val="24"/>
        </w:rPr>
        <w:t>ORCID</w:t>
      </w:r>
      <w:r>
        <w:rPr>
          <w:rFonts w:ascii="Times New Roman" w:hAnsi="Times New Roman" w:cs="Times New Roman" w:eastAsia="바탕"/>
          <w:b w:val="0"/>
          <w:i w:val="0"/>
          <w:sz w:val="24"/>
        </w:rPr>
        <w:t>: [0000-0000-0000-0000]</w:t>
      </w:r>
    </w:p>
    <w:p>
      <w:pPr>
        <w:spacing w:line="240" w:lineRule="auto" w:after="80" w:before="0"/>
      </w:pPr>
      <w:r>
        <w:rPr>
          <w:rFonts w:ascii="Times New Roman" w:hAnsi="Times New Roman" w:cs="Times New Roman" w:eastAsia="바탕"/>
          <w:b/>
          <w:i w:val="0"/>
          <w:sz w:val="24"/>
        </w:rPr>
        <w:t>CRediT author statement</w:t>
      </w:r>
      <w:r>
        <w:rPr>
          <w:rFonts w:ascii="Times New Roman" w:hAnsi="Times New Roman" w:cs="Times New Roman" w:eastAsia="바탕"/>
          <w:b w:val="0"/>
          <w:i w:val="0"/>
          <w:sz w:val="24"/>
        </w:rPr>
        <w:t xml:space="preserve"> Conceptualisation, [A1]; Methodology, [A1]; Software, [A1]; Formal analysis, [A1]; Investigation (screening, full-text assessment, data extraction, quality appraisal), [A1]; Data curation, [A1]; Writing — original draft, [A1]; Writing — review and editing, [A1, A2]; Visualisation, [A1]; Supervision, [A2]; Project administration, [A1].</w:t>
      </w:r>
    </w:p>
    <w:p>
      <w:pPr>
        <w:spacing w:line="240" w:lineRule="auto" w:after="80" w:before="0"/>
      </w:pPr>
      <w:r>
        <w:rPr>
          <w:rFonts w:ascii="Times New Roman" w:hAnsi="Times New Roman" w:cs="Times New Roman" w:eastAsia="바탕"/>
          <w:b w:val="0"/>
          <w:i w:val="0"/>
          <w:sz w:val="24"/>
        </w:rPr>
        <w:t xml:space="preserve">스크리닝·추출·품질평가는 </w:t>
      </w:r>
      <w:r>
        <w:rPr>
          <w:rFonts w:ascii="Times New Roman" w:hAnsi="Times New Roman" w:cs="Times New Roman" w:eastAsia="바탕"/>
          <w:b/>
          <w:i w:val="0"/>
          <w:sz w:val="24"/>
        </w:rPr>
        <w:t>한 명의 리뷰어</w:t>
      </w:r>
      <w:r>
        <w:rPr>
          <w:rFonts w:ascii="Times New Roman" w:hAnsi="Times New Roman" w:cs="Times New Roman" w:eastAsia="바탕"/>
          <w:b w:val="0"/>
          <w:i w:val="0"/>
          <w:sz w:val="24"/>
        </w:rPr>
        <w:t>가 AI 사전분류와 단계별 인간 검증을 병행해 수행했으며, 독립적인 제2 리뷰어는 참여하지 않았다. 이는 표준적인 2인 리뷰어 모형에서 벗어난 가장 큰 절차적 차이이며 Limitations에 명시한다.</w:t>
      </w:r>
    </w:p>
    <w:p>
      <w:pPr>
        <w:spacing w:line="240" w:lineRule="auto" w:after="80" w:before="0"/>
      </w:pPr>
      <w:r>
        <w:rPr>
          <w:rFonts w:ascii="Times New Roman" w:hAnsi="Times New Roman" w:cs="Times New Roman" w:eastAsia="바탕"/>
          <w:b/>
          <w:i w:val="0"/>
          <w:sz w:val="24"/>
        </w:rPr>
        <w:t>Funding</w:t>
      </w:r>
      <w:r>
        <w:rPr>
          <w:rFonts w:ascii="Times New Roman" w:hAnsi="Times New Roman" w:cs="Times New Roman" w:eastAsia="바탕"/>
          <w:b w:val="0"/>
          <w:i w:val="0"/>
          <w:sz w:val="24"/>
        </w:rPr>
        <w:t>: [본 연구는 공공·상업·비영리 부문의 특정 연구비 지원을 받지 않았다. / 과제 정보 기재.]</w:t>
      </w:r>
    </w:p>
    <w:p>
      <w:pPr>
        <w:spacing w:line="240" w:lineRule="auto" w:after="80" w:before="0"/>
      </w:pPr>
      <w:r>
        <w:rPr>
          <w:rFonts w:ascii="Times New Roman" w:hAnsi="Times New Roman" w:cs="Times New Roman" w:eastAsia="바탕"/>
          <w:b/>
          <w:i w:val="0"/>
          <w:sz w:val="24"/>
        </w:rPr>
        <w:t>Declaration of competing interest</w:t>
      </w:r>
      <w:r>
        <w:rPr>
          <w:rFonts w:ascii="Times New Roman" w:hAnsi="Times New Roman" w:cs="Times New Roman" w:eastAsia="바탕"/>
          <w:b w:val="0"/>
          <w:i w:val="0"/>
          <w:sz w:val="24"/>
        </w:rPr>
        <w:t>: 저자들은 본 논문에 영향을 줄 수 있는 경쟁적 재정 이해관계나 개인적 관계가 없음을 선언한다.</w:t>
      </w:r>
    </w:p>
    <w:p>
      <w:pPr>
        <w:spacing w:line="240" w:lineRule="auto" w:after="80" w:before="0"/>
      </w:pPr>
      <w:r>
        <w:rPr>
          <w:rFonts w:ascii="Times New Roman" w:hAnsi="Times New Roman" w:cs="Times New Roman" w:eastAsia="바탕"/>
          <w:b/>
          <w:i w:val="0"/>
          <w:sz w:val="24"/>
        </w:rPr>
        <w:t>Data availability</w:t>
      </w:r>
      <w:r>
        <w:rPr>
          <w:rFonts w:ascii="Times New Roman" w:hAnsi="Times New Roman" w:cs="Times New Roman" w:eastAsia="바탕"/>
          <w:b w:val="0"/>
          <w:i w:val="0"/>
          <w:sz w:val="24"/>
        </w:rPr>
        <w:t>: 리뷰 수준의 모든 자료를 공개한다. 등록 프로토콜은 osf.io/7ew8q에 있다. 추출표·판정표·MMAT 문항별 평가·메타분석 입력표·민감도 및 보완 분석·프로토콜 이탈 로그·포함 및 전문 배제 문헌 전건 목록을 Supplementary S1–S14로 제공한다. 포함 논문의 원문은 출판사 저작권 대상이므로 재배포하지 않으며 각 문헌은 DOI로 식별한다.</w:t>
      </w:r>
    </w:p>
    <w:p>
      <w:pPr>
        <w:spacing w:line="240" w:lineRule="auto" w:after="80" w:before="0"/>
      </w:pPr>
      <w:r>
        <w:rPr>
          <w:rFonts w:ascii="Times New Roman" w:hAnsi="Times New Roman" w:cs="Times New Roman" w:eastAsia="바탕"/>
          <w:b/>
          <w:i w:val="0"/>
          <w:sz w:val="24"/>
        </w:rPr>
        <w:t>Declaration of generative AI in the writing process</w:t>
      </w:r>
      <w:r>
        <w:rPr>
          <w:rFonts w:ascii="Times New Roman" w:hAnsi="Times New Roman" w:cs="Times New Roman" w:eastAsia="바탕"/>
          <w:b w:val="0"/>
          <w:i w:val="0"/>
          <w:sz w:val="24"/>
        </w:rPr>
        <w:t>: 저자들은 스크리닝 단계의 레코드 사전분류, 전문에서의 구조화 추출, 언어 교정에 대규모 언어모델을 사용했다. 모든 사전분류와 추출은 원문과 대조해 검증했으며 내용에 대한 책임은 전적으로 저자에게 있다.</w:t>
      </w:r>
    </w:p>
    <w:p>
      <w:pPr>
        <w:spacing w:line="240" w:lineRule="auto" w:after="80" w:before="0"/>
      </w:pPr>
      <w:r>
        <w:rPr>
          <w:rFonts w:ascii="Times New Roman" w:hAnsi="Times New Roman" w:cs="Times New Roman" w:eastAsia="바탕"/>
          <w:b w:val="0"/>
          <w:i w:val="0"/>
          <w:sz w:val="24"/>
        </w:rPr>
        <w:t>---</w:t>
      </w:r>
    </w:p>
    <w:p>
      <w:pPr>
        <w:spacing w:line="240" w:lineRule="auto" w:after="100" w:before="240"/>
      </w:pPr>
      <w:r>
        <w:rPr>
          <w:rFonts w:ascii="Times New Roman" w:hAnsi="Times New Roman" w:cs="Times New Roman" w:eastAsia="바탕"/>
          <w:b/>
          <w:i w:val="0"/>
          <w:sz w:val="24"/>
        </w:rPr>
        <w:t>Abstract</w:t>
      </w:r>
    </w:p>
    <w:p>
      <w:pPr>
        <w:spacing w:line="240" w:lineRule="auto" w:after="120" w:before="0"/>
      </w:pPr>
      <w:r>
        <w:rPr>
          <w:rFonts w:ascii="Times New Roman" w:hAnsi="Times New Roman" w:cs="Times New Roman" w:eastAsia="바탕"/>
          <w:b w:val="0"/>
          <w:i w:val="0"/>
          <w:sz w:val="24"/>
        </w:rPr>
        <w:t xml:space="preserve">사운드스케이프 연구는 사람들이 음환경을 </w:t>
      </w:r>
      <w:r>
        <w:rPr>
          <w:rFonts w:ascii="Times New Roman" w:hAnsi="Times New Roman" w:cs="Times New Roman" w:eastAsia="바탕"/>
          <w:b w:val="0"/>
          <w:i/>
          <w:sz w:val="24"/>
        </w:rPr>
        <w:t>어떻게 평가하는가</w:t>
      </w:r>
      <w:r>
        <w:rPr>
          <w:rFonts w:ascii="Times New Roman" w:hAnsi="Times New Roman" w:cs="Times New Roman" w:eastAsia="바탕"/>
          <w:b w:val="0"/>
          <w:i w:val="0"/>
          <w:sz w:val="24"/>
        </w:rPr>
        <w:t xml:space="preserve">를 정립해 왔으나, 그 안에서 </w:t>
      </w:r>
      <w:r>
        <w:rPr>
          <w:rFonts w:ascii="Times New Roman" w:hAnsi="Times New Roman" w:cs="Times New Roman" w:eastAsia="바탕"/>
          <w:b w:val="0"/>
          <w:i/>
          <w:sz w:val="24"/>
        </w:rPr>
        <w:t>무엇을 하는가</w:t>
      </w:r>
      <w:r>
        <w:rPr>
          <w:rFonts w:ascii="Times New Roman" w:hAnsi="Times New Roman" w:cs="Times New Roman" w:eastAsia="바탕"/>
          <w:b w:val="0"/>
          <w:i w:val="0"/>
          <w:sz w:val="24"/>
        </w:rPr>
        <w:t xml:space="preserve">는 종합된 적이 없다. 본 연구는 도시 옥외공간에서 음환경과 관찰 가능한 행태의 관계를 </w:t>
      </w:r>
      <w:r>
        <w:rPr>
          <w:rFonts w:ascii="Times New Roman" w:hAnsi="Times New Roman" w:cs="Times New Roman" w:eastAsia="바탕"/>
          <w:b/>
          <w:i w:val="0"/>
          <w:sz w:val="24"/>
        </w:rPr>
        <w:t>양방향으로</w:t>
      </w:r>
      <w:r>
        <w:rPr>
          <w:rFonts w:ascii="Times New Roman" w:hAnsi="Times New Roman" w:cs="Times New Roman" w:eastAsia="바탕"/>
          <w:b w:val="0"/>
          <w:i w:val="0"/>
          <w:sz w:val="24"/>
        </w:rPr>
        <w:t xml:space="preserve"> 놓고 체계적으로 고찰·메타분석했다. 3개 데이터베이스를 검색하고(2026년 8월 2일), 등록한 대로 포함 문헌 전건의 인용 추적과 제4의 색인을 보조 경로로 병행했으며, 프로토콜은 스크리닝 착수 전에 등록했다(osf.io/7ew8q). </w:t>
      </w:r>
      <w:r>
        <w:rPr>
          <w:rFonts w:ascii="Times New Roman" w:hAnsi="Times New Roman" w:cs="Times New Roman" w:eastAsia="바탕"/>
          <w:b/>
          <w:i w:val="0"/>
          <w:sz w:val="24"/>
        </w:rPr>
        <w:t>98편</w:t>
      </w:r>
      <w:r>
        <w:rPr>
          <w:rFonts w:ascii="Times New Roman" w:hAnsi="Times New Roman" w:cs="Times New Roman" w:eastAsia="바탕"/>
          <w:b w:val="0"/>
          <w:i w:val="0"/>
          <w:sz w:val="24"/>
        </w:rPr>
        <w:t xml:space="preserve">이 적격했다. 품질은 MMAT 2018로 평가하고, 효과는 Hartung–Knapp 보정을 적용한 </w:t>
      </w:r>
      <w:r>
        <w:rPr>
          <w:rFonts w:ascii="Times New Roman" w:hAnsi="Times New Roman" w:cs="Times New Roman" w:eastAsia="바탕"/>
          <w:b/>
          <w:i w:val="0"/>
          <w:sz w:val="24"/>
        </w:rPr>
        <w:t>REML 랜덤효과 모형</w:t>
      </w:r>
      <w:r>
        <w:rPr>
          <w:rFonts w:ascii="Times New Roman" w:hAnsi="Times New Roman" w:cs="Times New Roman" w:eastAsia="바탕"/>
          <w:b w:val="0"/>
          <w:i w:val="0"/>
          <w:sz w:val="24"/>
        </w:rPr>
        <w:t xml:space="preserve">으로 합성했다. 네 클러스터 모두 이론적으로 예측된 방향을 가리켰으나 </w:t>
      </w:r>
      <w:r>
        <w:rPr>
          <w:rFonts w:ascii="Times New Roman" w:hAnsi="Times New Roman" w:cs="Times New Roman" w:eastAsia="바탕"/>
          <w:b/>
          <w:i w:val="0"/>
          <w:sz w:val="24"/>
        </w:rPr>
        <w:t>평균 효과가 0을 배제한 것은 둘뿐</w:t>
      </w:r>
      <w:r>
        <w:rPr>
          <w:rFonts w:ascii="Times New Roman" w:hAnsi="Times New Roman" w:cs="Times New Roman" w:eastAsia="바탕"/>
          <w:b w:val="0"/>
          <w:i w:val="0"/>
          <w:sz w:val="24"/>
        </w:rPr>
        <w:t>이었다 — 사회적 상호작용(</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4,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+0.68, 95% CI +0.20 ~ +1.16)과 지각–행태 상관(</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6,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+0.43, 95% CI +0.19 ~ +0.61). </w:t>
      </w:r>
      <w:r>
        <w:rPr>
          <w:rFonts w:ascii="Times New Roman" w:hAnsi="Times New Roman" w:cs="Times New Roman" w:eastAsia="바탕"/>
          <w:b/>
          <w:i w:val="0"/>
          <w:sz w:val="24"/>
        </w:rPr>
        <w:t>예측구간은 네 클러스터 전부 0을 포함했고</w:t>
      </w:r>
      <w:r>
        <w:rPr>
          <w:rFonts w:ascii="Times New Roman" w:hAnsi="Times New Roman" w:cs="Times New Roman" w:eastAsia="바탕"/>
          <w:b w:val="0"/>
          <w:i w:val="0"/>
          <w:sz w:val="24"/>
        </w:rPr>
        <w:t xml:space="preserve">, 최대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6이어서 보고편향 검정은 어느 클러스터에서도 불가능했다. 따라서 모든 합성 추정치는 상한으로 읽어야 한다. 사회적 상호작용 결과는 서로 다른 소음원을 쓴 두 현장실험이 </w:t>
      </w:r>
      <w:r>
        <w:rPr>
          <w:rFonts w:ascii="Times New Roman" w:hAnsi="Times New Roman" w:cs="Times New Roman" w:eastAsia="바탕"/>
          <w:b/>
          <w:i w:val="0"/>
          <w:sz w:val="24"/>
        </w:rPr>
        <w:t>13년 간격</w:t>
      </w:r>
      <w:r>
        <w:rPr>
          <w:rFonts w:ascii="Times New Roman" w:hAnsi="Times New Roman" w:cs="Times New Roman" w:eastAsia="바탕"/>
          <w:b w:val="0"/>
          <w:i w:val="0"/>
          <w:sz w:val="24"/>
        </w:rPr>
        <w:t xml:space="preserve">으로 같은 부호를 낸 데서 나왔다. 다만 자연음을 정온과 대비한 연구가 코퍼스에 한 편도 없으므로, 좋은 소리를 더하는 것과 나쁜 소리를 없애는 것은 분리되지 않는다. 가장 널리 인용되는 보행속도 효과는 </w:t>
      </w:r>
      <w:r>
        <w:rPr>
          <w:rFonts w:ascii="Times New Roman" w:hAnsi="Times New Roman" w:cs="Times New Roman" w:eastAsia="바탕"/>
          <w:b/>
          <w:i w:val="0"/>
          <w:sz w:val="24"/>
        </w:rPr>
        <w:t>전부 저품질 연구에 의존하며</w:t>
      </w:r>
      <w:r>
        <w:rPr>
          <w:rFonts w:ascii="Times New Roman" w:hAnsi="Times New Roman" w:cs="Times New Roman" w:eastAsia="바탕"/>
          <w:b w:val="0"/>
          <w:i w:val="0"/>
          <w:sz w:val="24"/>
        </w:rPr>
        <w:t xml:space="preserve">, 네 효과 중 셋이 공간의 소리가 아니라 </w:t>
      </w:r>
      <w:r>
        <w:rPr>
          <w:rFonts w:ascii="Times New Roman" w:hAnsi="Times New Roman" w:cs="Times New Roman" w:eastAsia="바탕"/>
          <w:b/>
          <w:i w:val="0"/>
          <w:sz w:val="24"/>
        </w:rPr>
        <w:t>헤드폰</w:t>
      </w:r>
      <w:r>
        <w:rPr>
          <w:rFonts w:ascii="Times New Roman" w:hAnsi="Times New Roman" w:cs="Times New Roman" w:eastAsia="바탕"/>
          <w:b w:val="0"/>
          <w:i w:val="0"/>
          <w:sz w:val="24"/>
        </w:rPr>
        <w:t xml:space="preserve">을 조작했고, 대체로 한 연구 프로그램이 한 경로에서 얻은 것이다. 추출된 방향성 레코드 187건 중 </w:t>
      </w:r>
      <w:r>
        <w:rPr>
          <w:rFonts w:ascii="Times New Roman" w:hAnsi="Times New Roman" w:cs="Times New Roman" w:eastAsia="바탕"/>
          <w:b/>
          <w:i w:val="0"/>
          <w:sz w:val="24"/>
        </w:rPr>
        <w:t>40%가 역방향</w:t>
      </w:r>
      <w:r>
        <w:rPr>
          <w:rFonts w:ascii="Times New Roman" w:hAnsi="Times New Roman" w:cs="Times New Roman" w:eastAsia="바탕"/>
          <w:b w:val="0"/>
          <w:i w:val="0"/>
          <w:sz w:val="24"/>
        </w:rPr>
        <w:t xml:space="preserve">으로 — 활동이 사운드스케이프를 만드는 방향 — 공간이용·활동·사회적 행태에서는 두 방향이 대등하다. 행태 측정 세대는 교체되지 않고 </w:t>
      </w:r>
      <w:r>
        <w:rPr>
          <w:rFonts w:ascii="Times New Roman" w:hAnsi="Times New Roman" w:cs="Times New Roman" w:eastAsia="바탕"/>
          <w:b/>
          <w:i w:val="0"/>
          <w:sz w:val="24"/>
        </w:rPr>
        <w:t>누적</w:t>
      </w:r>
      <w:r>
        <w:rPr>
          <w:rFonts w:ascii="Times New Roman" w:hAnsi="Times New Roman" w:cs="Times New Roman" w:eastAsia="바탕"/>
          <w:b w:val="0"/>
          <w:i w:val="0"/>
          <w:sz w:val="24"/>
        </w:rPr>
        <w:t xml:space="preserve">된다. 열 개의 계획 레버를 근거 강도와 함께 도출했으나 </w:t>
      </w:r>
      <w:r>
        <w:rPr>
          <w:rFonts w:ascii="Times New Roman" w:hAnsi="Times New Roman" w:cs="Times New Roman" w:eastAsia="바탕"/>
          <w:b/>
          <w:i w:val="0"/>
          <w:sz w:val="24"/>
        </w:rPr>
        <w:t>high에 도달한 것은 하나도 없고</w:t>
      </w:r>
      <w:r>
        <w:rPr>
          <w:rFonts w:ascii="Times New Roman" w:hAnsi="Times New Roman" w:cs="Times New Roman" w:eastAsia="바탕"/>
          <w:b w:val="0"/>
          <w:i w:val="0"/>
          <w:sz w:val="24"/>
        </w:rPr>
        <w:t xml:space="preserve">, 가장 잘 지지되는 조치는 사람들이 상호작용하도록 의도된 곳에서 </w:t>
      </w:r>
      <w:r>
        <w:rPr>
          <w:rFonts w:ascii="Times New Roman" w:hAnsi="Times New Roman" w:cs="Times New Roman" w:eastAsia="바탕"/>
          <w:b/>
          <w:i w:val="0"/>
          <w:sz w:val="24"/>
        </w:rPr>
        <w:t>운영 소음을 통제</w:t>
      </w:r>
      <w:r>
        <w:rPr>
          <w:rFonts w:ascii="Times New Roman" w:hAnsi="Times New Roman" w:cs="Times New Roman" w:eastAsia="바탕"/>
          <w:b w:val="0"/>
          <w:i w:val="0"/>
          <w:sz w:val="24"/>
        </w:rPr>
        <w:t>하는 것이다.</w:t>
      </w:r>
    </w:p>
    <w:p>
      <w:pPr>
        <w:spacing w:line="240" w:lineRule="auto" w:after="120" w:before="0"/>
      </w:pPr>
      <w:r>
        <w:rPr>
          <w:rFonts w:ascii="Times New Roman" w:hAnsi="Times New Roman" w:cs="Times New Roman" w:eastAsia="바탕"/>
          <w:b/>
          <w:i w:val="0"/>
          <w:sz w:val="24"/>
        </w:rPr>
        <w:t>Keywords</w:t>
      </w:r>
      <w:r>
        <w:rPr>
          <w:rFonts w:ascii="Times New Roman" w:hAnsi="Times New Roman" w:cs="Times New Roman" w:eastAsia="바탕"/>
          <w:b w:val="0"/>
          <w:i w:val="0"/>
          <w:sz w:val="24"/>
        </w:rPr>
        <w:t>: soundscape; behaviour; urban open space; systematic review; meta-analysis; landscape planning</w:t>
      </w:r>
    </w:p>
    <w:p>
      <w:pPr>
        <w:spacing w:line="240" w:lineRule="auto" w:after="100" w:before="240"/>
      </w:pPr>
      <w:r>
        <w:rPr>
          <w:rFonts w:ascii="Times New Roman" w:hAnsi="Times New Roman" w:cs="Times New Roman" w:eastAsia="바탕"/>
          <w:b/>
          <w:i w:val="0"/>
          <w:sz w:val="24"/>
        </w:rPr>
        <w:t>1. Introduction</w:t>
      </w:r>
    </w:p>
    <w:p>
      <w:pPr>
        <w:spacing w:line="240" w:lineRule="auto" w:after="120" w:before="0"/>
      </w:pPr>
      <w:r>
        <w:rPr>
          <w:rFonts w:ascii="Times New Roman" w:hAnsi="Times New Roman" w:cs="Times New Roman" w:eastAsia="바탕"/>
          <w:b/>
          <w:i w:val="0"/>
          <w:sz w:val="24"/>
        </w:rPr>
        <w:t>1.1 The gap.</w:t>
      </w:r>
      <w:r>
        <w:rPr>
          <w:rFonts w:ascii="Times New Roman" w:hAnsi="Times New Roman" w:cs="Times New Roman" w:eastAsia="바탕"/>
          <w:b w:val="0"/>
          <w:i w:val="0"/>
          <w:sz w:val="24"/>
        </w:rPr>
        <w:t xml:space="preserve"> 사운드스케이프 연구는 지각을 중심으로 성숙했다. ISO 12913이 쾌적성(pleasantness)과 사건성(eventfulness)을 기술 축으로 정식화한 이래, 사람들이 음환경을 </w:t>
      </w:r>
      <w:r>
        <w:rPr>
          <w:rFonts w:ascii="Times New Roman" w:hAnsi="Times New Roman" w:cs="Times New Roman" w:eastAsia="바탕"/>
          <w:b w:val="0"/>
          <w:i/>
          <w:sz w:val="24"/>
        </w:rPr>
        <w:t>어떻게 판단하는가</w:t>
      </w:r>
      <w:r>
        <w:rPr>
          <w:rFonts w:ascii="Times New Roman" w:hAnsi="Times New Roman" w:cs="Times New Roman" w:eastAsia="바탕"/>
          <w:b w:val="0"/>
          <w:i w:val="0"/>
          <w:sz w:val="24"/>
        </w:rPr>
        <w:t xml:space="preserve">에 관한 방대한 문헌이 축적됐다. 그러나 그 안에서 사람들이 </w:t>
      </w:r>
      <w:r>
        <w:rPr>
          <w:rFonts w:ascii="Times New Roman" w:hAnsi="Times New Roman" w:cs="Times New Roman" w:eastAsia="바탕"/>
          <w:b w:val="0"/>
          <w:i/>
          <w:sz w:val="24"/>
        </w:rPr>
        <w:t>무엇을 하는가</w:t>
      </w:r>
      <w:r>
        <w:rPr>
          <w:rFonts w:ascii="Times New Roman" w:hAnsi="Times New Roman" w:cs="Times New Roman" w:eastAsia="바탕"/>
          <w:b w:val="0"/>
          <w:i w:val="0"/>
          <w:sz w:val="24"/>
        </w:rPr>
        <w:t xml:space="preserve">는 훨씬 덜 체계적으로 연구됐고, 종합된 적은 없다. 정작 계획 의사결정은 평정값이 아니라 </w:t>
      </w:r>
      <w:r>
        <w:rPr>
          <w:rFonts w:ascii="Times New Roman" w:hAnsi="Times New Roman" w:cs="Times New Roman" w:eastAsia="바탕"/>
          <w:b/>
          <w:i w:val="0"/>
          <w:sz w:val="24"/>
        </w:rPr>
        <w:t>행태</w:t>
      </w:r>
      <w:r>
        <w:rPr>
          <w:rFonts w:ascii="Times New Roman" w:hAnsi="Times New Roman" w:cs="Times New Roman" w:eastAsia="바탕"/>
          <w:b w:val="0"/>
          <w:i w:val="0"/>
          <w:sz w:val="24"/>
        </w:rPr>
        <w:t>를 두고 내려진다 — 광장이 쓰이는가, 사람들이 머무는가, 낯선 사람끼리 말을 거는가.</w:t>
      </w:r>
    </w:p>
    <w:p>
      <w:pPr>
        <w:spacing w:line="240" w:lineRule="auto" w:after="120" w:before="0"/>
      </w:pPr>
      <w:r>
        <w:rPr>
          <w:rFonts w:ascii="Times New Roman" w:hAnsi="Times New Roman" w:cs="Times New Roman" w:eastAsia="바탕"/>
          <w:b/>
          <w:i w:val="0"/>
          <w:sz w:val="24"/>
        </w:rPr>
        <w:t>1.2 Why this review, why now.</w:t>
      </w:r>
      <w:r>
        <w:rPr>
          <w:rFonts w:ascii="Times New Roman" w:hAnsi="Times New Roman" w:cs="Times New Roman" w:eastAsia="바탕"/>
          <w:b w:val="0"/>
          <w:i w:val="0"/>
          <w:sz w:val="24"/>
        </w:rPr>
        <w:t xml:space="preserve"> 적격 문헌의 </w:t>
      </w:r>
      <w:r>
        <w:rPr>
          <w:rFonts w:ascii="Times New Roman" w:hAnsi="Times New Roman" w:cs="Times New Roman" w:eastAsia="바탕"/>
          <w:b/>
          <w:i w:val="0"/>
          <w:sz w:val="24"/>
        </w:rPr>
        <w:t>71%가 2020년 이후</w:t>
      </w:r>
      <w:r>
        <w:rPr>
          <w:rFonts w:ascii="Times New Roman" w:hAnsi="Times New Roman" w:cs="Times New Roman" w:eastAsia="바탕"/>
          <w:b w:val="0"/>
          <w:i w:val="0"/>
          <w:sz w:val="24"/>
        </w:rPr>
        <w:t>에 나왔다(98편 중 70편). 이 분야는 측정의 문턱을 넘었다. GPS 궤적·영상 분석·웨어러블이 행태를 처음으로 대규모 관찰 가능한 대상으로 만들었다. 5년 전에는 불가능했던 종합이 지금은 가능하다.</w:t>
      </w:r>
    </w:p>
    <w:p>
      <w:pPr>
        <w:spacing w:line="240" w:lineRule="auto" w:after="120" w:before="0"/>
      </w:pPr>
      <w:r>
        <w:rPr>
          <w:rFonts w:ascii="Times New Roman" w:hAnsi="Times New Roman" w:cs="Times New Roman" w:eastAsia="바탕"/>
          <w:b/>
          <w:i w:val="0"/>
          <w:sz w:val="24"/>
        </w:rPr>
        <w:t>1.3 The bidirectional framing.</w:t>
      </w:r>
      <w:r>
        <w:rPr>
          <w:rFonts w:ascii="Times New Roman" w:hAnsi="Times New Roman" w:cs="Times New Roman" w:eastAsia="바탕"/>
          <w:b w:val="0"/>
          <w:i w:val="0"/>
          <w:sz w:val="24"/>
        </w:rPr>
        <w:t xml:space="preserve"> 지배적 프레임은 소리를 노출로, 행태를 결과로 다룬다. 우리 코퍼스는 그 프레임이 불완전함을 보인다. 한 방향으로 흐르는 레코드 187건(단위는 연구 × 행태 도메인이며 연구 편수가 아니다) 가운데 </w:t>
      </w:r>
      <w:r>
        <w:rPr>
          <w:rFonts w:ascii="Times New Roman" w:hAnsi="Times New Roman" w:cs="Times New Roman" w:eastAsia="바탕"/>
          <w:b/>
          <w:i w:val="0"/>
          <w:sz w:val="24"/>
        </w:rPr>
        <w:t>40%가 역방향</w:t>
      </w:r>
      <w:r>
        <w:rPr>
          <w:rFonts w:ascii="Times New Roman" w:hAnsi="Times New Roman" w:cs="Times New Roman" w:eastAsia="바탕"/>
          <w:b w:val="0"/>
          <w:i w:val="0"/>
          <w:sz w:val="24"/>
        </w:rPr>
        <w:t xml:space="preserve">이다 — 군중 밀도·활동 프로그래밍·동반 여부가 음환경을 </w:t>
      </w:r>
      <w:r>
        <w:rPr>
          <w:rFonts w:ascii="Times New Roman" w:hAnsi="Times New Roman" w:cs="Times New Roman" w:eastAsia="바탕"/>
          <w:b w:val="0"/>
          <w:i/>
          <w:sz w:val="24"/>
        </w:rPr>
        <w:t>만든다</w:t>
      </w:r>
      <w:r>
        <w:rPr>
          <w:rFonts w:ascii="Times New Roman" w:hAnsi="Times New Roman" w:cs="Times New Roman" w:eastAsia="바탕"/>
          <w:b w:val="0"/>
          <w:i w:val="0"/>
          <w:sz w:val="24"/>
        </w:rPr>
        <w:t>. 공간이용·활동·사회적 행태에서는 두 방향이 거의 대등하다. "소리가 사람에게 무엇을 하는가"만 묻는 리뷰는 이 문헌이 측정한 것의 절반을 버리게 된다.</w:t>
      </w:r>
    </w:p>
    <w:p>
      <w:pPr>
        <w:spacing w:line="240" w:lineRule="auto" w:after="120" w:before="0"/>
      </w:pPr>
      <w:r>
        <w:rPr>
          <w:rFonts w:ascii="Times New Roman" w:hAnsi="Times New Roman" w:cs="Times New Roman" w:eastAsia="바탕"/>
          <w:b/>
          <w:i w:val="0"/>
          <w:sz w:val="24"/>
        </w:rPr>
        <w:t>1.4 Positioning.</w:t>
      </w:r>
      <w:r>
        <w:rPr>
          <w:rFonts w:ascii="Times New Roman" w:hAnsi="Times New Roman" w:cs="Times New Roman" w:eastAsia="바탕"/>
          <w:b w:val="0"/>
          <w:i w:val="0"/>
          <w:sz w:val="24"/>
        </w:rPr>
        <w:t xml:space="preserve"> 가장 인접한 리뷰(Cities &amp; Health, 2026)는 신체활동만 다루므로 부분집합이다. Zhang 등(2025, </w:t>
      </w:r>
      <w:r>
        <w:rPr>
          <w:rFonts w:ascii="Times New Roman" w:hAnsi="Times New Roman" w:cs="Times New Roman" w:eastAsia="바탕"/>
          <w:b w:val="0"/>
          <w:i/>
          <w:sz w:val="24"/>
        </w:rPr>
        <w:t>Landscape and Urban Planning</w:t>
      </w:r>
      <w:r>
        <w:rPr>
          <w:rFonts w:ascii="Times New Roman" w:hAnsi="Times New Roman" w:cs="Times New Roman" w:eastAsia="바탕"/>
          <w:b w:val="0"/>
          <w:i w:val="0"/>
          <w:sz w:val="24"/>
        </w:rPr>
        <w:t xml:space="preserve">)은 경관 → 지각을 메타분석했고, 본 리뷰는 그 다음 고리인 지각·노출 → 행태를 다루며, 선행 종합에 없던 방법론적 축을 하나 더한다 — </w:t>
      </w:r>
      <w:r>
        <w:rPr>
          <w:rFonts w:ascii="Times New Roman" w:hAnsi="Times New Roman" w:cs="Times New Roman" w:eastAsia="바탕"/>
          <w:b/>
          <w:i w:val="0"/>
          <w:sz w:val="24"/>
        </w:rPr>
        <w:t>행태 자체가 어떻게 측정돼 왔는가</w:t>
      </w:r>
      <w:r>
        <w:rPr>
          <w:rFonts w:ascii="Times New Roman" w:hAnsi="Times New Roman" w:cs="Times New Roman" w:eastAsia="바탕"/>
          <w:b w:val="0"/>
          <w:i w:val="0"/>
          <w:sz w:val="24"/>
        </w:rPr>
        <w:t>.</w:t>
      </w:r>
    </w:p>
    <w:p>
      <w:pPr>
        <w:spacing w:line="240" w:lineRule="auto" w:after="120" w:before="0"/>
      </w:pPr>
      <w:r>
        <w:rPr>
          <w:rFonts w:ascii="Times New Roman" w:hAnsi="Times New Roman" w:cs="Times New Roman" w:eastAsia="바탕"/>
          <w:b/>
          <w:i w:val="0"/>
          <w:sz w:val="24"/>
        </w:rPr>
        <w:t>1.5 Research questions.</w:t>
      </w:r>
    </w:p>
    <w:p>
      <w:pPr>
        <w:spacing w:line="240" w:lineRule="auto" w:after="40" w:before="0"/>
        <w:ind w:left="360"/>
      </w:pPr>
      <w:r>
        <w:rPr>
          <w:rFonts w:ascii="Times New Roman" w:hAnsi="Times New Roman" w:cs="Times New Roman" w:eastAsia="바탕"/>
          <w:b w:val="0"/>
          <w:i w:val="0"/>
          <w:sz w:val="24"/>
        </w:rPr>
        <w:t xml:space="preserve">• </w:t>
      </w:r>
      <w:r>
        <w:rPr>
          <w:rFonts w:ascii="Times New Roman" w:hAnsi="Times New Roman" w:cs="Times New Roman" w:eastAsia="바탕"/>
          <w:b/>
          <w:i w:val="0"/>
          <w:sz w:val="24"/>
        </w:rPr>
        <w:t>RQ1</w:t>
      </w:r>
      <w:r>
        <w:rPr>
          <w:rFonts w:ascii="Times New Roman" w:hAnsi="Times New Roman" w:cs="Times New Roman" w:eastAsia="바탕"/>
          <w:b w:val="0"/>
          <w:i w:val="0"/>
          <w:sz w:val="24"/>
        </w:rPr>
        <w:t xml:space="preserve"> — 도시 옥외공간에서 음환경과 관찰 가능한 행태의 연관은 어느 크기·어느 방향이며, 행태 도메인에 따라 달라지는가?</w:t>
      </w:r>
    </w:p>
    <w:p>
      <w:pPr>
        <w:spacing w:line="240" w:lineRule="auto" w:after="40" w:before="0"/>
        <w:ind w:left="360"/>
      </w:pPr>
      <w:r>
        <w:rPr>
          <w:rFonts w:ascii="Times New Roman" w:hAnsi="Times New Roman" w:cs="Times New Roman" w:eastAsia="바탕"/>
          <w:b w:val="0"/>
          <w:i w:val="0"/>
          <w:sz w:val="24"/>
        </w:rPr>
        <w:t xml:space="preserve">• </w:t>
      </w:r>
      <w:r>
        <w:rPr>
          <w:rFonts w:ascii="Times New Roman" w:hAnsi="Times New Roman" w:cs="Times New Roman" w:eastAsia="바탕"/>
          <w:b/>
          <w:i w:val="0"/>
          <w:sz w:val="24"/>
        </w:rPr>
        <w:t>RQ2</w:t>
      </w:r>
      <w:r>
        <w:rPr>
          <w:rFonts w:ascii="Times New Roman" w:hAnsi="Times New Roman" w:cs="Times New Roman" w:eastAsia="바탕"/>
          <w:b w:val="0"/>
          <w:i w:val="0"/>
          <w:sz w:val="24"/>
        </w:rPr>
        <w:t xml:space="preserve"> — 증거의 얼마가 역방향(행태 → 사운드스케이프)이며, 어느 도메인에서 그러한가?</w:t>
      </w:r>
    </w:p>
    <w:p>
      <w:pPr>
        <w:spacing w:line="240" w:lineRule="auto" w:after="40" w:before="0"/>
        <w:ind w:left="360"/>
      </w:pPr>
      <w:r>
        <w:rPr>
          <w:rFonts w:ascii="Times New Roman" w:hAnsi="Times New Roman" w:cs="Times New Roman" w:eastAsia="바탕"/>
          <w:b w:val="0"/>
          <w:i w:val="0"/>
          <w:sz w:val="24"/>
        </w:rPr>
        <w:t xml:space="preserve">• </w:t>
      </w:r>
      <w:r>
        <w:rPr>
          <w:rFonts w:ascii="Times New Roman" w:hAnsi="Times New Roman" w:cs="Times New Roman" w:eastAsia="바탕"/>
          <w:b/>
          <w:i w:val="0"/>
          <w:sz w:val="24"/>
        </w:rPr>
        <w:t>RQ3</w:t>
      </w:r>
      <w:r>
        <w:rPr>
          <w:rFonts w:ascii="Times New Roman" w:hAnsi="Times New Roman" w:cs="Times New Roman" w:eastAsia="바탕"/>
          <w:b w:val="0"/>
          <w:i w:val="0"/>
          <w:sz w:val="24"/>
        </w:rPr>
        <w:t xml:space="preserve"> — 행태 측정은 어떻게 변해 왔으며, 새 계측은 옛 방법을 대체하는가 누적되는가?</w:t>
      </w:r>
    </w:p>
    <w:p>
      <w:pPr>
        <w:spacing w:line="240" w:lineRule="auto" w:after="40" w:before="0"/>
        <w:ind w:left="360"/>
      </w:pPr>
      <w:r>
        <w:rPr>
          <w:rFonts w:ascii="Times New Roman" w:hAnsi="Times New Roman" w:cs="Times New Roman" w:eastAsia="바탕"/>
          <w:b w:val="0"/>
          <w:i w:val="0"/>
          <w:sz w:val="24"/>
        </w:rPr>
        <w:t xml:space="preserve">• </w:t>
      </w:r>
      <w:r>
        <w:rPr>
          <w:rFonts w:ascii="Times New Roman" w:hAnsi="Times New Roman" w:cs="Times New Roman" w:eastAsia="바탕"/>
          <w:b/>
          <w:i w:val="0"/>
          <w:sz w:val="24"/>
        </w:rPr>
        <w:t>RQ4</w:t>
      </w:r>
      <w:r>
        <w:rPr>
          <w:rFonts w:ascii="Times New Roman" w:hAnsi="Times New Roman" w:cs="Times New Roman" w:eastAsia="바탕"/>
          <w:b w:val="0"/>
          <w:i w:val="0"/>
          <w:sz w:val="24"/>
        </w:rPr>
        <w:t xml:space="preserve"> — 이 증거로 조경·도시계획이 실제로 처방할 수 있는 것은 무엇이며, 그 확신 수준은 어느 정도인가?</w:t>
      </w:r>
    </w:p>
    <w:p>
      <w:pPr>
        <w:spacing w:line="240" w:lineRule="auto" w:after="80" w:before="0"/>
      </w:pPr>
    </w:p>
    <w:p>
      <w:pPr>
        <w:spacing w:line="240" w:lineRule="auto" w:after="100" w:before="240"/>
      </w:pPr>
      <w:r>
        <w:rPr>
          <w:rFonts w:ascii="Times New Roman" w:hAnsi="Times New Roman" w:cs="Times New Roman" w:eastAsia="바탕"/>
          <w:b/>
          <w:i w:val="0"/>
          <w:sz w:val="24"/>
        </w:rPr>
        <w:t>2. Methods</w:t>
      </w:r>
    </w:p>
    <w:p>
      <w:pPr>
        <w:spacing w:line="240" w:lineRule="auto" w:after="80" w:before="200"/>
      </w:pPr>
      <w:r>
        <w:rPr>
          <w:rFonts w:ascii="Times New Roman" w:hAnsi="Times New Roman" w:cs="Times New Roman" w:eastAsia="바탕"/>
          <w:b/>
          <w:i w:val="0"/>
          <w:sz w:val="24"/>
        </w:rPr>
        <w:t>2.1 Registration and reporting</w:t>
      </w:r>
    </w:p>
    <w:p>
      <w:pPr>
        <w:spacing w:line="240" w:lineRule="auto" w:after="120" w:before="0"/>
      </w:pPr>
      <w:r>
        <w:rPr>
          <w:rFonts w:ascii="Times New Roman" w:hAnsi="Times New Roman" w:cs="Times New Roman" w:eastAsia="바탕"/>
          <w:b w:val="0"/>
          <w:i w:val="0"/>
          <w:sz w:val="24"/>
        </w:rPr>
        <w:t xml:space="preserve">본 리뷰는 스크리닝 착수 전에 OSF Registries(osf.io/7ew8q)에 Generalized Systematic Review Registration 양식으로 사전등록했으며 PRISMA 2020에 따라 보고한다. 등록 프로토콜에서 벗어난 사항은 전부 Supplementary S1에 기록하고 §2.7에 요약했으며, </w:t>
      </w:r>
      <w:r>
        <w:rPr>
          <w:rFonts w:ascii="Times New Roman" w:hAnsi="Times New Roman" w:cs="Times New Roman" w:eastAsia="바탕"/>
          <w:b/>
          <w:i w:val="0"/>
          <w:sz w:val="24"/>
        </w:rPr>
        <w:t>결과를 바꾼 것도 숨기지 않았다.</w:t>
      </w:r>
      <w:r>
        <w:rPr>
          <w:rFonts w:ascii="Times New Roman" w:hAnsi="Times New Roman" w:cs="Times New Roman" w:eastAsia="바탕"/>
          <w:b w:val="0"/>
          <w:i w:val="0"/>
          <w:sz w:val="24"/>
        </w:rPr>
        <w:t xml:space="preserve"> 분석 규칙 — 효과크기 지표, 대비 프레임, 한 논문 내 다중 효과 처리, 유사반복 — 은 </w:t>
      </w:r>
      <w:r>
        <w:rPr>
          <w:rFonts w:ascii="Times New Roman" w:hAnsi="Times New Roman" w:cs="Times New Roman" w:eastAsia="바탕"/>
          <w:b/>
          <w:i w:val="0"/>
          <w:sz w:val="24"/>
        </w:rPr>
        <w:t>어떤 효과크기도 계산하기 전에</w:t>
      </w:r>
      <w:r>
        <w:rPr>
          <w:rFonts w:ascii="Times New Roman" w:hAnsi="Times New Roman" w:cs="Times New Roman" w:eastAsia="바탕"/>
          <w:b w:val="0"/>
          <w:i w:val="0"/>
          <w:sz w:val="24"/>
        </w:rPr>
        <w:t xml:space="preserve"> 별도 문서로 확정했다(Supplementary S2).</w:t>
      </w:r>
    </w:p>
    <w:p>
      <w:pPr>
        <w:spacing w:line="240" w:lineRule="auto" w:after="80" w:before="200"/>
      </w:pPr>
      <w:r>
        <w:rPr>
          <w:rFonts w:ascii="Times New Roman" w:hAnsi="Times New Roman" w:cs="Times New Roman" w:eastAsia="바탕"/>
          <w:b/>
          <w:i w:val="0"/>
          <w:sz w:val="24"/>
        </w:rPr>
        <w:t>2.2 Eligibility criteria</w:t>
      </w:r>
    </w:p>
    <w:p>
      <w:pPr>
        <w:spacing w:line="240" w:lineRule="auto" w:after="120" w:before="0"/>
      </w:pPr>
      <w:r>
        <w:rPr>
          <w:rFonts w:ascii="Times New Roman" w:hAnsi="Times New Roman" w:cs="Times New Roman" w:eastAsia="바탕"/>
          <w:b w:val="0"/>
          <w:i w:val="0"/>
          <w:sz w:val="24"/>
        </w:rPr>
        <w:t>다음 다섯 기준을 모두 충족하면 적격으로 판정했다.</w:t>
      </w:r>
    </w:p>
    <w:p>
      <w:pPr>
        <w:spacing w:line="240" w:lineRule="auto" w:after="40" w:before="0"/>
        <w:ind w:left="360"/>
      </w:pPr>
      <w:r>
        <w:rPr>
          <w:rFonts w:ascii="Times New Roman" w:hAnsi="Times New Roman" w:cs="Times New Roman" w:eastAsia="바탕"/>
          <w:b w:val="0"/>
          <w:i w:val="0"/>
          <w:sz w:val="24"/>
        </w:rPr>
        <w:t xml:space="preserve">• </w:t>
      </w:r>
      <w:r>
        <w:rPr>
          <w:rFonts w:ascii="Times New Roman" w:hAnsi="Times New Roman" w:cs="Times New Roman" w:eastAsia="바탕"/>
          <w:b/>
          <w:i w:val="0"/>
          <w:sz w:val="24"/>
        </w:rPr>
        <w:t>대상</w:t>
      </w:r>
      <w:r>
        <w:rPr>
          <w:rFonts w:ascii="Times New Roman" w:hAnsi="Times New Roman" w:cs="Times New Roman" w:eastAsia="바탕"/>
          <w:b w:val="0"/>
          <w:i w:val="0"/>
          <w:sz w:val="24"/>
        </w:rPr>
        <w:t xml:space="preserve"> — 사람. 동물 행태 연구(사운드스케이프 생태학 포함)는 제외했다.</w:t>
      </w:r>
    </w:p>
    <w:p>
      <w:pPr>
        <w:spacing w:line="240" w:lineRule="auto" w:after="40" w:before="0"/>
        <w:ind w:left="360"/>
      </w:pPr>
      <w:r>
        <w:rPr>
          <w:rFonts w:ascii="Times New Roman" w:hAnsi="Times New Roman" w:cs="Times New Roman" w:eastAsia="바탕"/>
          <w:b w:val="0"/>
          <w:i w:val="0"/>
          <w:sz w:val="24"/>
        </w:rPr>
        <w:t xml:space="preserve">• </w:t>
      </w:r>
      <w:r>
        <w:rPr>
          <w:rFonts w:ascii="Times New Roman" w:hAnsi="Times New Roman" w:cs="Times New Roman" w:eastAsia="바탕"/>
          <w:b/>
          <w:i w:val="0"/>
          <w:sz w:val="24"/>
        </w:rPr>
        <w:t>세팅</w:t>
      </w:r>
      <w:r>
        <w:rPr>
          <w:rFonts w:ascii="Times New Roman" w:hAnsi="Times New Roman" w:cs="Times New Roman" w:eastAsia="바탕"/>
          <w:b w:val="0"/>
          <w:i w:val="0"/>
          <w:sz w:val="24"/>
        </w:rPr>
        <w:t xml:space="preserve"> — 옥외 또는 반옥외의 도시·경관 공공공간. 공원·가로·광장·수변·옥외 캠퍼스·주거 옥외공간· 레크리에이션 공간을 포함한다. 실험실·VR 연구는 자극이 옥외 장면을 재현한 경우에 한해 적격으로 보고 본분석에 포함하되 이를 제외한 민감도 분석을 병행했다. 실내·차량 내·병원·직장은 제외했다.</w:t>
      </w:r>
    </w:p>
    <w:p>
      <w:pPr>
        <w:spacing w:line="240" w:lineRule="auto" w:after="40" w:before="0"/>
        <w:ind w:left="360"/>
      </w:pPr>
      <w:r>
        <w:rPr>
          <w:rFonts w:ascii="Times New Roman" w:hAnsi="Times New Roman" w:cs="Times New Roman" w:eastAsia="바탕"/>
          <w:b w:val="0"/>
          <w:i w:val="0"/>
          <w:sz w:val="24"/>
        </w:rPr>
        <w:t xml:space="preserve">• </w:t>
      </w:r>
      <w:r>
        <w:rPr>
          <w:rFonts w:ascii="Times New Roman" w:hAnsi="Times New Roman" w:cs="Times New Roman" w:eastAsia="바탕"/>
          <w:b/>
          <w:i w:val="0"/>
          <w:sz w:val="24"/>
        </w:rPr>
        <w:t>노출</w:t>
      </w:r>
      <w:r>
        <w:rPr>
          <w:rFonts w:ascii="Times New Roman" w:hAnsi="Times New Roman" w:cs="Times New Roman" w:eastAsia="바탕"/>
          <w:b w:val="0"/>
          <w:i w:val="0"/>
          <w:sz w:val="24"/>
        </w:rPr>
        <w:t xml:space="preserve"> — 음환경(소음, 자연음, 음악, 또는 복합체로서의 사운드스케이프)을 노출로 다루거나, </w:t>
      </w:r>
      <w:r>
        <w:rPr>
          <w:rFonts w:ascii="Times New Roman" w:hAnsi="Times New Roman" w:cs="Times New Roman" w:eastAsia="바탕"/>
          <w:b/>
          <w:i w:val="0"/>
          <w:sz w:val="24"/>
        </w:rPr>
        <w:t>행태와 활동이 음환경을 형성하는 역방향 경로</w:t>
      </w:r>
      <w:r>
        <w:rPr>
          <w:rFonts w:ascii="Times New Roman" w:hAnsi="Times New Roman" w:cs="Times New Roman" w:eastAsia="바탕"/>
          <w:b w:val="0"/>
          <w:i w:val="0"/>
          <w:sz w:val="24"/>
        </w:rPr>
        <w:t>를 다룰 것.</w:t>
      </w:r>
    </w:p>
    <w:p>
      <w:pPr>
        <w:spacing w:line="240" w:lineRule="auto" w:after="40" w:before="0"/>
        <w:ind w:left="360"/>
      </w:pPr>
      <w:r>
        <w:rPr>
          <w:rFonts w:ascii="Times New Roman" w:hAnsi="Times New Roman" w:cs="Times New Roman" w:eastAsia="바탕"/>
          <w:b w:val="0"/>
          <w:i w:val="0"/>
          <w:sz w:val="24"/>
        </w:rPr>
        <w:t xml:space="preserve">• </w:t>
      </w:r>
      <w:r>
        <w:rPr>
          <w:rFonts w:ascii="Times New Roman" w:hAnsi="Times New Roman" w:cs="Times New Roman" w:eastAsia="바탕"/>
          <w:b/>
          <w:i w:val="0"/>
          <w:sz w:val="24"/>
        </w:rPr>
        <w:t>결과</w:t>
      </w:r>
      <w:r>
        <w:rPr>
          <w:rFonts w:ascii="Times New Roman" w:hAnsi="Times New Roman" w:cs="Times New Roman" w:eastAsia="바탕"/>
          <w:b w:val="0"/>
          <w:i w:val="0"/>
          <w:sz w:val="24"/>
        </w:rPr>
        <w:t xml:space="preserve"> — </w:t>
      </w:r>
      <w:r>
        <w:rPr>
          <w:rFonts w:ascii="Times New Roman" w:hAnsi="Times New Roman" w:cs="Times New Roman" w:eastAsia="바탕"/>
          <w:b/>
          <w:i w:val="0"/>
          <w:sz w:val="24"/>
        </w:rPr>
        <w:t>관찰 가능한 행태 결과</w:t>
      </w:r>
      <w:r>
        <w:rPr>
          <w:rFonts w:ascii="Times New Roman" w:hAnsi="Times New Roman" w:cs="Times New Roman" w:eastAsia="바탕"/>
          <w:b w:val="0"/>
          <w:i w:val="0"/>
          <w:sz w:val="24"/>
        </w:rPr>
        <w:t xml:space="preserve">를 하나 이상 보고할 것: 이동(보행속도·경로·횡단), 체류 (체류시간·착석), 공간이용(방문·점유), 사회적 상호작용, 신체활동 및 여가. 자기보고 행태도 적격으로 보았다. 지각·선호·짜증도·회복감·생리반응만 보고한 연구는 제외했고, 행태 결과가 진술된 </w:t>
      </w:r>
      <w:r>
        <w:rPr>
          <w:rFonts w:ascii="Times New Roman" w:hAnsi="Times New Roman" w:cs="Times New Roman" w:eastAsia="바탕"/>
          <w:b w:val="0"/>
          <w:i/>
          <w:sz w:val="24"/>
        </w:rPr>
        <w:t>의도</w:t>
      </w:r>
      <w:r>
        <w:rPr>
          <w:rFonts w:ascii="Times New Roman" w:hAnsi="Times New Roman" w:cs="Times New Roman" w:eastAsia="바탕"/>
          <w:b w:val="0"/>
          <w:i w:val="0"/>
          <w:sz w:val="24"/>
        </w:rPr>
        <w:t>뿐인 연구는 민감도 분석 전용으로 남겼다.</w:t>
      </w:r>
    </w:p>
    <w:p>
      <w:pPr>
        <w:spacing w:line="240" w:lineRule="auto" w:after="40" w:before="0"/>
        <w:ind w:left="360"/>
      </w:pPr>
      <w:r>
        <w:rPr>
          <w:rFonts w:ascii="Times New Roman" w:hAnsi="Times New Roman" w:cs="Times New Roman" w:eastAsia="바탕"/>
          <w:b w:val="0"/>
          <w:i w:val="0"/>
          <w:sz w:val="24"/>
        </w:rPr>
        <w:t xml:space="preserve">• </w:t>
      </w:r>
      <w:r>
        <w:rPr>
          <w:rFonts w:ascii="Times New Roman" w:hAnsi="Times New Roman" w:cs="Times New Roman" w:eastAsia="바탕"/>
          <w:b/>
          <w:i w:val="0"/>
          <w:sz w:val="24"/>
        </w:rPr>
        <w:t>설계</w:t>
      </w:r>
      <w:r>
        <w:rPr>
          <w:rFonts w:ascii="Times New Roman" w:hAnsi="Times New Roman" w:cs="Times New Roman" w:eastAsia="바탕"/>
          <w:b w:val="0"/>
          <w:i w:val="0"/>
          <w:sz w:val="24"/>
        </w:rPr>
        <w:t xml:space="preserve"> — 영어로 게재된 실증적 동료심사 학술지 논문.</w:t>
      </w:r>
    </w:p>
    <w:p>
      <w:pPr>
        <w:spacing w:line="240" w:lineRule="auto" w:after="80" w:before="0"/>
      </w:pPr>
    </w:p>
    <w:p>
      <w:pPr>
        <w:spacing w:line="240" w:lineRule="auto" w:after="120" w:before="0"/>
      </w:pPr>
      <w:r>
        <w:rPr>
          <w:rFonts w:ascii="Times New Roman" w:hAnsi="Times New Roman" w:cs="Times New Roman" w:eastAsia="바탕"/>
          <w:b w:val="0"/>
          <w:i w:val="0"/>
          <w:sz w:val="24"/>
        </w:rPr>
        <w:t xml:space="preserve">등록 시점에 확정했고 해석에 직접 영향을 주는 두 가지 범위 결정이 있다 — </w:t>
      </w:r>
      <w:r>
        <w:rPr>
          <w:rFonts w:ascii="Times New Roman" w:hAnsi="Times New Roman" w:cs="Times New Roman" w:eastAsia="바탕"/>
          <w:b/>
          <w:i w:val="0"/>
          <w:sz w:val="24"/>
        </w:rPr>
        <w:t>중국어 문헌과 학술대회 프로시딩의 제외</w:t>
      </w:r>
      <w:r>
        <w:rPr>
          <w:rFonts w:ascii="Times New Roman" w:hAnsi="Times New Roman" w:cs="Times New Roman" w:eastAsia="바탕"/>
          <w:b w:val="0"/>
          <w:i w:val="0"/>
          <w:sz w:val="24"/>
        </w:rPr>
        <w:t>다. 둘 다 Limitations에서 다룬다.</w:t>
      </w:r>
    </w:p>
    <w:p>
      <w:pPr>
        <w:spacing w:line="240" w:lineRule="auto" w:after="80" w:before="200"/>
      </w:pPr>
      <w:r>
        <w:rPr>
          <w:rFonts w:ascii="Times New Roman" w:hAnsi="Times New Roman" w:cs="Times New Roman" w:eastAsia="바탕"/>
          <w:b/>
          <w:i w:val="0"/>
          <w:sz w:val="24"/>
        </w:rPr>
        <w:t>2.3 Information sources and search</w:t>
      </w:r>
    </w:p>
    <w:p>
      <w:pPr>
        <w:spacing w:line="240" w:lineRule="auto" w:after="120" w:before="0"/>
      </w:pPr>
      <w:r>
        <w:rPr>
          <w:rFonts w:ascii="Times New Roman" w:hAnsi="Times New Roman" w:cs="Times New Roman" w:eastAsia="바탕"/>
          <w:b w:val="0"/>
          <w:i w:val="0"/>
          <w:sz w:val="24"/>
        </w:rPr>
        <w:t>2026년 8월 2일에 Web of Science Core Collection, Scopus, PubMed 세 데이터베이스를 검색했다. 검색식은 세 개념 블록을 AND로 결합했다 — 음환경 × 행태 × 도시 옥외 세팅. 전체 문자열은 Supplementary S3에 있다. 검색 전략은 실행에 앞서 적격임이 알려진 벤치마크 논문 5편으로 검증했고 5편 모두 회수됐다.</w:t>
      </w:r>
    </w:p>
    <w:p>
      <w:pPr>
        <w:spacing w:line="240" w:lineRule="auto" w:after="120" w:before="0"/>
      </w:pPr>
      <w:r>
        <w:rPr>
          <w:rFonts w:ascii="Times New Roman" w:hAnsi="Times New Roman" w:cs="Times New Roman" w:eastAsia="바탕"/>
          <w:b w:val="0"/>
          <w:i w:val="0"/>
          <w:sz w:val="24"/>
        </w:rPr>
        <w:t xml:space="preserve">두 개의 보조 식별 경로를 등록했고 둘 다 실행했다. 첫째, 포함된 모든 연구를 대상으로 OpenAlex API를 이용해 </w:t>
      </w:r>
      <w:r>
        <w:rPr>
          <w:rFonts w:ascii="Times New Roman" w:hAnsi="Times New Roman" w:cs="Times New Roman" w:eastAsia="바탕"/>
          <w:b/>
          <w:i w:val="0"/>
          <w:sz w:val="24"/>
        </w:rPr>
        <w:t>후방·전방 인용 추적</w:t>
      </w:r>
      <w:r>
        <w:rPr>
          <w:rFonts w:ascii="Times New Roman" w:hAnsi="Times New Roman" w:cs="Times New Roman" w:eastAsia="바탕"/>
          <w:b w:val="0"/>
          <w:i w:val="0"/>
          <w:sz w:val="24"/>
        </w:rPr>
        <w:t xml:space="preserve">을 수행했다. 둘째, OpenAlex를 </w:t>
      </w:r>
      <w:r>
        <w:rPr>
          <w:rFonts w:ascii="Times New Roman" w:hAnsi="Times New Roman" w:cs="Times New Roman" w:eastAsia="바탕"/>
          <w:b/>
          <w:i w:val="0"/>
          <w:sz w:val="24"/>
        </w:rPr>
        <w:t>제4의 색인</w:t>
      </w:r>
      <w:r>
        <w:rPr>
          <w:rFonts w:ascii="Times New Roman" w:hAnsi="Times New Roman" w:cs="Times New Roman" w:eastAsia="바탕"/>
          <w:b w:val="0"/>
          <w:i w:val="0"/>
          <w:sz w:val="24"/>
        </w:rPr>
        <w:t>으로 삼아 세 데이터베이스에 없는 레코드를 별도로 식별했고 고유 352건을 스크리닝했다(Fig. 1).</w:t>
      </w:r>
    </w:p>
    <w:p>
      <w:pPr>
        <w:spacing w:line="240" w:lineRule="auto" w:after="80" w:before="200"/>
      </w:pPr>
      <w:r>
        <w:rPr>
          <w:rFonts w:ascii="Times New Roman" w:hAnsi="Times New Roman" w:cs="Times New Roman" w:eastAsia="바탕"/>
          <w:b/>
          <w:i w:val="0"/>
          <w:sz w:val="24"/>
        </w:rPr>
        <w:t>2.4 Selection process</w:t>
      </w:r>
    </w:p>
    <w:p>
      <w:pPr>
        <w:spacing w:line="240" w:lineRule="auto" w:after="120" w:before="0"/>
      </w:pPr>
      <w:r>
        <w:rPr>
          <w:rFonts w:ascii="Times New Roman" w:hAnsi="Times New Roman" w:cs="Times New Roman" w:eastAsia="바탕"/>
          <w:b/>
          <w:i w:val="0"/>
          <w:sz w:val="24"/>
        </w:rPr>
        <w:t>데이터베이스 갈래.</w:t>
      </w:r>
      <w:r>
        <w:rPr>
          <w:rFonts w:ascii="Times New Roman" w:hAnsi="Times New Roman" w:cs="Times New Roman" w:eastAsia="바탕"/>
          <w:b w:val="0"/>
          <w:i w:val="0"/>
          <w:sz w:val="24"/>
        </w:rPr>
        <w:t xml:space="preserve"> 중복 제거 후 1,316건을 제목·초록 단계에서 일곱 개의 번호가 매겨진 배제 기준에 따라 스크리닝했다. AI 사전분류에 인간 검증을 결합했다. </w:t>
      </w:r>
      <w:r>
        <w:rPr>
          <w:rFonts w:ascii="Times New Roman" w:hAnsi="Times New Roman" w:cs="Times New Roman" w:eastAsia="바탕"/>
          <w:b/>
          <w:i w:val="0"/>
          <w:sz w:val="24"/>
        </w:rPr>
        <w:t>불확실하게 남은 레코드는 배제하지 않고</w:t>
      </w:r>
      <w:r>
        <w:rPr>
          <w:rFonts w:ascii="Times New Roman" w:hAnsi="Times New Roman" w:cs="Times New Roman" w:eastAsia="바탕"/>
          <w:b w:val="0"/>
          <w:i w:val="0"/>
          <w:sz w:val="24"/>
        </w:rPr>
        <w:t xml:space="preserve"> 전문 평가로 넘겼다. 이 문헌에서는 행태 결과가 측정돼 있으면서도 초록에 언급되지 않는 일이 잦기 때문이다.</w:t>
      </w:r>
    </w:p>
    <w:p>
      <w:pPr>
        <w:spacing w:line="240" w:lineRule="auto" w:after="120" w:before="0"/>
      </w:pPr>
      <w:r>
        <w:rPr>
          <w:rFonts w:ascii="Times New Roman" w:hAnsi="Times New Roman" w:cs="Times New Roman" w:eastAsia="바탕"/>
          <w:b/>
          <w:i w:val="0"/>
          <w:sz w:val="24"/>
        </w:rPr>
        <w:t>인용추적 갈래.</w:t>
      </w:r>
      <w:r>
        <w:rPr>
          <w:rFonts w:ascii="Times New Roman" w:hAnsi="Times New Roman" w:cs="Times New Roman" w:eastAsia="바탕"/>
          <w:b w:val="0"/>
          <w:i w:val="0"/>
          <w:sz w:val="24"/>
        </w:rPr>
        <w:t xml:space="preserve"> 당시 포함돼 있던 84편의 후방 참고문헌과 전방 피인용에서 스크리닝 풀에 없던 2,073건이 나왔다. 인용 추적은 주제 특이도가 낮으므로, 등록된 3블록 검색 논리를 제목에 적용해 우선순위 필터로 삼았고 블록을 한 개 이하로 충족하거나 동물 음향에 해당하는 1,645건을 후순위로 돌렸다. 남은 428건을 제목에서, 이어 146건을 초록에서 스크리닝한 뒤 전문을 확보했다. 이 자동 우선순위 처리는 등록 시점에 명시하지 않았으므로 이탈로 기록했다(S1, D1-3).</w:t>
      </w:r>
    </w:p>
    <w:p>
      <w:pPr>
        <w:spacing w:line="240" w:lineRule="auto" w:after="120" w:before="0"/>
      </w:pPr>
      <w:r>
        <w:rPr>
          <w:rFonts w:ascii="Times New Roman" w:hAnsi="Times New Roman" w:cs="Times New Roman" w:eastAsia="바탕"/>
          <w:b/>
          <w:i w:val="0"/>
          <w:sz w:val="24"/>
        </w:rPr>
        <w:t>보조색인 갈래.</w:t>
      </w:r>
      <w:r>
        <w:rPr>
          <w:rFonts w:ascii="Times New Roman" w:hAnsi="Times New Roman" w:cs="Times New Roman" w:eastAsia="바탕"/>
          <w:b w:val="0"/>
          <w:i w:val="0"/>
          <w:sz w:val="24"/>
        </w:rPr>
        <w:t xml:space="preserve"> OpenAlex 고유 352건 가운데 23건은 위 두 풀과 중복이었고 329건을 스크리닝했다. 2편이 적격했다. 이 갈래는 색인 메타데이터에 관한 이 리뷰의 가장 분명한 경고를 남겼다 — 전문을 확보한 5편 중 </w:t>
      </w:r>
      <w:r>
        <w:rPr>
          <w:rFonts w:ascii="Times New Roman" w:hAnsi="Times New Roman" w:cs="Times New Roman" w:eastAsia="바탕"/>
          <w:b/>
          <w:i w:val="0"/>
          <w:sz w:val="24"/>
        </w:rPr>
        <w:t>2편은 `language=en`으로 기록돼 있었으나 실제 본문이 한국어와 일본어</w:t>
      </w:r>
      <w:r>
        <w:rPr>
          <w:rFonts w:ascii="Times New Roman" w:hAnsi="Times New Roman" w:cs="Times New Roman" w:eastAsia="바탕"/>
          <w:b w:val="0"/>
          <w:i w:val="0"/>
          <w:sz w:val="24"/>
        </w:rPr>
        <w:t>였다(영문은 제목과 초록뿐이었다). 문헌유형과 언어는 색인 메타데이터만으로 판정할 수 없다.</w:t>
      </w:r>
    </w:p>
    <w:p>
      <w:pPr>
        <w:spacing w:line="240" w:lineRule="auto" w:after="120" w:before="0"/>
      </w:pPr>
      <w:r>
        <w:rPr>
          <w:rFonts w:ascii="Times New Roman" w:hAnsi="Times New Roman" w:cs="Times New Roman" w:eastAsia="바탕"/>
          <w:b/>
          <w:i w:val="0"/>
          <w:sz w:val="24"/>
        </w:rPr>
        <w:t>경계 규칙.</w:t>
      </w:r>
      <w:r>
        <w:rPr>
          <w:rFonts w:ascii="Times New Roman" w:hAnsi="Times New Roman" w:cs="Times New Roman" w:eastAsia="바탕"/>
          <w:b w:val="0"/>
          <w:i w:val="0"/>
          <w:sz w:val="24"/>
        </w:rPr>
        <w:t xml:space="preserve"> 반복 등장한 세 경계 사례는 개별 판정에 앞서 확정한 규칙으로 처리했다 — 주거 소음 노출에 비특정 신체활동을 결합한 연구는 배제, 행태 의도만이 유일한 결과인 연구는 민감도 전용, 평정 결과를 가진 역방향 연구는 포함(등록된 정의가 역방향 경로를 적격으로 규정하므로). 네 번째 규칙인 "옥외 장면의 실험실 재현 → 민감도 전용"은 인용추적 갈래 실행 중에 도입돼 그 갈래에만 적용됐다. 갈래 간 불일치는 이탈 로그에 기록했고(S1, D6-1) §3.3에서 처리한다.</w:t>
      </w:r>
    </w:p>
    <w:p>
      <w:pPr>
        <w:spacing w:line="240" w:lineRule="auto" w:after="80" w:before="200"/>
      </w:pPr>
      <w:r>
        <w:rPr>
          <w:rFonts w:ascii="Times New Roman" w:hAnsi="Times New Roman" w:cs="Times New Roman" w:eastAsia="바탕"/>
          <w:b/>
          <w:i w:val="0"/>
          <w:sz w:val="24"/>
        </w:rPr>
        <w:t>2.5 Data collection and quality appraisal</w:t>
      </w:r>
    </w:p>
    <w:p>
      <w:pPr>
        <w:spacing w:line="240" w:lineRule="auto" w:after="120" w:before="0"/>
      </w:pPr>
      <w:r>
        <w:rPr>
          <w:rFonts w:ascii="Times New Roman" w:hAnsi="Times New Roman" w:cs="Times New Roman" w:eastAsia="바탕"/>
          <w:b w:val="0"/>
          <w:i w:val="0"/>
          <w:sz w:val="24"/>
        </w:rPr>
        <w:t xml:space="preserve">한 명의 리뷰어가 전문에서 16개 고정 필드로 자료를 추출했다(세팅·설계·표본·노출·행태 도메인·측정 방법·방향·핵심 발견, 그리고 </w:t>
      </w:r>
      <w:r>
        <w:rPr>
          <w:rFonts w:ascii="Times New Roman" w:hAnsi="Times New Roman" w:cs="Times New Roman" w:eastAsia="바탕"/>
          <w:b/>
          <w:i w:val="0"/>
          <w:sz w:val="24"/>
        </w:rPr>
        <w:t>원문 위치를 명시한 축자적 효과 통계</w:t>
      </w:r>
      <w:r>
        <w:rPr>
          <w:rFonts w:ascii="Times New Roman" w:hAnsi="Times New Roman" w:cs="Times New Roman" w:eastAsia="바탕"/>
          <w:b w:val="0"/>
          <w:i w:val="0"/>
          <w:sz w:val="24"/>
        </w:rPr>
        <w:t xml:space="preserve">). 효과 통계는 인쇄된 그대로 전사했고, </w:t>
      </w:r>
      <w:r>
        <w:rPr>
          <w:rFonts w:ascii="Times New Roman" w:hAnsi="Times New Roman" w:cs="Times New Roman" w:eastAsia="바탕"/>
          <w:b/>
          <w:i w:val="0"/>
          <w:sz w:val="24"/>
        </w:rPr>
        <w:t>추출 단계에서는 어떤 변환이나 추정도 하지 않았다.</w:t>
      </w:r>
    </w:p>
    <w:p>
      <w:pPr>
        <w:spacing w:line="240" w:lineRule="auto" w:after="120" w:before="0"/>
      </w:pPr>
      <w:r>
        <w:rPr>
          <w:rFonts w:ascii="Times New Roman" w:hAnsi="Times New Roman" w:cs="Times New Roman" w:eastAsia="바탕"/>
          <w:b w:val="0"/>
          <w:i w:val="0"/>
          <w:sz w:val="24"/>
        </w:rPr>
        <w:t xml:space="preserve">방법론적 품질은 </w:t>
      </w:r>
      <w:r>
        <w:rPr>
          <w:rFonts w:ascii="Times New Roman" w:hAnsi="Times New Roman" w:cs="Times New Roman" w:eastAsia="바탕"/>
          <w:b/>
          <w:i w:val="0"/>
          <w:sz w:val="24"/>
        </w:rPr>
        <w:t>Mixed Methods Appraisal Tool(MMAT) 2018</w:t>
      </w:r>
      <w:r>
        <w:rPr>
          <w:rFonts w:ascii="Times New Roman" w:hAnsi="Times New Roman" w:cs="Times New Roman" w:eastAsia="바탕"/>
          <w:b w:val="0"/>
          <w:i w:val="0"/>
          <w:sz w:val="24"/>
        </w:rPr>
        <w:t>로 평가했다. 코퍼스의 무작위 배정 연구 2편이 무작위화 절차도 눈가림도 보고하지 않았으므로 RoB 2를 별도로 적용해도 새로운 정보가 생기지 않아 수행하지 않았고, 이를 이탈로 기록했다(S1, D2-2).</w:t>
      </w:r>
    </w:p>
    <w:p>
      <w:pPr>
        <w:spacing w:line="240" w:lineRule="auto" w:after="120" w:before="0"/>
      </w:pPr>
      <w:r>
        <w:rPr>
          <w:rFonts w:ascii="Times New Roman" w:hAnsi="Times New Roman" w:cs="Times New Roman" w:eastAsia="바탕"/>
          <w:b/>
          <w:i w:val="0"/>
          <w:sz w:val="24"/>
        </w:rPr>
        <w:t>품질평가에 관한 한 가지 단서를 특히 강조한다.</w:t>
      </w:r>
      <w:r>
        <w:rPr>
          <w:rFonts w:ascii="Times New Roman" w:hAnsi="Times New Roman" w:cs="Times New Roman" w:eastAsia="바탕"/>
          <w:b w:val="0"/>
          <w:i w:val="0"/>
          <w:sz w:val="24"/>
        </w:rPr>
        <w:t xml:space="preserve"> 전문은 기계 추출했는데 초기 추출 상한이 인용추적 16편 중 13편을 절단했다. MMAT는 보고가 없으면 항목을 "can't tell"로 판정하므로, </w:t>
      </w:r>
      <w:r>
        <w:rPr>
          <w:rFonts w:ascii="Times New Roman" w:hAnsi="Times New Roman" w:cs="Times New Roman" w:eastAsia="바탕"/>
          <w:b/>
          <w:i w:val="0"/>
          <w:sz w:val="24"/>
        </w:rPr>
        <w:t>절단은 미보고와 구분되지 않고 점수를 아래로 편향시킨다.</w:t>
      </w:r>
      <w:r>
        <w:rPr>
          <w:rFonts w:ascii="Times New Roman" w:hAnsi="Times New Roman" w:cs="Times New Roman" w:eastAsia="바탕"/>
          <w:b w:val="0"/>
          <w:i w:val="0"/>
          <w:sz w:val="24"/>
        </w:rPr>
        <w:t xml:space="preserve"> 절단된 연구 전건을 완전한 전문으로 재평가했고, 7편에서 최소 한 문항의 판정이 바뀌었으며 4편은 등급이 이동했다(그중 3편은 두 등급). 이를 보고하는 것은 자동 전문 추출을 쓰는 어떤 리뷰도 같은 인공물에 노출되며, 우리가 아는 한 이 문제가 보고된 적이 없기 때문이다(S12).</w:t>
      </w:r>
    </w:p>
    <w:p>
      <w:pPr>
        <w:spacing w:line="240" w:lineRule="auto" w:after="80" w:before="200"/>
      </w:pPr>
      <w:r>
        <w:rPr>
          <w:rFonts w:ascii="Times New Roman" w:hAnsi="Times New Roman" w:cs="Times New Roman" w:eastAsia="바탕"/>
          <w:b/>
          <w:i w:val="0"/>
          <w:sz w:val="24"/>
        </w:rPr>
        <w:t>2.6 Synthesis</w:t>
      </w:r>
    </w:p>
    <w:p>
      <w:pPr>
        <w:spacing w:line="240" w:lineRule="auto" w:after="120" w:before="0"/>
      </w:pPr>
      <w:r>
        <w:rPr>
          <w:rFonts w:ascii="Times New Roman" w:hAnsi="Times New Roman" w:cs="Times New Roman" w:eastAsia="바탕"/>
          <w:b w:val="0"/>
          <w:i w:val="0"/>
          <w:sz w:val="24"/>
        </w:rPr>
        <w:t xml:space="preserve">행태 결과와 대비 프레임을 공유하는 독립 추정치가 3개 이상일 때 합성했다. 표준화 평균차는 소표본 보정을 적용한 Hedges' </w:t>
      </w:r>
      <w:r>
        <w:rPr>
          <w:rFonts w:ascii="Times New Roman" w:hAnsi="Times New Roman" w:cs="Times New Roman" w:eastAsia="바탕"/>
          <w:b w:val="0"/>
          <w:i/>
          <w:sz w:val="24"/>
        </w:rPr>
        <w:t>g</w:t>
      </w:r>
      <w:r>
        <w:rPr>
          <w:rFonts w:ascii="Times New Roman" w:hAnsi="Times New Roman" w:cs="Times New Roman" w:eastAsia="바탕"/>
          <w:b w:val="0"/>
          <w:i w:val="0"/>
          <w:sz w:val="24"/>
        </w:rPr>
        <w:t>로 표현했고, 2 × 2 빈도는 오즈비를 거쳐 Chinn 변환(</w:t>
      </w:r>
      <w:r>
        <w:rPr>
          <w:rFonts w:ascii="Times New Roman" w:hAnsi="Times New Roman" w:cs="Times New Roman" w:eastAsia="바탕"/>
          <w:b w:val="0"/>
          <w:i/>
          <w:sz w:val="24"/>
        </w:rPr>
        <w:t>d</w:t>
      </w:r>
      <w:r>
        <w:rPr>
          <w:rFonts w:ascii="Times New Roman" w:hAnsi="Times New Roman" w:cs="Times New Roman" w:eastAsia="바탕"/>
          <w:b w:val="0"/>
          <w:i w:val="0"/>
          <w:sz w:val="24"/>
        </w:rPr>
        <w:t xml:space="preserve"> = ln(OR) × √3/π)으로, 상관은 Fisher's </w:t>
      </w:r>
      <w:r>
        <w:rPr>
          <w:rFonts w:ascii="Times New Roman" w:hAnsi="Times New Roman" w:cs="Times New Roman" w:eastAsia="바탕"/>
          <w:b w:val="0"/>
          <w:i/>
          <w:sz w:val="24"/>
        </w:rPr>
        <w:t>z</w:t>
      </w:r>
      <w:r>
        <w:rPr>
          <w:rFonts w:ascii="Times New Roman" w:hAnsi="Times New Roman" w:cs="Times New Roman" w:eastAsia="바탕"/>
          <w:b w:val="0"/>
          <w:i w:val="0"/>
          <w:sz w:val="24"/>
        </w:rPr>
        <w:t xml:space="preserve">로 합성한 뒤 역변환했다. 합성에는 </w:t>
      </w:r>
      <w:r>
        <w:rPr>
          <w:rFonts w:ascii="Times New Roman" w:hAnsi="Times New Roman" w:cs="Times New Roman" w:eastAsia="바탕"/>
          <w:b/>
          <w:i w:val="0"/>
          <w:sz w:val="24"/>
        </w:rPr>
        <w:t>Hartung–Knapp 보정을 적용한 REML 랜덤효과 모형</w:t>
      </w:r>
      <w:r>
        <w:rPr>
          <w:rFonts w:ascii="Times New Roman" w:hAnsi="Times New Roman" w:cs="Times New Roman" w:eastAsia="바탕"/>
          <w:b w:val="0"/>
          <w:i w:val="0"/>
          <w:sz w:val="24"/>
        </w:rPr>
        <w:t xml:space="preserve">을 썼다. 여기서 다루는 소수의 연구 수에 적합한 방식이다. 이질성은 τ², </w:t>
      </w:r>
      <w:r>
        <w:rPr>
          <w:rFonts w:ascii="Times New Roman" w:hAnsi="Times New Roman" w:cs="Times New Roman" w:eastAsia="바탕"/>
          <w:b w:val="0"/>
          <w:i/>
          <w:sz w:val="24"/>
        </w:rPr>
        <w:t>I</w:t>
      </w:r>
      <w:r>
        <w:rPr>
          <w:rFonts w:ascii="Times New Roman" w:hAnsi="Times New Roman" w:cs="Times New Roman" w:eastAsia="바탕"/>
          <w:b w:val="0"/>
          <w:i w:val="0"/>
          <w:sz w:val="24"/>
        </w:rPr>
        <w:t>², Q로 보고한다.</w:t>
      </w:r>
    </w:p>
    <w:p>
      <w:pPr>
        <w:spacing w:line="240" w:lineRule="auto" w:after="120" w:before="0"/>
      </w:pPr>
      <w:r>
        <w:rPr>
          <w:rFonts w:ascii="Times New Roman" w:hAnsi="Times New Roman" w:cs="Times New Roman" w:eastAsia="바탕"/>
          <w:b w:val="0"/>
          <w:i w:val="0"/>
          <w:sz w:val="24"/>
        </w:rPr>
        <w:t xml:space="preserve">한 연구가 같은 클러스터·같은 대비 프레임에 둘 이상의 추정치를 기여하면 고정된 우선순위로 하나를 택했다(가장 직접적·객관적 측정 &gt; 주분석 &gt; 전체표본). 동급의 다중 효과가 남으면 효과 간 상관 ρ = 0.5를 가정한 논문 내 평균으로 합성했다. 두 논문이 표본을 공유하면 어느 풀에도 한 편만 넣었다. 유사반복 설계에서는 관측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이 아니라 참가자 </w:t>
      </w:r>
      <w:r>
        <w:rPr>
          <w:rFonts w:ascii="Times New Roman" w:hAnsi="Times New Roman" w:cs="Times New Roman" w:eastAsia="바탕"/>
          <w:b w:val="0"/>
          <w:i/>
          <w:sz w:val="24"/>
        </w:rPr>
        <w:t>n</w:t>
      </w:r>
      <w:r>
        <w:rPr>
          <w:rFonts w:ascii="Times New Roman" w:hAnsi="Times New Roman" w:cs="Times New Roman" w:eastAsia="바탕"/>
          <w:b w:val="0"/>
          <w:i w:val="0"/>
          <w:sz w:val="24"/>
        </w:rPr>
        <w:t>을 썼다.</w:t>
      </w:r>
    </w:p>
    <w:p>
      <w:pPr>
        <w:spacing w:line="240" w:lineRule="auto" w:after="120" w:before="0"/>
      </w:pPr>
      <w:r>
        <w:rPr>
          <w:rFonts w:ascii="Times New Roman" w:hAnsi="Times New Roman" w:cs="Times New Roman" w:eastAsia="바탕"/>
          <w:b w:val="0"/>
          <w:i w:val="0"/>
          <w:sz w:val="24"/>
        </w:rPr>
        <w:t xml:space="preserve">두 클러스터에서 이질성이 컸으므로 신뢰구간과 함께 </w:t>
      </w:r>
      <w:r>
        <w:rPr>
          <w:rFonts w:ascii="Times New Roman" w:hAnsi="Times New Roman" w:cs="Times New Roman" w:eastAsia="바탕"/>
          <w:b/>
          <w:i w:val="0"/>
          <w:sz w:val="24"/>
        </w:rPr>
        <w:t>95% 예측구간</w:t>
      </w:r>
      <w:r>
        <w:rPr>
          <w:rFonts w:ascii="Times New Roman" w:hAnsi="Times New Roman" w:cs="Times New Roman" w:eastAsia="바탕"/>
          <w:b w:val="0"/>
          <w:i w:val="0"/>
          <w:sz w:val="24"/>
        </w:rPr>
        <w:t xml:space="preserve">(Higgins–Thompson–Spiegelhalter)을 보고한다. 신뢰구간은 평균의 정밀도를 말하고, 예측구간은 새로운 연구의 효과가 놓일 것으로 기대되는 범위를 말한다. </w:t>
      </w:r>
      <w:r>
        <w:rPr>
          <w:rFonts w:ascii="Times New Roman" w:hAnsi="Times New Roman" w:cs="Times New Roman" w:eastAsia="바탕"/>
          <w:b/>
          <w:i w:val="0"/>
          <w:sz w:val="24"/>
        </w:rPr>
        <w:t>계획 의사결정이 결과에 기댈 수 있는지를 판단하는 데 필요한 것은 후자다.</w:t>
      </w:r>
    </w:p>
    <w:p>
      <w:pPr>
        <w:spacing w:line="240" w:lineRule="auto" w:after="120" w:before="0"/>
      </w:pPr>
      <w:r>
        <w:rPr>
          <w:rFonts w:ascii="Times New Roman" w:hAnsi="Times New Roman" w:cs="Times New Roman" w:eastAsia="바탕"/>
          <w:b/>
          <w:i w:val="0"/>
          <w:sz w:val="24"/>
        </w:rPr>
        <w:t>보고편향은 평가할 수 없었다.</w:t>
      </w:r>
      <w:r>
        <w:rPr>
          <w:rFonts w:ascii="Times New Roman" w:hAnsi="Times New Roman" w:cs="Times New Roman" w:eastAsia="바탕"/>
          <w:b w:val="0"/>
          <w:i w:val="0"/>
          <w:sz w:val="24"/>
        </w:rPr>
        <w:t xml:space="preserve"> 등록 규칙이 깔때기 그림과 Egger 검정을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10인 클러스터로 제한했는데, 여기서 가장 큰 클러스터가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6이다. 따라서 어느 클러스터에서도 검정을 수행하지 않았다. 소규모 연구 효과는 </w:t>
      </w:r>
      <w:r>
        <w:rPr>
          <w:rFonts w:ascii="Times New Roman" w:hAnsi="Times New Roman" w:cs="Times New Roman" w:eastAsia="바탕"/>
          <w:b/>
          <w:i w:val="0"/>
          <w:sz w:val="24"/>
        </w:rPr>
        <w:t>탐지할 수단이 없으므로 배제할 수도 없으며</w:t>
      </w:r>
      <w:r>
        <w:rPr>
          <w:rFonts w:ascii="Times New Roman" w:hAnsi="Times New Roman" w:cs="Times New Roman" w:eastAsia="바탕"/>
          <w:b w:val="0"/>
          <w:i w:val="0"/>
          <w:sz w:val="24"/>
        </w:rPr>
        <w:t>, 합성 추정치는 상한으로 읽어야 한다.</w:t>
      </w:r>
    </w:p>
    <w:p>
      <w:pPr>
        <w:spacing w:line="240" w:lineRule="auto" w:after="120" w:before="0"/>
      </w:pPr>
      <w:r>
        <w:rPr>
          <w:rFonts w:ascii="Times New Roman" w:hAnsi="Times New Roman" w:cs="Times New Roman" w:eastAsia="바탕"/>
          <w:b/>
          <w:i w:val="0"/>
          <w:sz w:val="24"/>
        </w:rPr>
        <w:t>하위그룹 분석은 등록했으나 수행하지 않았다.</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3~6인 클러스터를 세팅·설계·측정세대로 나누면 하위그룹당 추정치가 1~4개가 되어 사전 지정한 최소 3개에 미달하고,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2에서 Hartung–Knapp 구간은 해석이 불가능해진다. 이질성의 원천은 대신 서술적으로 검토했다.</w:t>
      </w:r>
    </w:p>
    <w:p>
      <w:pPr>
        <w:spacing w:line="240" w:lineRule="auto" w:after="120" w:before="0"/>
      </w:pPr>
      <w:r>
        <w:rPr>
          <w:rFonts w:ascii="Times New Roman" w:hAnsi="Times New Roman" w:cs="Times New Roman" w:eastAsia="바탕"/>
          <w:b w:val="0"/>
          <w:i w:val="0"/>
          <w:sz w:val="24"/>
        </w:rPr>
        <w:t xml:space="preserve">여덟 개의 민감도 분석을 수행했다 — leave-one-out, MMAT low 제외, 관측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 재계산, 순위상관 제외, 복원 가정이 필요했던 입력의 제외, 보행속도 풀의 대안적 정의, 옥외 장면을 실험실에서 재현한 연구의 제외, 그리고 사후에 추가한 인용추적 갈래 제외(결론이 보조 검색 경로에 의존하는지 확인하기 위함). 전체 결과는 S8에 있다.</w:t>
      </w:r>
    </w:p>
    <w:p>
      <w:pPr>
        <w:spacing w:line="240" w:lineRule="auto" w:after="80" w:before="200"/>
      </w:pPr>
      <w:r>
        <w:rPr>
          <w:rFonts w:ascii="Times New Roman" w:hAnsi="Times New Roman" w:cs="Times New Roman" w:eastAsia="바탕"/>
          <w:b/>
          <w:i w:val="0"/>
          <w:sz w:val="24"/>
        </w:rPr>
        <w:t>2.7 Departures from the registered protocol</w:t>
      </w:r>
    </w:p>
    <w:p>
      <w:pPr>
        <w:spacing w:line="240" w:lineRule="auto" w:after="120" w:before="0"/>
      </w:pPr>
      <w:r>
        <w:rPr>
          <w:rFonts w:ascii="Times New Roman" w:hAnsi="Times New Roman" w:cs="Times New Roman" w:eastAsia="바탕"/>
          <w:b w:val="0"/>
          <w:i w:val="0"/>
          <w:sz w:val="24"/>
        </w:rPr>
        <w:t xml:space="preserve">프로토콜 이탈 </w:t>
      </w:r>
      <w:r>
        <w:rPr>
          <w:rFonts w:ascii="Times New Roman" w:hAnsi="Times New Roman" w:cs="Times New Roman" w:eastAsia="바탕"/>
          <w:b/>
          <w:i w:val="0"/>
          <w:sz w:val="24"/>
        </w:rPr>
        <w:t>28건</w:t>
      </w:r>
      <w:r>
        <w:rPr>
          <w:rFonts w:ascii="Times New Roman" w:hAnsi="Times New Roman" w:cs="Times New Roman" w:eastAsia="바탕"/>
          <w:b w:val="0"/>
          <w:i w:val="0"/>
          <w:sz w:val="24"/>
        </w:rPr>
        <w:t xml:space="preserve">을 Supplementary S1에 전건 기록했고 아래 Table A로 정리했다. </w:t>
      </w:r>
      <w:r>
        <w:rPr>
          <w:rFonts w:ascii="Times New Roman" w:hAnsi="Times New Roman" w:cs="Times New Roman" w:eastAsia="바탕"/>
          <w:b/>
          <w:i w:val="0"/>
          <w:sz w:val="24"/>
        </w:rPr>
        <w:t>그중 10건이 보고된 결과를 바꿨다.</w:t>
      </w:r>
      <w:r>
        <w:rPr>
          <w:rFonts w:ascii="Times New Roman" w:hAnsi="Times New Roman" w:cs="Times New Roman" w:eastAsia="바탕"/>
          <w:b w:val="0"/>
          <w:i w:val="0"/>
          <w:sz w:val="24"/>
        </w:rPr>
        <w:t xml:space="preserve"> 그 10건은 본문에서 서술하고 나머지는 절차에 관한 것이다. 선별해 싣지 않고 전부 싣는 이유는, 편한 것만 보고하는 이탈 로그는 이탈 로그가 아니기 때문이다.</w:t>
      </w:r>
    </w:p>
    <w:p>
      <w:pPr>
        <w:spacing w:line="240" w:lineRule="auto" w:after="120" w:before="0"/>
      </w:pPr>
      <w:r>
        <w:rPr>
          <w:rFonts w:ascii="Times New Roman" w:hAnsi="Times New Roman" w:cs="Times New Roman" w:eastAsia="바탕"/>
          <w:b/>
          <w:i w:val="0"/>
          <w:sz w:val="24"/>
        </w:rPr>
        <w:t>(1) MMAT 범주를 전문 판독으로 재배정했다</w:t>
      </w:r>
      <w:r>
        <w:rPr>
          <w:rFonts w:ascii="Times New Roman" w:hAnsi="Times New Roman" w:cs="Times New Roman" w:eastAsia="바탕"/>
          <w:b w:val="0"/>
          <w:i w:val="0"/>
          <w:sz w:val="24"/>
        </w:rPr>
        <w:t>(D2-1). 추출된 설계 문자열로 사전 배정한 범주와 전문을 읽은 판정이 다수 어긋났다. 범주가 적용 문항을 결정하므로 등급이 바뀌었다. 가장 흔한 오배정은 "객관적 음향 측정 + 설문"을 혼합연구로 본 것인데, 두 요소가 모두 정량이므로 정량 범주에 해당한다.</w:t>
      </w:r>
    </w:p>
    <w:p>
      <w:pPr>
        <w:spacing w:line="240" w:lineRule="auto" w:after="120" w:before="0"/>
      </w:pPr>
      <w:r>
        <w:rPr>
          <w:rFonts w:ascii="Times New Roman" w:hAnsi="Times New Roman" w:cs="Times New Roman" w:eastAsia="바탕"/>
          <w:b/>
          <w:i w:val="0"/>
          <w:sz w:val="24"/>
        </w:rPr>
        <w:t>(2) 보행속도 풀에서 음악 자극 연구를 제외했다</w:t>
      </w:r>
      <w:r>
        <w:rPr>
          <w:rFonts w:ascii="Times New Roman" w:hAnsi="Times New Roman" w:cs="Times New Roman" w:eastAsia="바탕"/>
          <w:b w:val="0"/>
          <w:i w:val="0"/>
          <w:sz w:val="24"/>
        </w:rPr>
        <w:t xml:space="preserve">(D3-6). 포함하면 추정치가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−0.474(</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.326)에서 −0.742(</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.082)로 이동한다. 즉 </w:t>
      </w:r>
      <w:r>
        <w:rPr>
          <w:rFonts w:ascii="Times New Roman" w:hAnsi="Times New Roman" w:cs="Times New Roman" w:eastAsia="바탕"/>
          <w:b/>
          <w:i w:val="0"/>
          <w:sz w:val="24"/>
        </w:rPr>
        <w:t>제외는 우리 결론에 유리한 선택이 아니라 보수적 선택</w:t>
      </w:r>
      <w:r>
        <w:rPr>
          <w:rFonts w:ascii="Times New Roman" w:hAnsi="Times New Roman" w:cs="Times New Roman" w:eastAsia="바탕"/>
          <w:b w:val="0"/>
          <w:i w:val="0"/>
          <w:sz w:val="24"/>
        </w:rPr>
        <w:t>이다.</w:t>
      </w:r>
    </w:p>
    <w:p>
      <w:pPr>
        <w:spacing w:line="240" w:lineRule="auto" w:after="120" w:before="0"/>
      </w:pPr>
      <w:r>
        <w:rPr>
          <w:rFonts w:ascii="Times New Roman" w:hAnsi="Times New Roman" w:cs="Times New Roman" w:eastAsia="바탕"/>
          <w:b/>
          <w:i w:val="0"/>
          <w:sz w:val="24"/>
        </w:rPr>
        <w:t>(3) 우리 자신의 부호 코딩 오류를 발견해 정정했다</w:t>
      </w:r>
      <w:r>
        <w:rPr>
          <w:rFonts w:ascii="Times New Roman" w:hAnsi="Times New Roman" w:cs="Times New Roman" w:eastAsia="바탕"/>
          <w:b w:val="0"/>
          <w:i w:val="0"/>
          <w:sz w:val="24"/>
        </w:rPr>
        <w:t xml:space="preserve">(D3-4). 사회적 상호작용 클러스터가 처음에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93.6%를 냈고, 원인을 추적하니 Moser(1988)의 오즈비를 반대 방향으로 코딩한 것이었다. 정정 후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43.5%. 이를 기록하는 이유는 이질성 통계가 오류 탐지 장치로 작동했기 때문이며, 이는 작은 </w:t>
      </w:r>
      <w:r>
        <w:rPr>
          <w:rFonts w:ascii="Times New Roman" w:hAnsi="Times New Roman" w:cs="Times New Roman" w:eastAsia="바탕"/>
          <w:b w:val="0"/>
          <w:i/>
          <w:sz w:val="24"/>
        </w:rPr>
        <w:t>k</w:t>
      </w:r>
      <w:r>
        <w:rPr>
          <w:rFonts w:ascii="Times New Roman" w:hAnsi="Times New Roman" w:cs="Times New Roman" w:eastAsia="바탕"/>
          <w:b w:val="0"/>
          <w:i w:val="0"/>
          <w:sz w:val="24"/>
        </w:rPr>
        <w:t>에서 이질성을 눈에 띄게 보고해야 한다는 근거가 된다.</w:t>
      </w:r>
    </w:p>
    <w:p>
      <w:pPr>
        <w:spacing w:line="240" w:lineRule="auto" w:after="120" w:before="0"/>
      </w:pPr>
      <w:r>
        <w:rPr>
          <w:rFonts w:ascii="Times New Roman" w:hAnsi="Times New Roman" w:cs="Times New Roman" w:eastAsia="바탕"/>
          <w:b/>
          <w:i w:val="0"/>
          <w:sz w:val="24"/>
        </w:rPr>
        <w:t>(4) 유의한 클러스터에서, 포함하면 결과가 더 좋아지는 신규 효과를 제외했다</w:t>
      </w:r>
      <w:r>
        <w:rPr>
          <w:rFonts w:ascii="Times New Roman" w:hAnsi="Times New Roman" w:cs="Times New Roman" w:eastAsia="바탕"/>
          <w:b w:val="0"/>
          <w:i w:val="0"/>
          <w:sz w:val="24"/>
        </w:rPr>
        <w:t xml:space="preserve">(D5-4). CT0414(난징, MMAT high)는 "청각 공간"을 시각 및 기타 감각 공간과 대비한 것이지 소리를 소리와 대비한 것이 아니며, 관찰 기록 수(2,249)가 관측 단위(1,167)를 넘어 독립성이 성립하지 않는다. 포함하면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가 .020에서 .005로, </w:t>
      </w:r>
      <w:r>
        <w:rPr>
          <w:rFonts w:ascii="Times New Roman" w:hAnsi="Times New Roman" w:cs="Times New Roman" w:eastAsia="바탕"/>
          <w:b w:val="0"/>
          <w:i/>
          <w:sz w:val="24"/>
        </w:rPr>
        <w:t>I</w:t>
      </w:r>
      <w:r>
        <w:rPr>
          <w:rFonts w:ascii="Times New Roman" w:hAnsi="Times New Roman" w:cs="Times New Roman" w:eastAsia="바탕"/>
          <w:b w:val="0"/>
          <w:i w:val="0"/>
          <w:sz w:val="24"/>
        </w:rPr>
        <w:t>²가 49%에서 77%로 움직인다. 민감도 분석으로만 보고한다.</w:t>
      </w:r>
    </w:p>
    <w:p>
      <w:pPr>
        <w:spacing w:line="240" w:lineRule="auto" w:after="120" w:before="0"/>
      </w:pPr>
      <w:r>
        <w:rPr>
          <w:rFonts w:ascii="Times New Roman" w:hAnsi="Times New Roman" w:cs="Times New Roman" w:eastAsia="바탕"/>
          <w:b/>
          <w:i w:val="0"/>
          <w:sz w:val="24"/>
        </w:rPr>
        <w:t>(5) 전문 추출 절단이 네 편의 품질 등급을 바꿨다</w:t>
      </w:r>
      <w:r>
        <w:rPr>
          <w:rFonts w:ascii="Times New Roman" w:hAnsi="Times New Roman" w:cs="Times New Roman" w:eastAsia="바탕"/>
          <w:b w:val="0"/>
          <w:i w:val="0"/>
          <w:sz w:val="24"/>
        </w:rPr>
        <w:t>(D5-3). §2.5에서 서술했다.</w:t>
      </w:r>
    </w:p>
    <w:p>
      <w:pPr>
        <w:spacing w:line="240" w:lineRule="auto" w:after="120" w:before="0"/>
      </w:pPr>
      <w:r>
        <w:rPr>
          <w:rFonts w:ascii="Times New Roman" w:hAnsi="Times New Roman" w:cs="Times New Roman" w:eastAsia="바탕"/>
          <w:b/>
          <w:i w:val="0"/>
          <w:sz w:val="24"/>
        </w:rPr>
        <w:t>(6) 사회적 상호작용 클러스터가 *p* = .05를 넘으면서 결과 서사를 다시 썼다</w:t>
      </w:r>
      <w:r>
        <w:rPr>
          <w:rFonts w:ascii="Times New Roman" w:hAnsi="Times New Roman" w:cs="Times New Roman" w:eastAsia="바탕"/>
          <w:b w:val="0"/>
          <w:i w:val="0"/>
          <w:sz w:val="24"/>
        </w:rPr>
        <w:t xml:space="preserve">(D5-6). 1차 종합의 주장은 </w:t>
      </w:r>
      <w:r>
        <w:rPr>
          <w:rFonts w:ascii="Times New Roman" w:hAnsi="Times New Roman" w:cs="Times New Roman" w:eastAsia="바탕"/>
          <w:b w:val="0"/>
          <w:i/>
          <w:sz w:val="24"/>
        </w:rPr>
        <w:t>조건 대비 클러스터 셋이 전부 0을 포함하며 관찰적 연관만 축적됐다</w:t>
      </w:r>
      <w:r>
        <w:rPr>
          <w:rFonts w:ascii="Times New Roman" w:hAnsi="Times New Roman" w:cs="Times New Roman" w:eastAsia="바탕"/>
          <w:b w:val="0"/>
          <w:i w:val="0"/>
          <w:sz w:val="24"/>
        </w:rPr>
        <w:t xml:space="preserve">는 것이었다. 1975년 현장실험 한 편을 회수하자 그 클러스터가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.020으로 넘어갔고 주장이 더는 성립하지 않았다. </w:t>
      </w:r>
      <w:r>
        <w:rPr>
          <w:rFonts w:ascii="Times New Roman" w:hAnsi="Times New Roman" w:cs="Times New Roman" w:eastAsia="바탕"/>
          <w:b/>
          <w:i w:val="0"/>
          <w:sz w:val="24"/>
        </w:rPr>
        <w:t>결과가 바뀌어 주장을 고친 것이지 그 반대가 아니며</w:t>
      </w:r>
      <w:r>
        <w:rPr>
          <w:rFonts w:ascii="Times New Roman" w:hAnsi="Times New Roman" w:cs="Times New Roman" w:eastAsia="바탕"/>
          <w:b w:val="0"/>
          <w:i w:val="0"/>
          <w:sz w:val="24"/>
        </w:rPr>
        <w:t>, 이전 주장은 S1에 그대로 보존해 대조할 수 있게 했다.</w:t>
      </w:r>
    </w:p>
    <w:p>
      <w:pPr>
        <w:spacing w:line="240" w:lineRule="auto" w:after="120" w:before="0"/>
      </w:pPr>
      <w:r>
        <w:rPr>
          <w:rFonts w:ascii="Times New Roman" w:hAnsi="Times New Roman" w:cs="Times New Roman" w:eastAsia="바탕"/>
          <w:b/>
          <w:i w:val="0"/>
          <w:sz w:val="24"/>
        </w:rPr>
        <w:t>(7)~(10) 독립 통계 검증에서 우리 구현의 오류 네 건이 드러났다</w:t>
      </w:r>
      <w:r>
        <w:rPr>
          <w:rFonts w:ascii="Times New Roman" w:hAnsi="Times New Roman" w:cs="Times New Roman" w:eastAsia="바탕"/>
          <w:b w:val="0"/>
          <w:i w:val="0"/>
          <w:sz w:val="24"/>
        </w:rPr>
        <w:t xml:space="preserve">(D7-1 ~ D7-4). 원고를 쓰지 않은 외부 검증자에게 메타분석 구현을 </w:t>
      </w:r>
      <w:r>
        <w:rPr>
          <w:rFonts w:ascii="Times New Roman" w:hAnsi="Times New Roman" w:cs="Times New Roman" w:eastAsia="바탕"/>
          <w:b/>
          <w:i w:val="0"/>
          <w:sz w:val="24"/>
        </w:rPr>
        <w:t>반박 임무로</w:t>
      </w:r>
      <w:r>
        <w:rPr>
          <w:rFonts w:ascii="Times New Roman" w:hAnsi="Times New Roman" w:cs="Times New Roman" w:eastAsia="바탕"/>
          <w:b w:val="0"/>
          <w:i w:val="0"/>
          <w:sz w:val="24"/>
        </w:rPr>
        <w:t xml:space="preserve"> 넘긴 결과다. 네 건 모두 우리 잘못이며, 결론을 뒤집지는 않지만 두 건은 조용히 고칠 성질이 아니다.</w:t>
      </w:r>
    </w:p>
    <w:p>
      <w:pPr>
        <w:spacing w:line="240" w:lineRule="auto" w:after="40" w:before="0"/>
        <w:ind w:left="360"/>
      </w:pPr>
      <w:r>
        <w:rPr>
          <w:rFonts w:ascii="Times New Roman" w:hAnsi="Times New Roman" w:cs="Times New Roman" w:eastAsia="바탕"/>
          <w:b w:val="0"/>
          <w:i w:val="0"/>
          <w:sz w:val="24"/>
        </w:rPr>
        <w:t xml:space="preserve">• </w:t>
      </w:r>
      <w:r>
        <w:rPr>
          <w:rFonts w:ascii="Times New Roman" w:hAnsi="Times New Roman" w:cs="Times New Roman" w:eastAsia="바탕"/>
          <w:b/>
          <w:i w:val="0"/>
          <w:sz w:val="24"/>
        </w:rPr>
        <w:t>τ² 추정이 REML이 아니라 최대우도(ML)였다</w:t>
      </w:r>
      <w:r>
        <w:rPr>
          <w:rFonts w:ascii="Times New Roman" w:hAnsi="Times New Roman" w:cs="Times New Roman" w:eastAsia="바탕"/>
          <w:b w:val="0"/>
          <w:i w:val="0"/>
          <w:sz w:val="24"/>
        </w:rPr>
        <w:t xml:space="preserve">(D7-1). 함수 이름과 보고는 REML이었으나 실제 고정점은 ML의 score equation이었다. 같은 함수가 세 파일에 복제돼 있던 것이 원인이며 단일 모듈로 통합했다. 구 추정은 τ²를 참값보다 </w:t>
      </w:r>
      <w:r>
        <w:rPr>
          <w:rFonts w:ascii="Times New Roman" w:hAnsi="Times New Roman" w:cs="Times New Roman" w:eastAsia="바탕"/>
          <w:b/>
          <w:i w:val="0"/>
          <w:sz w:val="24"/>
        </w:rPr>
        <w:t>MA1 33%·MA2 80%·MA3 68%·MA4 17% 작게</w:t>
      </w:r>
      <w:r>
        <w:rPr>
          <w:rFonts w:ascii="Times New Roman" w:hAnsi="Times New Roman" w:cs="Times New Roman" w:eastAsia="바탕"/>
          <w:b w:val="0"/>
          <w:i w:val="0"/>
          <w:sz w:val="24"/>
        </w:rPr>
        <w:t xml:space="preserve"> 잡았고, 그 결과 </w:t>
      </w:r>
      <w:r>
        <w:rPr>
          <w:rFonts w:ascii="Times New Roman" w:hAnsi="Times New Roman" w:cs="Times New Roman" w:eastAsia="바탕"/>
          <w:b/>
          <w:i w:val="0"/>
          <w:sz w:val="24"/>
        </w:rPr>
        <w:t>예측구간이 실제보다 좁게 보고됐다.</w:t>
      </w:r>
      <w:r>
        <w:rPr>
          <w:rFonts w:ascii="Times New Roman" w:hAnsi="Times New Roman" w:cs="Times New Roman" w:eastAsia="바탕"/>
          <w:b w:val="0"/>
          <w:i w:val="0"/>
          <w:sz w:val="24"/>
        </w:rPr>
        <w:t xml:space="preserve"> 네 클러스터를 모두 재계산했다.</w:t>
      </w:r>
    </w:p>
    <w:p>
      <w:pPr>
        <w:spacing w:line="240" w:lineRule="auto" w:after="40" w:before="0"/>
        <w:ind w:left="360"/>
      </w:pPr>
      <w:r>
        <w:rPr>
          <w:rFonts w:ascii="Times New Roman" w:hAnsi="Times New Roman" w:cs="Times New Roman" w:eastAsia="바탕"/>
          <w:b w:val="0"/>
          <w:i w:val="0"/>
          <w:sz w:val="24"/>
        </w:rPr>
        <w:t xml:space="preserve">• </w:t>
      </w:r>
      <w:r>
        <w:rPr>
          <w:rFonts w:ascii="Times New Roman" w:hAnsi="Times New Roman" w:cs="Times New Roman" w:eastAsia="바탕"/>
          <w:b/>
          <w:i w:val="0"/>
          <w:sz w:val="24"/>
        </w:rPr>
        <w:t>보행속도 풀이 우리 자신의 규칙(논문당 1효과)을 어겼다</w:t>
      </w:r>
      <w:r>
        <w:rPr>
          <w:rFonts w:ascii="Times New Roman" w:hAnsi="Times New Roman" w:cs="Times New Roman" w:eastAsia="바탕"/>
          <w:b w:val="0"/>
          <w:i w:val="0"/>
          <w:sz w:val="24"/>
        </w:rPr>
        <w:t xml:space="preserve">(D7-2). 한 연구의 두 실험이 같은 대비 프레임에서 각각 들어가 있었다. 사전 지정한 대로 논문 내 합성해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4에서 3이 됐고 </w:t>
      </w:r>
      <w:r>
        <w:rPr>
          <w:rFonts w:ascii="Times New Roman" w:hAnsi="Times New Roman" w:cs="Times New Roman" w:eastAsia="바탕"/>
          <w:b w:val="0"/>
          <w:i/>
          <w:sz w:val="24"/>
        </w:rPr>
        <w:t>p</w:t>
      </w:r>
      <w:r>
        <w:rPr>
          <w:rFonts w:ascii="Times New Roman" w:hAnsi="Times New Roman" w:cs="Times New Roman" w:eastAsia="바탕"/>
          <w:b w:val="0"/>
          <w:i w:val="0"/>
          <w:sz w:val="24"/>
        </w:rPr>
        <w:t>가 .179에서 .326이 됐다.</w:t>
      </w:r>
    </w:p>
    <w:p>
      <w:pPr>
        <w:spacing w:line="240" w:lineRule="auto" w:after="40" w:before="0"/>
        <w:ind w:left="360"/>
      </w:pPr>
      <w:r>
        <w:rPr>
          <w:rFonts w:ascii="Times New Roman" w:hAnsi="Times New Roman" w:cs="Times New Roman" w:eastAsia="바탕"/>
          <w:b w:val="0"/>
          <w:i w:val="0"/>
          <w:sz w:val="24"/>
        </w:rPr>
        <w:t xml:space="preserve">• </w:t>
      </w:r>
      <w:r>
        <w:rPr>
          <w:rFonts w:ascii="Times New Roman" w:hAnsi="Times New Roman" w:cs="Times New Roman" w:eastAsia="바탕"/>
          <w:b/>
          <w:i w:val="0"/>
          <w:sz w:val="24"/>
        </w:rPr>
        <w:t>상관 클러스터 입력 2건이 원문과 달랐다</w:t>
      </w:r>
      <w:r>
        <w:rPr>
          <w:rFonts w:ascii="Times New Roman" w:hAnsi="Times New Roman" w:cs="Times New Roman" w:eastAsia="바탕"/>
          <w:b w:val="0"/>
          <w:i w:val="0"/>
          <w:sz w:val="24"/>
        </w:rPr>
        <w:t xml:space="preserve">(D7-3). 한 건은 </w:t>
      </w:r>
      <w:r>
        <w:rPr>
          <w:rFonts w:ascii="Times New Roman" w:hAnsi="Times New Roman" w:cs="Times New Roman" w:eastAsia="바탕"/>
          <w:b/>
          <w:i w:val="0"/>
          <w:sz w:val="24"/>
        </w:rPr>
        <w:t>추출표가 효과 통계를 `NR`로 기록했는데 합성 단계에서 값이 만들어져 있었고</w:t>
      </w:r>
      <w:r>
        <w:rPr>
          <w:rFonts w:ascii="Times New Roman" w:hAnsi="Times New Roman" w:cs="Times New Roman" w:eastAsia="바탕"/>
          <w:b w:val="0"/>
          <w:i w:val="0"/>
          <w:sz w:val="24"/>
        </w:rPr>
        <w:t xml:space="preserve">(원문에 그 조합이 없다), 다른 한 건은 상관의 분석 단위가 아닌 표본 크기를 썼다(그 값을 쓰면 원문이 보고한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가 재현되지 않는다). 전자는 풀에서 제외했고 후자는 원문이 보고한 신뢰구간에서 분산을 역산했다.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7에서 6이 되고 </w:t>
      </w:r>
      <w:r>
        <w:rPr>
          <w:rFonts w:ascii="Times New Roman" w:hAnsi="Times New Roman" w:cs="Times New Roman" w:eastAsia="바탕"/>
          <w:b w:val="0"/>
          <w:i/>
          <w:sz w:val="24"/>
        </w:rPr>
        <w:t>r</w:t>
      </w:r>
      <w:r>
        <w:rPr>
          <w:rFonts w:ascii="Times New Roman" w:hAnsi="Times New Roman" w:cs="Times New Roman" w:eastAsia="바탕"/>
          <w:b w:val="0"/>
          <w:i w:val="0"/>
          <w:sz w:val="24"/>
        </w:rPr>
        <w:t>이 +0.409에서 +0.425로 움직였다.</w:t>
      </w:r>
    </w:p>
    <w:p>
      <w:pPr>
        <w:spacing w:line="240" w:lineRule="auto" w:after="40" w:before="0"/>
        <w:ind w:left="360"/>
      </w:pPr>
      <w:r>
        <w:rPr>
          <w:rFonts w:ascii="Times New Roman" w:hAnsi="Times New Roman" w:cs="Times New Roman" w:eastAsia="바탕"/>
          <w:b w:val="0"/>
          <w:i w:val="0"/>
          <w:sz w:val="24"/>
        </w:rPr>
        <w:t xml:space="preserve">• </w:t>
      </w:r>
      <w:r>
        <w:rPr>
          <w:rFonts w:ascii="Times New Roman" w:hAnsi="Times New Roman" w:cs="Times New Roman" w:eastAsia="바탕"/>
          <w:b/>
          <w:i w:val="0"/>
          <w:sz w:val="24"/>
        </w:rPr>
        <w:t>순위상관 제외 민감도가 아무것도 제외하지 않았다</w:t>
      </w:r>
      <w:r>
        <w:rPr>
          <w:rFonts w:ascii="Times New Roman" w:hAnsi="Times New Roman" w:cs="Times New Roman" w:eastAsia="바탕"/>
          <w:b w:val="0"/>
          <w:i w:val="0"/>
          <w:sz w:val="24"/>
        </w:rPr>
        <w:t xml:space="preserve">(D7-4). 입력을 읽으며 출처 필드를 덮어쓴 뒤 그 필드로 걸렀기 때문이다. "주분석과 동일"이라는 종전 보고는 버그의 산물이었고, 실제로 제외하면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4,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+0.484가 된다.</w:t>
      </w:r>
    </w:p>
    <w:p>
      <w:pPr>
        <w:spacing w:line="240" w:lineRule="auto" w:after="80" w:before="0"/>
      </w:pPr>
    </w:p>
    <w:p>
      <w:pPr>
        <w:spacing w:line="240" w:lineRule="auto" w:after="120" w:before="0"/>
      </w:pPr>
      <w:r>
        <w:rPr>
          <w:rFonts w:ascii="Times New Roman" w:hAnsi="Times New Roman" w:cs="Times New Roman" w:eastAsia="바탕"/>
          <w:b/>
          <w:i w:val="0"/>
          <w:sz w:val="24"/>
        </w:rPr>
        <w:t>Table A. All departures from the registered protocol.</w:t>
      </w:r>
      <w:r>
        <w:rPr>
          <w:rFonts w:ascii="Times New Roman" w:hAnsi="Times New Roman" w:cs="Times New Roman" w:eastAsia="바탕"/>
          <w:b w:val="0"/>
          <w:i w:val="0"/>
          <w:sz w:val="24"/>
        </w:rPr>
        <w:t xml:space="preserve"> 이탈 로그(Supplementary S1)에서 기계 생성했다. "Yes"는 보고된 결과를 바꾼 이탈이다.</w:t>
      </w:r>
    </w:p>
    <w:tbl>
      <w:tblPr>
        <w:tblStyle w:val="TableGrid"/>
        <w:tblW w:type="auto" w:w="0"/>
        <w:jc w:val="center"/>
        <w:tblLook w:firstColumn="1" w:firstRow="1" w:lastColumn="0" w:lastRow="0" w:noHBand="0" w:noVBand="1" w:val="04A0"/>
      </w:tblPr>
      <w:tblGrid>
        <w:gridCol w:w="2192"/>
        <w:gridCol w:w="2192"/>
        <w:gridCol w:w="2192"/>
        <w:gridCol w:w="2192"/>
      </w:tblGrid>
      <w:tr>
        <w:tc>
          <w:tcPr>
            <w:tcW w:type="dxa" w:w="2192"/>
          </w:tcPr>
          <w:p>
            <w:pPr>
              <w:spacing w:line="240" w:lineRule="auto" w:after="0"/>
            </w:pPr>
            <w:r/>
            <w:r>
              <w:rPr>
                <w:rFonts w:ascii="Times New Roman" w:hAnsi="Times New Roman" w:cs="Times New Roman" w:eastAsia="바탕"/>
                <w:b/>
                <w:i w:val="0"/>
                <w:sz w:val="22"/>
              </w:rPr>
              <w:t>#</w:t>
            </w:r>
          </w:p>
        </w:tc>
        <w:tc>
          <w:tcPr>
            <w:tcW w:type="dxa" w:w="2192"/>
          </w:tcPr>
          <w:p>
            <w:pPr>
              <w:spacing w:line="240" w:lineRule="auto" w:after="0"/>
            </w:pPr>
            <w:r/>
            <w:r>
              <w:rPr>
                <w:rFonts w:ascii="Times New Roman" w:hAnsi="Times New Roman" w:cs="Times New Roman" w:eastAsia="바탕"/>
                <w:b/>
                <w:i w:val="0"/>
                <w:sz w:val="22"/>
              </w:rPr>
              <w:t>Section</w:t>
            </w:r>
          </w:p>
        </w:tc>
        <w:tc>
          <w:tcPr>
            <w:tcW w:type="dxa" w:w="2192"/>
          </w:tcPr>
          <w:p>
            <w:pPr>
              <w:spacing w:line="240" w:lineRule="auto" w:after="0"/>
            </w:pPr>
            <w:r/>
            <w:r>
              <w:rPr>
                <w:rFonts w:ascii="Times New Roman" w:hAnsi="Times New Roman" w:cs="Times New Roman" w:eastAsia="바탕"/>
                <w:b/>
                <w:i w:val="0"/>
                <w:sz w:val="22"/>
              </w:rPr>
              <w:t>Departure</w:t>
            </w:r>
          </w:p>
        </w:tc>
        <w:tc>
          <w:tcPr>
            <w:tcW w:type="dxa" w:w="2192"/>
          </w:tcPr>
          <w:p>
            <w:pPr>
              <w:spacing w:line="240" w:lineRule="auto" w:after="0"/>
            </w:pPr>
            <w:r/>
            <w:r>
              <w:rPr>
                <w:rFonts w:ascii="Times New Roman" w:hAnsi="Times New Roman" w:cs="Times New Roman" w:eastAsia="바탕"/>
                <w:b/>
                <w:i w:val="0"/>
                <w:sz w:val="22"/>
              </w:rPr>
              <w:t>Effect on results</w:t>
            </w:r>
          </w:p>
        </w:tc>
      </w:tr>
      <w:tr>
        <w:tc>
          <w:tcPr>
            <w:tcW w:type="dxa" w:w="2192"/>
          </w:tcPr>
          <w:p>
            <w:pPr>
              <w:spacing w:line="240" w:lineRule="auto" w:after="0"/>
            </w:pPr>
            <w:r/>
            <w:r>
              <w:rPr>
                <w:rFonts w:ascii="Times New Roman" w:hAnsi="Times New Roman" w:cs="Times New Roman" w:eastAsia="바탕"/>
                <w:b w:val="0"/>
                <w:i w:val="0"/>
                <w:sz w:val="22"/>
              </w:rPr>
              <w:t>D1-1</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All records still uncertain after title/abstract screening were carried to full text rather than excluded</w:t>
            </w:r>
          </w:p>
        </w:tc>
        <w:tc>
          <w:tcPr>
            <w:tcW w:type="dxa" w:w="2192"/>
          </w:tcPr>
          <w:p>
            <w:pPr>
              <w:spacing w:line="240" w:lineRule="auto" w:after="0"/>
            </w:pPr>
            <w:r/>
            <w:r>
              <w:rPr>
                <w:rFonts w:ascii="Times New Roman" w:hAnsi="Times New Roman" w:cs="Times New Roman" w:eastAsia="바탕"/>
                <w:b w:val="0"/>
                <w:i w:val="0"/>
                <w:sz w:val="22"/>
              </w:rPr>
              <w:t>No — widened retrieval, criteria unchanged</w:t>
            </w:r>
          </w:p>
        </w:tc>
      </w:tr>
      <w:tr>
        <w:tc>
          <w:tcPr>
            <w:tcW w:type="dxa" w:w="2192"/>
          </w:tcPr>
          <w:p>
            <w:pPr>
              <w:spacing w:line="240" w:lineRule="auto" w:after="0"/>
            </w:pPr>
            <w:r/>
            <w:r>
              <w:rPr>
                <w:rFonts w:ascii="Times New Roman" w:hAnsi="Times New Roman" w:cs="Times New Roman" w:eastAsia="바탕"/>
                <w:b w:val="0"/>
                <w:i w:val="0"/>
                <w:sz w:val="22"/>
              </w:rPr>
              <w:t>D1-2</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Three recurring boundary cases formalised as rules after registration, then applied uniformly</w:t>
            </w:r>
          </w:p>
        </w:tc>
        <w:tc>
          <w:tcPr>
            <w:tcW w:type="dxa" w:w="2192"/>
          </w:tcPr>
          <w:p>
            <w:pPr>
              <w:spacing w:line="240" w:lineRule="auto" w:after="0"/>
            </w:pPr>
            <w:r/>
            <w:r>
              <w:rPr>
                <w:rFonts w:ascii="Times New Roman" w:hAnsi="Times New Roman" w:cs="Times New Roman" w:eastAsia="바탕"/>
                <w:b w:val="0"/>
                <w:i w:val="0"/>
                <w:sz w:val="22"/>
              </w:rPr>
              <w:t>Moved 3 studies to sensitivity-only</w:t>
            </w:r>
          </w:p>
        </w:tc>
      </w:tr>
      <w:tr>
        <w:tc>
          <w:tcPr>
            <w:tcW w:type="dxa" w:w="2192"/>
          </w:tcPr>
          <w:p>
            <w:pPr>
              <w:spacing w:line="240" w:lineRule="auto" w:after="0"/>
            </w:pPr>
            <w:r/>
            <w:r>
              <w:rPr>
                <w:rFonts w:ascii="Times New Roman" w:hAnsi="Times New Roman" w:cs="Times New Roman" w:eastAsia="바탕"/>
                <w:b w:val="0"/>
                <w:i w:val="0"/>
                <w:sz w:val="22"/>
              </w:rPr>
              <w:t>D1-3</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Title-level priority filter applied to citation-tracking output (registered three-block logic)</w:t>
            </w:r>
          </w:p>
        </w:tc>
        <w:tc>
          <w:tcPr>
            <w:tcW w:type="dxa" w:w="2192"/>
          </w:tcPr>
          <w:p>
            <w:pPr>
              <w:spacing w:line="240" w:lineRule="auto" w:after="0"/>
            </w:pPr>
            <w:r/>
            <w:r>
              <w:rPr>
                <w:rFonts w:ascii="Times New Roman" w:hAnsi="Times New Roman" w:cs="Times New Roman" w:eastAsia="바탕"/>
                <w:b w:val="0"/>
                <w:i w:val="0"/>
                <w:sz w:val="22"/>
              </w:rPr>
              <w:t>Coverage limit; stated in Limitations</w:t>
            </w:r>
          </w:p>
        </w:tc>
      </w:tr>
      <w:tr>
        <w:tc>
          <w:tcPr>
            <w:tcW w:type="dxa" w:w="2192"/>
          </w:tcPr>
          <w:p>
            <w:pPr>
              <w:spacing w:line="240" w:lineRule="auto" w:after="0"/>
            </w:pPr>
            <w:r/>
            <w:r>
              <w:rPr>
                <w:rFonts w:ascii="Times New Roman" w:hAnsi="Times New Roman" w:cs="Times New Roman" w:eastAsia="바탕"/>
                <w:b w:val="0"/>
                <w:i w:val="0"/>
                <w:sz w:val="22"/>
              </w:rPr>
              <w:t>D1-4</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Citation-tracking branch initially stopped at 'reports sought'; completed by manual retrieval of 71 reports</w:t>
            </w:r>
          </w:p>
        </w:tc>
        <w:tc>
          <w:tcPr>
            <w:tcW w:type="dxa" w:w="2192"/>
          </w:tcPr>
          <w:p>
            <w:pPr>
              <w:spacing w:line="240" w:lineRule="auto" w:after="0"/>
            </w:pPr>
            <w:r/>
            <w:r>
              <w:rPr>
                <w:rFonts w:ascii="Times New Roman" w:hAnsi="Times New Roman" w:cs="Times New Roman" w:eastAsia="바탕"/>
                <w:b w:val="0"/>
                <w:i w:val="0"/>
                <w:sz w:val="22"/>
              </w:rPr>
              <w:t>Resolved — branch now complete (15 studies)</w:t>
            </w:r>
          </w:p>
        </w:tc>
      </w:tr>
      <w:tr>
        <w:tc>
          <w:tcPr>
            <w:tcW w:type="dxa" w:w="2192"/>
          </w:tcPr>
          <w:p>
            <w:pPr>
              <w:spacing w:line="240" w:lineRule="auto" w:after="0"/>
            </w:pPr>
            <w:r/>
            <w:r>
              <w:rPr>
                <w:rFonts w:ascii="Times New Roman" w:hAnsi="Times New Roman" w:cs="Times New Roman" w:eastAsia="바탕"/>
                <w:b w:val="0"/>
                <w:i w:val="0"/>
                <w:sz w:val="22"/>
              </w:rPr>
              <w:t>D2-1</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MMAT categories reassigned from full-text reading rather than from the extracted design string</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category determines items, so tiers changed</w:t>
            </w:r>
          </w:p>
        </w:tc>
      </w:tr>
      <w:tr>
        <w:tc>
          <w:tcPr>
            <w:tcW w:type="dxa" w:w="2192"/>
          </w:tcPr>
          <w:p>
            <w:pPr>
              <w:spacing w:line="240" w:lineRule="auto" w:after="0"/>
            </w:pPr>
            <w:r/>
            <w:r>
              <w:rPr>
                <w:rFonts w:ascii="Times New Roman" w:hAnsi="Times New Roman" w:cs="Times New Roman" w:eastAsia="바탕"/>
                <w:b w:val="0"/>
                <w:i w:val="0"/>
                <w:sz w:val="22"/>
              </w:rPr>
              <w:t>D2-2</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RoB 2 not applied separately: only two randomised studies, neither reporting procedure or blinding</w:t>
            </w:r>
          </w:p>
        </w:tc>
        <w:tc>
          <w:tcPr>
            <w:tcW w:type="dxa" w:w="2192"/>
          </w:tcPr>
          <w:p>
            <w:pPr>
              <w:spacing w:line="240" w:lineRule="auto" w:after="0"/>
            </w:pPr>
            <w:r/>
            <w:r>
              <w:rPr>
                <w:rFonts w:ascii="Times New Roman" w:hAnsi="Times New Roman" w:cs="Times New Roman" w:eastAsia="바탕"/>
                <w:b w:val="0"/>
                <w:i w:val="0"/>
                <w:sz w:val="22"/>
              </w:rPr>
              <w:t>No</w:t>
            </w:r>
          </w:p>
        </w:tc>
      </w:tr>
      <w:tr>
        <w:tc>
          <w:tcPr>
            <w:tcW w:type="dxa" w:w="2192"/>
          </w:tcPr>
          <w:p>
            <w:pPr>
              <w:spacing w:line="240" w:lineRule="auto" w:after="0"/>
            </w:pPr>
            <w:r/>
            <w:r>
              <w:rPr>
                <w:rFonts w:ascii="Times New Roman" w:hAnsi="Times New Roman" w:cs="Times New Roman" w:eastAsia="바탕"/>
                <w:b w:val="0"/>
                <w:i w:val="0"/>
                <w:sz w:val="22"/>
              </w:rPr>
              <w:t>D2-3</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One 1978 scanned report left category-undetermined (no text layer)</w:t>
            </w:r>
          </w:p>
        </w:tc>
        <w:tc>
          <w:tcPr>
            <w:tcW w:type="dxa" w:w="2192"/>
          </w:tcPr>
          <w:p>
            <w:pPr>
              <w:spacing w:line="240" w:lineRule="auto" w:after="0"/>
            </w:pPr>
            <w:r/>
            <w:r>
              <w:rPr>
                <w:rFonts w:ascii="Times New Roman" w:hAnsi="Times New Roman" w:cs="Times New Roman" w:eastAsia="바탕"/>
                <w:b w:val="0"/>
                <w:i w:val="0"/>
                <w:sz w:val="22"/>
              </w:rPr>
              <w:t>No — contributes no effect</w:t>
            </w:r>
          </w:p>
        </w:tc>
      </w:tr>
      <w:tr>
        <w:tc>
          <w:tcPr>
            <w:tcW w:type="dxa" w:w="2192"/>
          </w:tcPr>
          <w:p>
            <w:pPr>
              <w:spacing w:line="240" w:lineRule="auto" w:after="0"/>
            </w:pPr>
            <w:r/>
            <w:r>
              <w:rPr>
                <w:rFonts w:ascii="Times New Roman" w:hAnsi="Times New Roman" w:cs="Times New Roman" w:eastAsia="바탕"/>
                <w:b w:val="0"/>
                <w:i w:val="0"/>
                <w:sz w:val="22"/>
              </w:rPr>
              <w:t>D3-1</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Five registered clusters reduced to four; space-use effects were unpoolable (no variance information)</w:t>
            </w:r>
          </w:p>
        </w:tc>
        <w:tc>
          <w:tcPr>
            <w:tcW w:type="dxa" w:w="2192"/>
          </w:tcPr>
          <w:p>
            <w:pPr>
              <w:spacing w:line="240" w:lineRule="auto" w:after="0"/>
            </w:pPr>
            <w:r/>
            <w:r>
              <w:rPr>
                <w:rFonts w:ascii="Times New Roman" w:hAnsi="Times New Roman" w:cs="Times New Roman" w:eastAsia="바탕"/>
                <w:b w:val="0"/>
                <w:i w:val="0"/>
                <w:sz w:val="22"/>
              </w:rPr>
              <w:t>Cluster set; studies remain in narrative synthesis</w:t>
            </w:r>
          </w:p>
        </w:tc>
      </w:tr>
      <w:tr>
        <w:tc>
          <w:tcPr>
            <w:tcW w:type="dxa" w:w="2192"/>
          </w:tcPr>
          <w:p>
            <w:pPr>
              <w:spacing w:line="240" w:lineRule="auto" w:after="0"/>
            </w:pPr>
            <w:r/>
            <w:r>
              <w:rPr>
                <w:rFonts w:ascii="Times New Roman" w:hAnsi="Times New Roman" w:cs="Times New Roman" w:eastAsia="바탕"/>
                <w:b w:val="0"/>
                <w:i w:val="0"/>
                <w:sz w:val="22"/>
              </w:rPr>
              <w:t>D3-2</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Analysis rules (multiple-effect priority, pseudoreplication, non-convertible inputs) fixed in a separate document before any computation</w:t>
            </w:r>
          </w:p>
        </w:tc>
        <w:tc>
          <w:tcPr>
            <w:tcW w:type="dxa" w:w="2192"/>
          </w:tcPr>
          <w:p>
            <w:pPr>
              <w:spacing w:line="240" w:lineRule="auto" w:after="0"/>
            </w:pPr>
            <w:r/>
            <w:r>
              <w:rPr>
                <w:rFonts w:ascii="Times New Roman" w:hAnsi="Times New Roman" w:cs="Times New Roman" w:eastAsia="바탕"/>
                <w:b w:val="0"/>
                <w:i w:val="0"/>
                <w:sz w:val="22"/>
              </w:rPr>
              <w:t>No — pre-specified</w:t>
            </w:r>
          </w:p>
        </w:tc>
      </w:tr>
      <w:tr>
        <w:tc>
          <w:tcPr>
            <w:tcW w:type="dxa" w:w="2192"/>
          </w:tcPr>
          <w:p>
            <w:pPr>
              <w:spacing w:line="240" w:lineRule="auto" w:after="0"/>
            </w:pPr>
            <w:r/>
            <w:r>
              <w:rPr>
                <w:rFonts w:ascii="Times New Roman" w:hAnsi="Times New Roman" w:cs="Times New Roman" w:eastAsia="바탕"/>
                <w:b w:val="0"/>
                <w:i w:val="0"/>
                <w:sz w:val="22"/>
              </w:rPr>
              <w:t>D3-3</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Three unreported values reconstructed (equal-split n; SD back-calculated from p; SE→SD)</w:t>
            </w:r>
          </w:p>
        </w:tc>
        <w:tc>
          <w:tcPr>
            <w:tcW w:type="dxa" w:w="2192"/>
          </w:tcPr>
          <w:p>
            <w:pPr>
              <w:spacing w:line="240" w:lineRule="auto" w:after="0"/>
            </w:pPr>
            <w:r/>
            <w:r>
              <w:rPr>
                <w:rFonts w:ascii="Times New Roman" w:hAnsi="Times New Roman" w:cs="Times New Roman" w:eastAsia="바탕"/>
                <w:b w:val="0"/>
                <w:i w:val="0"/>
                <w:sz w:val="22"/>
              </w:rPr>
              <w:t>Bounded by sensitivity ⑤</w:t>
            </w:r>
          </w:p>
        </w:tc>
      </w:tr>
      <w:tr>
        <w:tc>
          <w:tcPr>
            <w:tcW w:type="dxa" w:w="2192"/>
          </w:tcPr>
          <w:p>
            <w:pPr>
              <w:spacing w:line="240" w:lineRule="auto" w:after="0"/>
            </w:pPr>
            <w:r/>
            <w:r>
              <w:rPr>
                <w:rFonts w:ascii="Times New Roman" w:hAnsi="Times New Roman" w:cs="Times New Roman" w:eastAsia="바탕"/>
                <w:b w:val="0"/>
                <w:i w:val="0"/>
                <w:sz w:val="22"/>
              </w:rPr>
              <w:t>D3-4</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A sign-coding error of our own found and corrected (I² 93.6% → 43.5%)</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corrected before any reporting</w:t>
            </w:r>
          </w:p>
        </w:tc>
      </w:tr>
      <w:tr>
        <w:tc>
          <w:tcPr>
            <w:tcW w:type="dxa" w:w="2192"/>
          </w:tcPr>
          <w:p>
            <w:pPr>
              <w:spacing w:line="240" w:lineRule="auto" w:after="0"/>
            </w:pPr>
            <w:r/>
            <w:r>
              <w:rPr>
                <w:rFonts w:ascii="Times New Roman" w:hAnsi="Times New Roman" w:cs="Times New Roman" w:eastAsia="바탕"/>
                <w:b w:val="0"/>
                <w:i w:val="0"/>
                <w:sz w:val="22"/>
              </w:rPr>
              <w:t>D3-5</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Two sensitivity axes only partially executable (observation-n available for one study; two studies report group-level n only)</w:t>
            </w:r>
          </w:p>
        </w:tc>
        <w:tc>
          <w:tcPr>
            <w:tcW w:type="dxa" w:w="2192"/>
          </w:tcPr>
          <w:p>
            <w:pPr>
              <w:spacing w:line="240" w:lineRule="auto" w:after="0"/>
            </w:pPr>
            <w:r/>
            <w:r>
              <w:rPr>
                <w:rFonts w:ascii="Times New Roman" w:hAnsi="Times New Roman" w:cs="Times New Roman" w:eastAsia="바탕"/>
                <w:b w:val="0"/>
                <w:i w:val="0"/>
                <w:sz w:val="22"/>
              </w:rPr>
              <w:t>Stated per axis</w:t>
            </w:r>
          </w:p>
        </w:tc>
      </w:tr>
      <w:tr>
        <w:tc>
          <w:tcPr>
            <w:tcW w:type="dxa" w:w="2192"/>
          </w:tcPr>
          <w:p>
            <w:pPr>
              <w:spacing w:line="240" w:lineRule="auto" w:after="0"/>
            </w:pPr>
            <w:r/>
            <w:r>
              <w:rPr>
                <w:rFonts w:ascii="Times New Roman" w:hAnsi="Times New Roman" w:cs="Times New Roman" w:eastAsia="바탕"/>
                <w:b w:val="0"/>
                <w:i w:val="0"/>
                <w:sz w:val="22"/>
              </w:rPr>
              <w:t>D3-6</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Walking-speed pool defined without the music-stimulus study</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exclusion is the conservative direction (g −0.500 vs −0.742)</w:t>
            </w:r>
          </w:p>
        </w:tc>
      </w:tr>
      <w:tr>
        <w:tc>
          <w:tcPr>
            <w:tcW w:type="dxa" w:w="2192"/>
          </w:tcPr>
          <w:p>
            <w:pPr>
              <w:spacing w:line="240" w:lineRule="auto" w:after="0"/>
            </w:pPr>
            <w:r/>
            <w:r>
              <w:rPr>
                <w:rFonts w:ascii="Times New Roman" w:hAnsi="Times New Roman" w:cs="Times New Roman" w:eastAsia="바탕"/>
                <w:b w:val="0"/>
                <w:i w:val="0"/>
                <w:sz w:val="22"/>
              </w:rPr>
              <w:t>D4-1</w:t>
            </w:r>
          </w:p>
        </w:tc>
        <w:tc>
          <w:tcPr>
            <w:tcW w:type="dxa" w:w="2192"/>
          </w:tcPr>
          <w:p>
            <w:pPr>
              <w:spacing w:line="240" w:lineRule="auto" w:after="0"/>
            </w:pPr>
            <w:r/>
            <w:r>
              <w:rPr>
                <w:rFonts w:ascii="Times New Roman" w:hAnsi="Times New Roman" w:cs="Times New Roman" w:eastAsia="바탕"/>
                <w:b w:val="0"/>
                <w:i w:val="0"/>
                <w:sz w:val="22"/>
              </w:rPr>
              <w:t>Reporting</w:t>
            </w:r>
          </w:p>
        </w:tc>
        <w:tc>
          <w:tcPr>
            <w:tcW w:type="dxa" w:w="2192"/>
          </w:tcPr>
          <w:p>
            <w:pPr>
              <w:spacing w:line="240" w:lineRule="auto" w:after="0"/>
            </w:pPr>
            <w:r/>
            <w:r>
              <w:rPr>
                <w:rFonts w:ascii="Times New Roman" w:hAnsi="Times New Roman" w:cs="Times New Roman" w:eastAsia="바탕"/>
                <w:b w:val="0"/>
                <w:i w:val="0"/>
                <w:sz w:val="22"/>
              </w:rPr>
              <w:t>Conceptual framework placed in Discussion rather than Results</w:t>
            </w:r>
          </w:p>
        </w:tc>
        <w:tc>
          <w:tcPr>
            <w:tcW w:type="dxa" w:w="2192"/>
          </w:tcPr>
          <w:p>
            <w:pPr>
              <w:spacing w:line="240" w:lineRule="auto" w:after="0"/>
            </w:pPr>
            <w:r/>
            <w:r>
              <w:rPr>
                <w:rFonts w:ascii="Times New Roman" w:hAnsi="Times New Roman" w:cs="Times New Roman" w:eastAsia="바탕"/>
                <w:b w:val="0"/>
                <w:i w:val="0"/>
                <w:sz w:val="22"/>
              </w:rPr>
              <w:t>No — presentation only</w:t>
            </w:r>
          </w:p>
        </w:tc>
      </w:tr>
      <w:tr>
        <w:tc>
          <w:tcPr>
            <w:tcW w:type="dxa" w:w="2192"/>
          </w:tcPr>
          <w:p>
            <w:pPr>
              <w:spacing w:line="240" w:lineRule="auto" w:after="0"/>
            </w:pPr>
            <w:r/>
            <w:r>
              <w:rPr>
                <w:rFonts w:ascii="Times New Roman" w:hAnsi="Times New Roman" w:cs="Times New Roman" w:eastAsia="바탕"/>
                <w:b w:val="0"/>
                <w:i w:val="0"/>
                <w:sz w:val="22"/>
              </w:rPr>
              <w:t>D4-2</w:t>
            </w:r>
          </w:p>
        </w:tc>
        <w:tc>
          <w:tcPr>
            <w:tcW w:type="dxa" w:w="2192"/>
          </w:tcPr>
          <w:p>
            <w:pPr>
              <w:spacing w:line="240" w:lineRule="auto" w:after="0"/>
            </w:pPr>
            <w:r/>
            <w:r>
              <w:rPr>
                <w:rFonts w:ascii="Times New Roman" w:hAnsi="Times New Roman" w:cs="Times New Roman" w:eastAsia="바탕"/>
                <w:b w:val="0"/>
                <w:i w:val="0"/>
                <w:sz w:val="22"/>
              </w:rPr>
              <w:t>Reporting</w:t>
            </w:r>
          </w:p>
        </w:tc>
        <w:tc>
          <w:tcPr>
            <w:tcW w:type="dxa" w:w="2192"/>
          </w:tcPr>
          <w:p>
            <w:pPr>
              <w:spacing w:line="240" w:lineRule="auto" w:after="0"/>
            </w:pPr>
            <w:r/>
            <w:r>
              <w:rPr>
                <w:rFonts w:ascii="Times New Roman" w:hAnsi="Times New Roman" w:cs="Times New Roman" w:eastAsia="바탕"/>
                <w:b w:val="0"/>
                <w:i w:val="0"/>
                <w:sz w:val="22"/>
              </w:rPr>
              <w:t>English-language, journal-only restriction retained as registered</w:t>
            </w:r>
          </w:p>
        </w:tc>
        <w:tc>
          <w:tcPr>
            <w:tcW w:type="dxa" w:w="2192"/>
          </w:tcPr>
          <w:p>
            <w:pPr>
              <w:spacing w:line="240" w:lineRule="auto" w:after="0"/>
            </w:pPr>
            <w:r/>
            <w:r>
              <w:rPr>
                <w:rFonts w:ascii="Times New Roman" w:hAnsi="Times New Roman" w:cs="Times New Roman" w:eastAsia="바탕"/>
                <w:b w:val="0"/>
                <w:i w:val="0"/>
                <w:sz w:val="22"/>
              </w:rPr>
              <w:t>No — registered, not a deviation; consequential for interpretation</w:t>
            </w:r>
          </w:p>
        </w:tc>
      </w:tr>
      <w:tr>
        <w:tc>
          <w:tcPr>
            <w:tcW w:type="dxa" w:w="2192"/>
          </w:tcPr>
          <w:p>
            <w:pPr>
              <w:spacing w:line="240" w:lineRule="auto" w:after="0"/>
            </w:pPr>
            <w:r/>
            <w:r>
              <w:rPr>
                <w:rFonts w:ascii="Times New Roman" w:hAnsi="Times New Roman" w:cs="Times New Roman" w:eastAsia="바탕"/>
                <w:b w:val="0"/>
                <w:i w:val="0"/>
                <w:sz w:val="22"/>
              </w:rPr>
              <w:t>D5-1</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Exclusion code for language added (Chinese-language journal indexed with English metadata)</w:t>
            </w:r>
          </w:p>
        </w:tc>
        <w:tc>
          <w:tcPr>
            <w:tcW w:type="dxa" w:w="2192"/>
          </w:tcPr>
          <w:p>
            <w:pPr>
              <w:spacing w:line="240" w:lineRule="auto" w:after="0"/>
            </w:pPr>
            <w:r/>
            <w:r>
              <w:rPr>
                <w:rFonts w:ascii="Times New Roman" w:hAnsi="Times New Roman" w:cs="Times New Roman" w:eastAsia="바탕"/>
                <w:b w:val="0"/>
                <w:i w:val="0"/>
                <w:sz w:val="22"/>
              </w:rPr>
              <w:t>One verdict changed</w:t>
            </w:r>
          </w:p>
        </w:tc>
      </w:tr>
      <w:tr>
        <w:tc>
          <w:tcPr>
            <w:tcW w:type="dxa" w:w="2192"/>
          </w:tcPr>
          <w:p>
            <w:pPr>
              <w:spacing w:line="240" w:lineRule="auto" w:after="0"/>
            </w:pPr>
            <w:r/>
            <w:r>
              <w:rPr>
                <w:rFonts w:ascii="Times New Roman" w:hAnsi="Times New Roman" w:cs="Times New Roman" w:eastAsia="바탕"/>
                <w:b w:val="0"/>
                <w:i w:val="0"/>
                <w:sz w:val="22"/>
              </w:rPr>
              <w:t>D5-2</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Intention-outcome rule stated inconsistently across branch instructions</w:t>
            </w:r>
          </w:p>
        </w:tc>
        <w:tc>
          <w:tcPr>
            <w:tcW w:type="dxa" w:w="2192"/>
          </w:tcPr>
          <w:p>
            <w:pPr>
              <w:spacing w:line="240" w:lineRule="auto" w:after="0"/>
            </w:pPr>
            <w:r/>
            <w:r>
              <w:rPr>
                <w:rFonts w:ascii="Times New Roman" w:hAnsi="Times New Roman" w:cs="Times New Roman" w:eastAsia="바탕"/>
                <w:b w:val="0"/>
                <w:i w:val="0"/>
                <w:sz w:val="22"/>
              </w:rPr>
              <w:t>No — no verdict depended on it</w:t>
            </w:r>
          </w:p>
        </w:tc>
      </w:tr>
      <w:tr>
        <w:tc>
          <w:tcPr>
            <w:tcW w:type="dxa" w:w="2192"/>
          </w:tcPr>
          <w:p>
            <w:pPr>
              <w:spacing w:line="240" w:lineRule="auto" w:after="0"/>
            </w:pPr>
            <w:r/>
            <w:r>
              <w:rPr>
                <w:rFonts w:ascii="Times New Roman" w:hAnsi="Times New Roman" w:cs="Times New Roman" w:eastAsia="바탕"/>
                <w:b w:val="0"/>
                <w:i w:val="0"/>
                <w:sz w:val="22"/>
              </w:rPr>
              <w:t>D5-3</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Full-text extraction cap truncated 13 of 16 citation-tracked studies; all re-appraised on complete text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7 items and 4 tiers changed</w:t>
            </w:r>
          </w:p>
        </w:tc>
      </w:tr>
      <w:tr>
        <w:tc>
          <w:tcPr>
            <w:tcW w:type="dxa" w:w="2192"/>
          </w:tcPr>
          <w:p>
            <w:pPr>
              <w:spacing w:line="240" w:lineRule="auto" w:after="0"/>
            </w:pPr>
            <w:r/>
            <w:r>
              <w:rPr>
                <w:rFonts w:ascii="Times New Roman" w:hAnsi="Times New Roman" w:cs="Times New Roman" w:eastAsia="바탕"/>
                <w:b w:val="0"/>
                <w:i w:val="0"/>
                <w:sz w:val="22"/>
              </w:rPr>
              <w:t>D5-4</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Four cluster-membership judgements on newly retrieved studies, including one exclusion that would have strengthened the result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see §2.7(4)</w:t>
            </w:r>
          </w:p>
        </w:tc>
      </w:tr>
      <w:tr>
        <w:tc>
          <w:tcPr>
            <w:tcW w:type="dxa" w:w="2192"/>
          </w:tcPr>
          <w:p>
            <w:pPr>
              <w:spacing w:line="240" w:lineRule="auto" w:after="0"/>
            </w:pPr>
            <w:r/>
            <w:r>
              <w:rPr>
                <w:rFonts w:ascii="Times New Roman" w:hAnsi="Times New Roman" w:cs="Times New Roman" w:eastAsia="바탕"/>
                <w:b w:val="0"/>
                <w:i w:val="0"/>
                <w:sz w:val="22"/>
              </w:rPr>
              <w:t>D5-5</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Two publication pairs share samples; one member of each pair admitted to any pool</w:t>
            </w:r>
          </w:p>
        </w:tc>
        <w:tc>
          <w:tcPr>
            <w:tcW w:type="dxa" w:w="2192"/>
          </w:tcPr>
          <w:p>
            <w:pPr>
              <w:spacing w:line="240" w:lineRule="auto" w:after="0"/>
            </w:pPr>
            <w:r/>
            <w:r>
              <w:rPr>
                <w:rFonts w:ascii="Times New Roman" w:hAnsi="Times New Roman" w:cs="Times New Roman" w:eastAsia="바탕"/>
                <w:b w:val="0"/>
                <w:i w:val="0"/>
                <w:sz w:val="22"/>
              </w:rPr>
              <w:t>Prevents double-counting</w:t>
            </w:r>
          </w:p>
        </w:tc>
      </w:tr>
      <w:tr>
        <w:tc>
          <w:tcPr>
            <w:tcW w:type="dxa" w:w="2192"/>
          </w:tcPr>
          <w:p>
            <w:pPr>
              <w:spacing w:line="240" w:lineRule="auto" w:after="0"/>
            </w:pPr>
            <w:r/>
            <w:r>
              <w:rPr>
                <w:rFonts w:ascii="Times New Roman" w:hAnsi="Times New Roman" w:cs="Times New Roman" w:eastAsia="바탕"/>
                <w:b w:val="0"/>
                <w:i w:val="0"/>
                <w:sz w:val="22"/>
              </w:rPr>
              <w:t>D5-6</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Result narrative revised after the social-interaction cluster crossed p = .05</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claim changed because the result changed</w:t>
            </w:r>
          </w:p>
        </w:tc>
      </w:tr>
      <w:tr>
        <w:tc>
          <w:tcPr>
            <w:tcW w:type="dxa" w:w="2192"/>
          </w:tcPr>
          <w:p>
            <w:pPr>
              <w:spacing w:line="240" w:lineRule="auto" w:after="0"/>
            </w:pPr>
            <w:r/>
            <w:r>
              <w:rPr>
                <w:rFonts w:ascii="Times New Roman" w:hAnsi="Times New Roman" w:cs="Times New Roman" w:eastAsia="바탕"/>
                <w:b w:val="0"/>
                <w:i w:val="0"/>
                <w:sz w:val="22"/>
              </w:rPr>
              <w:t>D6-1</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Laboratory-reproduction rule applied to the citation-tracking branch only</w:t>
            </w:r>
          </w:p>
        </w:tc>
        <w:tc>
          <w:tcPr>
            <w:tcW w:type="dxa" w:w="2192"/>
          </w:tcPr>
          <w:p>
            <w:pPr>
              <w:spacing w:line="240" w:lineRule="auto" w:after="0"/>
            </w:pPr>
            <w:r/>
            <w:r>
              <w:rPr>
                <w:rFonts w:ascii="Times New Roman" w:hAnsi="Times New Roman" w:cs="Times New Roman" w:eastAsia="바탕"/>
                <w:b w:val="0"/>
                <w:i w:val="0"/>
                <w:sz w:val="22"/>
              </w:rPr>
              <w:t>No — no such study is poolable</w:t>
            </w:r>
          </w:p>
        </w:tc>
      </w:tr>
      <w:tr>
        <w:tc>
          <w:tcPr>
            <w:tcW w:type="dxa" w:w="2192"/>
          </w:tcPr>
          <w:p>
            <w:pPr>
              <w:spacing w:line="240" w:lineRule="auto" w:after="0"/>
            </w:pPr>
            <w:r/>
            <w:r>
              <w:rPr>
                <w:rFonts w:ascii="Times New Roman" w:hAnsi="Times New Roman" w:cs="Times New Roman" w:eastAsia="바탕"/>
                <w:b w:val="0"/>
                <w:i w:val="0"/>
                <w:sz w:val="22"/>
              </w:rPr>
              <w:t>D6-2</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Registered supplementary index (OpenAlex) screened late, after self-audit found it unscreened</w:t>
            </w:r>
          </w:p>
        </w:tc>
        <w:tc>
          <w:tcPr>
            <w:tcW w:type="dxa" w:w="2192"/>
          </w:tcPr>
          <w:p>
            <w:pPr>
              <w:spacing w:line="240" w:lineRule="auto" w:after="0"/>
            </w:pPr>
            <w:r/>
            <w:r>
              <w:rPr>
                <w:rFonts w:ascii="Times New Roman" w:hAnsi="Times New Roman" w:cs="Times New Roman" w:eastAsia="바탕"/>
                <w:b w:val="0"/>
                <w:i w:val="0"/>
                <w:sz w:val="22"/>
              </w:rPr>
              <w:t>No — the 2 studies found contribute no effect</w:t>
            </w:r>
          </w:p>
        </w:tc>
      </w:tr>
      <w:tr>
        <w:tc>
          <w:tcPr>
            <w:tcW w:type="dxa" w:w="2192"/>
          </w:tcPr>
          <w:p>
            <w:pPr>
              <w:spacing w:line="240" w:lineRule="auto" w:after="0"/>
            </w:pPr>
            <w:r/>
            <w:r>
              <w:rPr>
                <w:rFonts w:ascii="Times New Roman" w:hAnsi="Times New Roman" w:cs="Times New Roman" w:eastAsia="바탕"/>
                <w:b w:val="0"/>
                <w:i w:val="0"/>
                <w:sz w:val="22"/>
              </w:rPr>
              <w:t>D6-3</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 xml:space="preserve">Index language metadata found unreliable (2 of 5 retrieved texts not in English despite </w:t>
            </w:r>
            <w:r>
              <w:rPr>
                <w:rFonts w:ascii="Times New Roman" w:hAnsi="Times New Roman" w:cs="Times New Roman" w:eastAsia="바탕"/>
                <w:b w:val="0"/>
                <w:i w:val="0"/>
                <w:sz w:val="22"/>
              </w:rPr>
              <w:t>language=en</w:t>
            </w:r>
            <w:r>
              <w:rPr>
                <w:rFonts w:ascii="Times New Roman" w:hAnsi="Times New Roman" w:cs="Times New Roman" w:eastAsia="바탕"/>
                <w:b w:val="0"/>
                <w:i w:val="0"/>
                <w:sz w:val="22"/>
              </w:rPr>
              <w:t>)</w:t>
            </w:r>
          </w:p>
        </w:tc>
        <w:tc>
          <w:tcPr>
            <w:tcW w:type="dxa" w:w="2192"/>
          </w:tcPr>
          <w:p>
            <w:pPr>
              <w:spacing w:line="240" w:lineRule="auto" w:after="0"/>
            </w:pPr>
            <w:r/>
            <w:r>
              <w:rPr>
                <w:rFonts w:ascii="Times New Roman" w:hAnsi="Times New Roman" w:cs="Times New Roman" w:eastAsia="바탕"/>
                <w:b w:val="0"/>
                <w:i w:val="0"/>
                <w:sz w:val="22"/>
              </w:rPr>
              <w:t>Two verdicts changed</w:t>
            </w:r>
          </w:p>
        </w:tc>
      </w:tr>
      <w:tr>
        <w:tc>
          <w:tcPr>
            <w:tcW w:type="dxa" w:w="2192"/>
          </w:tcPr>
          <w:p>
            <w:pPr>
              <w:spacing w:line="240" w:lineRule="auto" w:after="0"/>
            </w:pPr>
            <w:r/>
            <w:r>
              <w:rPr>
                <w:rFonts w:ascii="Times New Roman" w:hAnsi="Times New Roman" w:cs="Times New Roman" w:eastAsia="바탕"/>
                <w:b w:val="0"/>
                <w:i w:val="0"/>
                <w:sz w:val="22"/>
              </w:rPr>
              <w:t>D7-1</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τ² estimator was maximum likelihood although reported as REML; corrected and consolidated into a single module</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all four clusters recomputed</w:t>
            </w:r>
          </w:p>
        </w:tc>
      </w:tr>
      <w:tr>
        <w:tc>
          <w:tcPr>
            <w:tcW w:type="dxa" w:w="2192"/>
          </w:tcPr>
          <w:p>
            <w:pPr>
              <w:spacing w:line="240" w:lineRule="auto" w:after="0"/>
            </w:pPr>
            <w:r/>
            <w:r>
              <w:rPr>
                <w:rFonts w:ascii="Times New Roman" w:hAnsi="Times New Roman" w:cs="Times New Roman" w:eastAsia="바탕"/>
                <w:b w:val="0"/>
                <w:i w:val="0"/>
                <w:sz w:val="22"/>
              </w:rPr>
              <w:t>D7-2</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Walking-speed pool violated our own one-effect-per-study rule; the two experiments of one study combined as pre-specified</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k 4 → 3, p .179 → .326</w:t>
            </w:r>
          </w:p>
        </w:tc>
      </w:tr>
      <w:tr>
        <w:tc>
          <w:tcPr>
            <w:tcW w:type="dxa" w:w="2192"/>
          </w:tcPr>
          <w:p>
            <w:pPr>
              <w:spacing w:line="240" w:lineRule="auto" w:after="0"/>
            </w:pPr>
            <w:r/>
            <w:r>
              <w:rPr>
                <w:rFonts w:ascii="Times New Roman" w:hAnsi="Times New Roman" w:cs="Times New Roman" w:eastAsia="바탕"/>
                <w:b w:val="0"/>
                <w:i w:val="0"/>
                <w:sz w:val="22"/>
              </w:rPr>
              <w:t>D7-3</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Two correlational inputs did not match the source: one effect had been constructed at pooling although extraction recorded none; one used a sample size that was not the analytic unit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k 7 → 6, r .409 → .425</w:t>
            </w:r>
          </w:p>
        </w:tc>
      </w:tr>
      <w:tr>
        <w:tc>
          <w:tcPr>
            <w:tcW w:type="dxa" w:w="2192"/>
          </w:tcPr>
          <w:p>
            <w:pPr>
              <w:spacing w:line="240" w:lineRule="auto" w:after="0"/>
            </w:pPr>
            <w:r/>
            <w:r>
              <w:rPr>
                <w:rFonts w:ascii="Times New Roman" w:hAnsi="Times New Roman" w:cs="Times New Roman" w:eastAsia="바탕"/>
                <w:b w:val="0"/>
                <w:i w:val="0"/>
                <w:sz w:val="22"/>
              </w:rPr>
              <w:t>D7-4</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The rank-correlation sensitivity excluded nothing because the source field was overwritten before filtering</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real result k = 4, r = .484</w:t>
            </w:r>
          </w:p>
        </w:tc>
      </w:tr>
    </w:tbl>
    <w:p>
      <w:pPr>
        <w:spacing w:line="240" w:lineRule="auto" w:after="0" w:before="0"/>
      </w:pPr>
    </w:p>
    <w:p>
      <w:pPr>
        <w:spacing w:line="240" w:lineRule="auto" w:after="100" w:before="240"/>
      </w:pPr>
      <w:r>
        <w:rPr>
          <w:rFonts w:ascii="Times New Roman" w:hAnsi="Times New Roman" w:cs="Times New Roman" w:eastAsia="바탕"/>
          <w:b/>
          <w:i w:val="0"/>
          <w:sz w:val="24"/>
        </w:rPr>
        <w:t>3. Results</w:t>
      </w:r>
    </w:p>
    <w:p>
      <w:pPr>
        <w:spacing w:line="240" w:lineRule="auto" w:after="80" w:before="200"/>
      </w:pPr>
      <w:r>
        <w:rPr>
          <w:rFonts w:ascii="Times New Roman" w:hAnsi="Times New Roman" w:cs="Times New Roman" w:eastAsia="바탕"/>
          <w:b/>
          <w:i w:val="0"/>
          <w:sz w:val="24"/>
        </w:rPr>
        <w:t>3.1 Study selection</w:t>
      </w:r>
    </w:p>
    <w:p>
      <w:pPr>
        <w:spacing w:line="240" w:lineRule="auto" w:after="120" w:before="0"/>
      </w:pPr>
      <w:r>
        <w:rPr>
          <w:rFonts w:ascii="Times New Roman" w:hAnsi="Times New Roman" w:cs="Times New Roman" w:eastAsia="바탕"/>
          <w:b w:val="0"/>
          <w:i w:val="0"/>
          <w:sz w:val="24"/>
        </w:rPr>
        <w:t xml:space="preserve">데이터베이스 검색으로 2,073건이 나왔다(Web of Science 1,010, Scopus 850, PubMed 213). 중복 757건을 제거하고 1,316건을 스크리닝해 1,127건을 배제했으며 189건의 전문을 확보 대상으로 삼았다. 89건은 확보하지 못했는데 그중 84건은 스크리닝 단계에서 불확실로 분류돼 있던 것이다. 100편의 전문을 평가해 16편을 배제하고 3편을 민감도 분석용으로 남겨 이 경로에서 </w:t>
      </w:r>
      <w:r>
        <w:rPr>
          <w:rFonts w:ascii="Times New Roman" w:hAnsi="Times New Roman" w:cs="Times New Roman" w:eastAsia="바탕"/>
          <w:b/>
          <w:i w:val="0"/>
          <w:sz w:val="24"/>
        </w:rPr>
        <w:t>81편</w:t>
      </w:r>
      <w:r>
        <w:rPr>
          <w:rFonts w:ascii="Times New Roman" w:hAnsi="Times New Roman" w:cs="Times New Roman" w:eastAsia="바탕"/>
          <w:b w:val="0"/>
          <w:i w:val="0"/>
          <w:sz w:val="24"/>
        </w:rPr>
        <w:t>이 나왔다.</w:t>
      </w:r>
    </w:p>
    <w:p>
      <w:pPr>
        <w:spacing w:line="240" w:lineRule="auto" w:after="120" w:before="0"/>
      </w:pPr>
      <w:r>
        <w:rPr>
          <w:rFonts w:ascii="Times New Roman" w:hAnsi="Times New Roman" w:cs="Times New Roman" w:eastAsia="바탕"/>
          <w:b w:val="0"/>
          <w:i w:val="0"/>
          <w:sz w:val="24"/>
        </w:rPr>
        <w:t xml:space="preserve">이 연구들의 인용을 추적해 풀에 없던 2,073건을 얻었다(후방 413, 전방 1,660). 우선순위 필터 이후 428건을 제목에서, 146건을 초록에서 스크리닝하고 79건의 전문을 확보 대상으로 삼았다. 54편을 확보해 평가했고 38편을 배제, 1편을 민감도용으로 남겨 이 경로가 </w:t>
      </w:r>
      <w:r>
        <w:rPr>
          <w:rFonts w:ascii="Times New Roman" w:hAnsi="Times New Roman" w:cs="Times New Roman" w:eastAsia="바탕"/>
          <w:b/>
          <w:i w:val="0"/>
          <w:sz w:val="24"/>
        </w:rPr>
        <w:t>15편</w:t>
      </w:r>
      <w:r>
        <w:rPr>
          <w:rFonts w:ascii="Times New Roman" w:hAnsi="Times New Roman" w:cs="Times New Roman" w:eastAsia="바탕"/>
          <w:b w:val="0"/>
          <w:i w:val="0"/>
          <w:sz w:val="24"/>
        </w:rPr>
        <w:t>을 더했다 — 데이터베이스 산출의 19%다.</w:t>
      </w:r>
    </w:p>
    <w:p>
      <w:pPr>
        <w:spacing w:line="240" w:lineRule="auto" w:after="120" w:before="0"/>
      </w:pPr>
      <w:r>
        <w:rPr>
          <w:rFonts w:ascii="Times New Roman" w:hAnsi="Times New Roman" w:cs="Times New Roman" w:eastAsia="바탕"/>
          <w:b w:val="0"/>
          <w:i w:val="0"/>
          <w:sz w:val="24"/>
        </w:rPr>
        <w:t xml:space="preserve">보조 색인은 329건을 스크리닝해 15건을 확보 대상으로 삼고 5편을 평가해 </w:t>
      </w:r>
      <w:r>
        <w:rPr>
          <w:rFonts w:ascii="Times New Roman" w:hAnsi="Times New Roman" w:cs="Times New Roman" w:eastAsia="바탕"/>
          <w:b/>
          <w:i w:val="0"/>
          <w:sz w:val="24"/>
        </w:rPr>
        <w:t>2편</w:t>
      </w:r>
      <w:r>
        <w:rPr>
          <w:rFonts w:ascii="Times New Roman" w:hAnsi="Times New Roman" w:cs="Times New Roman" w:eastAsia="바탕"/>
          <w:b w:val="0"/>
          <w:i w:val="0"/>
          <w:sz w:val="24"/>
        </w:rPr>
        <w:t xml:space="preserve">을 포함했다(Fig. 1). 둘 다 합성 가능한 효과를 기여하지 않는다. 이 갈래의 배제 구성 자체가 시사적이다 — 배제 314건 중 147건(47%)이 비실증이었고 서평·사설·논평·부고가 포함된다. OpenAlex가 세 데이터베이스보다 훨씬 넓게 색인하기 때문이며, 따라서 </w:t>
      </w:r>
      <w:r>
        <w:rPr>
          <w:rFonts w:ascii="Times New Roman" w:hAnsi="Times New Roman" w:cs="Times New Roman" w:eastAsia="바탕"/>
          <w:b/>
          <w:i w:val="0"/>
          <w:sz w:val="24"/>
        </w:rPr>
        <w:t>WoS·Scopus·PubMed에 없다는 사실은 누락의 근거로 약하다.</w:t>
      </w:r>
    </w:p>
    <w:p>
      <w:pPr>
        <w:spacing w:line="240" w:lineRule="auto" w:after="120" w:before="0"/>
      </w:pPr>
      <w:r>
        <w:rPr>
          <w:rFonts w:ascii="Times New Roman" w:hAnsi="Times New Roman" w:cs="Times New Roman" w:eastAsia="바탕"/>
          <w:b w:val="0"/>
          <w:i w:val="0"/>
          <w:sz w:val="24"/>
        </w:rPr>
        <w:t xml:space="preserve">최종 코퍼스는 </w:t>
      </w:r>
      <w:r>
        <w:rPr>
          <w:rFonts w:ascii="Times New Roman" w:hAnsi="Times New Roman" w:cs="Times New Roman" w:eastAsia="바탕"/>
          <w:b/>
          <w:i w:val="0"/>
          <w:sz w:val="24"/>
        </w:rPr>
        <w:t>98편</w:t>
      </w:r>
      <w:r>
        <w:rPr>
          <w:rFonts w:ascii="Times New Roman" w:hAnsi="Times New Roman" w:cs="Times New Roman" w:eastAsia="바탕"/>
          <w:b w:val="0"/>
          <w:i w:val="0"/>
          <w:sz w:val="24"/>
        </w:rPr>
        <w:t>이고 민감도 분석 전용 4편이 별도로 있다(분석 대상 총 102편). 연구 특성은 Table 1에 있고 전건 목록은 S5에 있다.</w:t>
      </w:r>
    </w:p>
    <w:p>
      <w:pPr>
        <w:spacing w:line="240" w:lineRule="auto" w:after="120" w:before="0"/>
      </w:pPr>
      <w:r>
        <w:rPr>
          <w:rFonts w:ascii="Times New Roman" w:hAnsi="Times New Roman" w:cs="Times New Roman" w:eastAsia="바탕"/>
          <w:b/>
          <w:i w:val="0"/>
          <w:sz w:val="24"/>
        </w:rPr>
        <w:t>Table 1.</w:t>
      </w:r>
      <w:r>
        <w:rPr>
          <w:rFonts w:ascii="Times New Roman" w:hAnsi="Times New Roman" w:cs="Times New Roman" w:eastAsia="바탕"/>
          <w:b w:val="0"/>
          <w:i w:val="0"/>
          <w:sz w:val="24"/>
        </w:rPr>
        <w:t xml:space="preserve"> Characteristics of the 98 included studies. Percentages are of 98 studies; categories marked † allow a study to appear more than once. The full study-level listing (identifier, route, year, journal, title, country, setting, design, sample, exposure, behavioural domain, measurement generation, direction, quality) is Supplementary S11.</w:t>
      </w:r>
    </w:p>
    <w:tbl>
      <w:tblPr>
        <w:tblStyle w:val="TableGrid"/>
        <w:tblW w:type="auto" w:w="0"/>
        <w:jc w:val="center"/>
        <w:tblLook w:firstColumn="1" w:firstRow="1" w:lastColumn="0" w:lastRow="0" w:noHBand="0" w:noVBand="1" w:val="04A0"/>
      </w:tblPr>
      <w:tblGrid>
        <w:gridCol w:w="2923"/>
        <w:gridCol w:w="2923"/>
        <w:gridCol w:w="2923"/>
      </w:tblGrid>
      <w:tr>
        <w:tc>
          <w:tcPr>
            <w:tcW w:type="dxa" w:w="2923"/>
          </w:tcPr>
          <w:p>
            <w:pPr>
              <w:spacing w:line="240" w:lineRule="auto" w:after="0"/>
            </w:pPr>
            <w:r/>
            <w:r>
              <w:rPr>
                <w:rFonts w:ascii="Times New Roman" w:hAnsi="Times New Roman" w:cs="Times New Roman" w:eastAsia="바탕"/>
                <w:b/>
                <w:i w:val="0"/>
                <w:sz w:val="22"/>
              </w:rPr>
              <w:t>Characteristic</w:t>
            </w:r>
          </w:p>
        </w:tc>
        <w:tc>
          <w:tcPr>
            <w:tcW w:type="dxa" w:w="2923"/>
          </w:tcPr>
          <w:p>
            <w:pPr>
              <w:spacing w:line="240" w:lineRule="auto" w:after="0"/>
            </w:pPr>
            <w:r/>
            <w:r>
              <w:rPr>
                <w:rFonts w:ascii="Times New Roman" w:hAnsi="Times New Roman" w:cs="Times New Roman" w:eastAsia="바탕"/>
                <w:b/>
                <w:i w:val="0"/>
                <w:sz w:val="22"/>
              </w:rPr>
              <w:t>Studies</w:t>
            </w:r>
          </w:p>
        </w:tc>
        <w:tc>
          <w:tcPr>
            <w:tcW w:type="dxa" w:w="2923"/>
          </w:tcPr>
          <w:p>
            <w:pPr>
              <w:spacing w:line="240" w:lineRule="auto" w:after="0"/>
            </w:pPr>
            <w:r/>
            <w:r>
              <w:rPr>
                <w:rFonts w:ascii="Times New Roman" w:hAnsi="Times New Roman" w:cs="Times New Roman" w:eastAsia="바탕"/>
                <w:b/>
                <w:i w:val="0"/>
                <w:sz w:val="22"/>
              </w:rPr>
              <w:t>%</w:t>
            </w:r>
          </w:p>
        </w:tc>
      </w:tr>
      <w:tr>
        <w:tc>
          <w:tcPr>
            <w:tcW w:type="dxa" w:w="2923"/>
          </w:tcPr>
          <w:p>
            <w:pPr>
              <w:spacing w:line="240" w:lineRule="auto" w:after="0"/>
            </w:pPr>
            <w:r/>
            <w:r>
              <w:rPr>
                <w:rFonts w:ascii="Times New Roman" w:hAnsi="Times New Roman" w:cs="Times New Roman" w:eastAsia="바탕"/>
                <w:b/>
                <w:i w:val="0"/>
                <w:sz w:val="22"/>
              </w:rPr>
              <w:t>Publication period</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≤2009</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2010–2019</w:t>
            </w:r>
          </w:p>
        </w:tc>
        <w:tc>
          <w:tcPr>
            <w:tcW w:type="dxa" w:w="2923"/>
          </w:tcPr>
          <w:p>
            <w:pPr>
              <w:spacing w:line="240" w:lineRule="auto" w:after="0"/>
            </w:pPr>
            <w:r/>
            <w:r>
              <w:rPr>
                <w:rFonts w:ascii="Times New Roman" w:hAnsi="Times New Roman" w:cs="Times New Roman" w:eastAsia="바탕"/>
                <w:b w:val="0"/>
                <w:i w:val="0"/>
                <w:sz w:val="22"/>
              </w:rPr>
              <w:t>23</w:t>
            </w:r>
          </w:p>
        </w:tc>
        <w:tc>
          <w:tcPr>
            <w:tcW w:type="dxa" w:w="2923"/>
          </w:tcPr>
          <w:p>
            <w:pPr>
              <w:spacing w:line="240" w:lineRule="auto" w:after="0"/>
            </w:pPr>
            <w:r/>
            <w:r>
              <w:rPr>
                <w:rFonts w:ascii="Times New Roman" w:hAnsi="Times New Roman" w:cs="Times New Roman" w:eastAsia="바탕"/>
                <w:b w:val="0"/>
                <w:i w:val="0"/>
                <w:sz w:val="22"/>
              </w:rPr>
              <w:t>23%</w:t>
            </w:r>
          </w:p>
        </w:tc>
      </w:tr>
      <w:tr>
        <w:tc>
          <w:tcPr>
            <w:tcW w:type="dxa" w:w="2923"/>
          </w:tcPr>
          <w:p>
            <w:pPr>
              <w:spacing w:line="240" w:lineRule="auto" w:after="0"/>
            </w:pPr>
            <w:r/>
            <w:r>
              <w:rPr>
                <w:rFonts w:ascii="Times New Roman" w:hAnsi="Times New Roman" w:cs="Times New Roman" w:eastAsia="바탕"/>
                <w:b w:val="0"/>
                <w:i w:val="0"/>
                <w:sz w:val="22"/>
              </w:rPr>
              <w:t>2020–2026</w:t>
            </w:r>
          </w:p>
        </w:tc>
        <w:tc>
          <w:tcPr>
            <w:tcW w:type="dxa" w:w="2923"/>
          </w:tcPr>
          <w:p>
            <w:pPr>
              <w:spacing w:line="240" w:lineRule="auto" w:after="0"/>
            </w:pPr>
            <w:r/>
            <w:r>
              <w:rPr>
                <w:rFonts w:ascii="Times New Roman" w:hAnsi="Times New Roman" w:cs="Times New Roman" w:eastAsia="바탕"/>
                <w:b w:val="0"/>
                <w:i w:val="0"/>
                <w:sz w:val="22"/>
              </w:rPr>
              <w:t>70</w:t>
            </w:r>
          </w:p>
        </w:tc>
        <w:tc>
          <w:tcPr>
            <w:tcW w:type="dxa" w:w="2923"/>
          </w:tcPr>
          <w:p>
            <w:pPr>
              <w:spacing w:line="240" w:lineRule="auto" w:after="0"/>
            </w:pPr>
            <w:r/>
            <w:r>
              <w:rPr>
                <w:rFonts w:ascii="Times New Roman" w:hAnsi="Times New Roman" w:cs="Times New Roman" w:eastAsia="바탕"/>
                <w:b w:val="0"/>
                <w:i w:val="0"/>
                <w:sz w:val="22"/>
              </w:rPr>
              <w:t>71%</w:t>
            </w:r>
          </w:p>
        </w:tc>
      </w:tr>
      <w:tr>
        <w:tc>
          <w:tcPr>
            <w:tcW w:type="dxa" w:w="2923"/>
          </w:tcPr>
          <w:p>
            <w:pPr>
              <w:spacing w:line="240" w:lineRule="auto" w:after="0"/>
            </w:pPr>
            <w:r/>
            <w:r>
              <w:rPr>
                <w:rFonts w:ascii="Times New Roman" w:hAnsi="Times New Roman" w:cs="Times New Roman" w:eastAsia="바탕"/>
                <w:b/>
                <w:i w:val="0"/>
                <w:sz w:val="22"/>
              </w:rPr>
              <w:t>Study design</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Mixed observation + survey</w:t>
            </w:r>
          </w:p>
        </w:tc>
        <w:tc>
          <w:tcPr>
            <w:tcW w:type="dxa" w:w="2923"/>
          </w:tcPr>
          <w:p>
            <w:pPr>
              <w:spacing w:line="240" w:lineRule="auto" w:after="0"/>
            </w:pPr>
            <w:r/>
            <w:r>
              <w:rPr>
                <w:rFonts w:ascii="Times New Roman" w:hAnsi="Times New Roman" w:cs="Times New Roman" w:eastAsia="바탕"/>
                <w:b w:val="0"/>
                <w:i w:val="0"/>
                <w:sz w:val="22"/>
              </w:rPr>
              <w:t>34</w:t>
            </w:r>
          </w:p>
        </w:tc>
        <w:tc>
          <w:tcPr>
            <w:tcW w:type="dxa" w:w="2923"/>
          </w:tcPr>
          <w:p>
            <w:pPr>
              <w:spacing w:line="240" w:lineRule="auto" w:after="0"/>
            </w:pPr>
            <w:r/>
            <w:r>
              <w:rPr>
                <w:rFonts w:ascii="Times New Roman" w:hAnsi="Times New Roman" w:cs="Times New Roman" w:eastAsia="바탕"/>
                <w:b w:val="0"/>
                <w:i w:val="0"/>
                <w:sz w:val="22"/>
              </w:rPr>
              <w:t>35%</w:t>
            </w:r>
          </w:p>
        </w:tc>
      </w:tr>
      <w:tr>
        <w:tc>
          <w:tcPr>
            <w:tcW w:type="dxa" w:w="2923"/>
          </w:tcPr>
          <w:p>
            <w:pPr>
              <w:spacing w:line="240" w:lineRule="auto" w:after="0"/>
            </w:pPr>
            <w:r/>
            <w:r>
              <w:rPr>
                <w:rFonts w:ascii="Times New Roman" w:hAnsi="Times New Roman" w:cs="Times New Roman" w:eastAsia="바탕"/>
                <w:b w:val="0"/>
                <w:i w:val="0"/>
                <w:sz w:val="22"/>
              </w:rPr>
              <w:t>Survey</w:t>
            </w:r>
          </w:p>
        </w:tc>
        <w:tc>
          <w:tcPr>
            <w:tcW w:type="dxa" w:w="2923"/>
          </w:tcPr>
          <w:p>
            <w:pPr>
              <w:spacing w:line="240" w:lineRule="auto" w:after="0"/>
            </w:pPr>
            <w:r/>
            <w:r>
              <w:rPr>
                <w:rFonts w:ascii="Times New Roman" w:hAnsi="Times New Roman" w:cs="Times New Roman" w:eastAsia="바탕"/>
                <w:b w:val="0"/>
                <w:i w:val="0"/>
                <w:sz w:val="22"/>
              </w:rPr>
              <w:t>25</w:t>
            </w:r>
          </w:p>
        </w:tc>
        <w:tc>
          <w:tcPr>
            <w:tcW w:type="dxa" w:w="2923"/>
          </w:tcPr>
          <w:p>
            <w:pPr>
              <w:spacing w:line="240" w:lineRule="auto" w:after="0"/>
            </w:pPr>
            <w:r/>
            <w:r>
              <w:rPr>
                <w:rFonts w:ascii="Times New Roman" w:hAnsi="Times New Roman" w:cs="Times New Roman" w:eastAsia="바탕"/>
                <w:b w:val="0"/>
                <w:i w:val="0"/>
                <w:sz w:val="22"/>
              </w:rPr>
              <w:t>26%</w:t>
            </w:r>
          </w:p>
        </w:tc>
      </w:tr>
      <w:tr>
        <w:tc>
          <w:tcPr>
            <w:tcW w:type="dxa" w:w="2923"/>
          </w:tcPr>
          <w:p>
            <w:pPr>
              <w:spacing w:line="240" w:lineRule="auto" w:after="0"/>
            </w:pPr>
            <w:r/>
            <w:r>
              <w:rPr>
                <w:rFonts w:ascii="Times New Roman" w:hAnsi="Times New Roman" w:cs="Times New Roman" w:eastAsia="바탕"/>
                <w:b w:val="0"/>
                <w:i w:val="0"/>
                <w:sz w:val="22"/>
              </w:rPr>
              <w:t>Field or natural experiment</w:t>
            </w:r>
          </w:p>
        </w:tc>
        <w:tc>
          <w:tcPr>
            <w:tcW w:type="dxa" w:w="2923"/>
          </w:tcPr>
          <w:p>
            <w:pPr>
              <w:spacing w:line="240" w:lineRule="auto" w:after="0"/>
            </w:pPr>
            <w:r/>
            <w:r>
              <w:rPr>
                <w:rFonts w:ascii="Times New Roman" w:hAnsi="Times New Roman" w:cs="Times New Roman" w:eastAsia="바탕"/>
                <w:b w:val="0"/>
                <w:i w:val="0"/>
                <w:sz w:val="22"/>
              </w:rPr>
              <w:t>19</w:t>
            </w:r>
          </w:p>
        </w:tc>
        <w:tc>
          <w:tcPr>
            <w:tcW w:type="dxa" w:w="2923"/>
          </w:tcPr>
          <w:p>
            <w:pPr>
              <w:spacing w:line="240" w:lineRule="auto" w:after="0"/>
            </w:pPr>
            <w:r/>
            <w:r>
              <w:rPr>
                <w:rFonts w:ascii="Times New Roman" w:hAnsi="Times New Roman" w:cs="Times New Roman" w:eastAsia="바탕"/>
                <w:b w:val="0"/>
                <w:i w:val="0"/>
                <w:sz w:val="22"/>
              </w:rPr>
              <w:t>19%</w:t>
            </w:r>
          </w:p>
        </w:tc>
      </w:tr>
      <w:tr>
        <w:tc>
          <w:tcPr>
            <w:tcW w:type="dxa" w:w="2923"/>
          </w:tcPr>
          <w:p>
            <w:pPr>
              <w:spacing w:line="240" w:lineRule="auto" w:after="0"/>
            </w:pPr>
            <w:r/>
            <w:r>
              <w:rPr>
                <w:rFonts w:ascii="Times New Roman" w:hAnsi="Times New Roman" w:cs="Times New Roman" w:eastAsia="바탕"/>
                <w:b w:val="0"/>
                <w:i w:val="0"/>
                <w:sz w:val="22"/>
              </w:rPr>
              <w:t>Field observation</w:t>
            </w:r>
          </w:p>
        </w:tc>
        <w:tc>
          <w:tcPr>
            <w:tcW w:type="dxa" w:w="2923"/>
          </w:tcPr>
          <w:p>
            <w:pPr>
              <w:spacing w:line="240" w:lineRule="auto" w:after="0"/>
            </w:pPr>
            <w:r/>
            <w:r>
              <w:rPr>
                <w:rFonts w:ascii="Times New Roman" w:hAnsi="Times New Roman" w:cs="Times New Roman" w:eastAsia="바탕"/>
                <w:b w:val="0"/>
                <w:i w:val="0"/>
                <w:sz w:val="22"/>
              </w:rPr>
              <w:t>7</w:t>
            </w:r>
          </w:p>
        </w:tc>
        <w:tc>
          <w:tcPr>
            <w:tcW w:type="dxa" w:w="2923"/>
          </w:tcPr>
          <w:p>
            <w:pPr>
              <w:spacing w:line="240" w:lineRule="auto" w:after="0"/>
            </w:pPr>
            <w:r/>
            <w:r>
              <w:rPr>
                <w:rFonts w:ascii="Times New Roman" w:hAnsi="Times New Roman" w:cs="Times New Roman" w:eastAsia="바탕"/>
                <w:b w:val="0"/>
                <w:i w:val="0"/>
                <w:sz w:val="22"/>
              </w:rPr>
              <w:t>7%</w:t>
            </w:r>
          </w:p>
        </w:tc>
      </w:tr>
      <w:tr>
        <w:tc>
          <w:tcPr>
            <w:tcW w:type="dxa" w:w="2923"/>
          </w:tcPr>
          <w:p>
            <w:pPr>
              <w:spacing w:line="240" w:lineRule="auto" w:after="0"/>
            </w:pPr>
            <w:r/>
            <w:r>
              <w:rPr>
                <w:rFonts w:ascii="Times New Roman" w:hAnsi="Times New Roman" w:cs="Times New Roman" w:eastAsia="바탕"/>
                <w:b w:val="0"/>
                <w:i w:val="0"/>
                <w:sz w:val="22"/>
              </w:rPr>
              <w:t>Sensor / big data</w:t>
            </w:r>
          </w:p>
        </w:tc>
        <w:tc>
          <w:tcPr>
            <w:tcW w:type="dxa" w:w="2923"/>
          </w:tcPr>
          <w:p>
            <w:pPr>
              <w:spacing w:line="240" w:lineRule="auto" w:after="0"/>
            </w:pPr>
            <w:r/>
            <w:r>
              <w:rPr>
                <w:rFonts w:ascii="Times New Roman" w:hAnsi="Times New Roman" w:cs="Times New Roman" w:eastAsia="바탕"/>
                <w:b w:val="0"/>
                <w:i w:val="0"/>
                <w:sz w:val="22"/>
              </w:rPr>
              <w:t>6</w:t>
            </w:r>
          </w:p>
        </w:tc>
        <w:tc>
          <w:tcPr>
            <w:tcW w:type="dxa" w:w="2923"/>
          </w:tcPr>
          <w:p>
            <w:pPr>
              <w:spacing w:line="240" w:lineRule="auto" w:after="0"/>
            </w:pPr>
            <w:r/>
            <w:r>
              <w:rPr>
                <w:rFonts w:ascii="Times New Roman" w:hAnsi="Times New Roman" w:cs="Times New Roman" w:eastAsia="바탕"/>
                <w:b w:val="0"/>
                <w:i w:val="0"/>
                <w:sz w:val="22"/>
              </w:rPr>
              <w:t>6%</w:t>
            </w:r>
          </w:p>
        </w:tc>
      </w:tr>
      <w:tr>
        <w:tc>
          <w:tcPr>
            <w:tcW w:type="dxa" w:w="2923"/>
          </w:tcPr>
          <w:p>
            <w:pPr>
              <w:spacing w:line="240" w:lineRule="auto" w:after="0"/>
            </w:pPr>
            <w:r/>
            <w:r>
              <w:rPr>
                <w:rFonts w:ascii="Times New Roman" w:hAnsi="Times New Roman" w:cs="Times New Roman" w:eastAsia="바탕"/>
                <w:b w:val="0"/>
                <w:i w:val="0"/>
                <w:sz w:val="22"/>
              </w:rPr>
              <w:t>Laboratory / VR experiment</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Other / not reported</w:t>
            </w:r>
          </w:p>
        </w:tc>
        <w:tc>
          <w:tcPr>
            <w:tcW w:type="dxa" w:w="2923"/>
          </w:tcPr>
          <w:p>
            <w:pPr>
              <w:spacing w:line="240" w:lineRule="auto" w:after="0"/>
            </w:pPr>
            <w:r/>
            <w:r>
              <w:rPr>
                <w:rFonts w:ascii="Times New Roman" w:hAnsi="Times New Roman" w:cs="Times New Roman" w:eastAsia="바탕"/>
                <w:b w:val="0"/>
                <w:i w:val="0"/>
                <w:sz w:val="22"/>
              </w:rPr>
              <w:t>2</w:t>
            </w:r>
          </w:p>
        </w:tc>
        <w:tc>
          <w:tcPr>
            <w:tcW w:type="dxa" w:w="2923"/>
          </w:tcPr>
          <w:p>
            <w:pPr>
              <w:spacing w:line="240" w:lineRule="auto" w:after="0"/>
            </w:pPr>
            <w:r/>
            <w:r>
              <w:rPr>
                <w:rFonts w:ascii="Times New Roman" w:hAnsi="Times New Roman" w:cs="Times New Roman" w:eastAsia="바탕"/>
                <w:b w:val="0"/>
                <w:i w:val="0"/>
                <w:sz w:val="22"/>
              </w:rPr>
              <w:t>2%</w:t>
            </w:r>
          </w:p>
        </w:tc>
      </w:tr>
      <w:tr>
        <w:tc>
          <w:tcPr>
            <w:tcW w:type="dxa" w:w="2923"/>
          </w:tcPr>
          <w:p>
            <w:pPr>
              <w:spacing w:line="240" w:lineRule="auto" w:after="0"/>
            </w:pPr>
            <w:r/>
            <w:r>
              <w:rPr>
                <w:rFonts w:ascii="Times New Roman" w:hAnsi="Times New Roman" w:cs="Times New Roman" w:eastAsia="바탕"/>
                <w:b/>
                <w:i w:val="0"/>
                <w:sz w:val="22"/>
              </w:rPr>
              <w:t>Setting</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Street</w:t>
            </w:r>
          </w:p>
        </w:tc>
        <w:tc>
          <w:tcPr>
            <w:tcW w:type="dxa" w:w="2923"/>
          </w:tcPr>
          <w:p>
            <w:pPr>
              <w:spacing w:line="240" w:lineRule="auto" w:after="0"/>
            </w:pPr>
            <w:r/>
            <w:r>
              <w:rPr>
                <w:rFonts w:ascii="Times New Roman" w:hAnsi="Times New Roman" w:cs="Times New Roman" w:eastAsia="바탕"/>
                <w:b w:val="0"/>
                <w:i w:val="0"/>
                <w:sz w:val="22"/>
              </w:rPr>
              <w:t>41</w:t>
            </w:r>
          </w:p>
        </w:tc>
        <w:tc>
          <w:tcPr>
            <w:tcW w:type="dxa" w:w="2923"/>
          </w:tcPr>
          <w:p>
            <w:pPr>
              <w:spacing w:line="240" w:lineRule="auto" w:after="0"/>
            </w:pPr>
            <w:r/>
            <w:r>
              <w:rPr>
                <w:rFonts w:ascii="Times New Roman" w:hAnsi="Times New Roman" w:cs="Times New Roman" w:eastAsia="바탕"/>
                <w:b w:val="0"/>
                <w:i w:val="0"/>
                <w:sz w:val="22"/>
              </w:rPr>
              <w:t>42%</w:t>
            </w:r>
          </w:p>
        </w:tc>
      </w:tr>
      <w:tr>
        <w:tc>
          <w:tcPr>
            <w:tcW w:type="dxa" w:w="2923"/>
          </w:tcPr>
          <w:p>
            <w:pPr>
              <w:spacing w:line="240" w:lineRule="auto" w:after="0"/>
            </w:pPr>
            <w:r/>
            <w:r>
              <w:rPr>
                <w:rFonts w:ascii="Times New Roman" w:hAnsi="Times New Roman" w:cs="Times New Roman" w:eastAsia="바탕"/>
                <w:b w:val="0"/>
                <w:i w:val="0"/>
                <w:sz w:val="22"/>
              </w:rPr>
              <w:t>Park</w:t>
            </w:r>
          </w:p>
        </w:tc>
        <w:tc>
          <w:tcPr>
            <w:tcW w:type="dxa" w:w="2923"/>
          </w:tcPr>
          <w:p>
            <w:pPr>
              <w:spacing w:line="240" w:lineRule="auto" w:after="0"/>
            </w:pPr>
            <w:r/>
            <w:r>
              <w:rPr>
                <w:rFonts w:ascii="Times New Roman" w:hAnsi="Times New Roman" w:cs="Times New Roman" w:eastAsia="바탕"/>
                <w:b w:val="0"/>
                <w:i w:val="0"/>
                <w:sz w:val="22"/>
              </w:rPr>
              <w:t>32</w:t>
            </w:r>
          </w:p>
        </w:tc>
        <w:tc>
          <w:tcPr>
            <w:tcW w:type="dxa" w:w="2923"/>
          </w:tcPr>
          <w:p>
            <w:pPr>
              <w:spacing w:line="240" w:lineRule="auto" w:after="0"/>
            </w:pPr>
            <w:r/>
            <w:r>
              <w:rPr>
                <w:rFonts w:ascii="Times New Roman" w:hAnsi="Times New Roman" w:cs="Times New Roman" w:eastAsia="바탕"/>
                <w:b w:val="0"/>
                <w:i w:val="0"/>
                <w:sz w:val="22"/>
              </w:rPr>
              <w:t>33%</w:t>
            </w:r>
          </w:p>
        </w:tc>
      </w:tr>
      <w:tr>
        <w:tc>
          <w:tcPr>
            <w:tcW w:type="dxa" w:w="2923"/>
          </w:tcPr>
          <w:p>
            <w:pPr>
              <w:spacing w:line="240" w:lineRule="auto" w:after="0"/>
            </w:pPr>
            <w:r/>
            <w:r>
              <w:rPr>
                <w:rFonts w:ascii="Times New Roman" w:hAnsi="Times New Roman" w:cs="Times New Roman" w:eastAsia="바탕"/>
                <w:b w:val="0"/>
                <w:i w:val="0"/>
                <w:sz w:val="22"/>
              </w:rPr>
              <w:t>Square / plaza</w:t>
            </w:r>
          </w:p>
        </w:tc>
        <w:tc>
          <w:tcPr>
            <w:tcW w:type="dxa" w:w="2923"/>
          </w:tcPr>
          <w:p>
            <w:pPr>
              <w:spacing w:line="240" w:lineRule="auto" w:after="0"/>
            </w:pPr>
            <w:r/>
            <w:r>
              <w:rPr>
                <w:rFonts w:ascii="Times New Roman" w:hAnsi="Times New Roman" w:cs="Times New Roman" w:eastAsia="바탕"/>
                <w:b w:val="0"/>
                <w:i w:val="0"/>
                <w:sz w:val="22"/>
              </w:rPr>
              <w:t>10</w:t>
            </w:r>
          </w:p>
        </w:tc>
        <w:tc>
          <w:tcPr>
            <w:tcW w:type="dxa" w:w="2923"/>
          </w:tcPr>
          <w:p>
            <w:pPr>
              <w:spacing w:line="240" w:lineRule="auto" w:after="0"/>
            </w:pPr>
            <w:r/>
            <w:r>
              <w:rPr>
                <w:rFonts w:ascii="Times New Roman" w:hAnsi="Times New Roman" w:cs="Times New Roman" w:eastAsia="바탕"/>
                <w:b w:val="0"/>
                <w:i w:val="0"/>
                <w:sz w:val="22"/>
              </w:rPr>
              <w:t>10%</w:t>
            </w:r>
          </w:p>
        </w:tc>
      </w:tr>
      <w:tr>
        <w:tc>
          <w:tcPr>
            <w:tcW w:type="dxa" w:w="2923"/>
          </w:tcPr>
          <w:p>
            <w:pPr>
              <w:spacing w:line="240" w:lineRule="auto" w:after="0"/>
            </w:pPr>
            <w:r/>
            <w:r>
              <w:rPr>
                <w:rFonts w:ascii="Times New Roman" w:hAnsi="Times New Roman" w:cs="Times New Roman" w:eastAsia="바탕"/>
                <w:b w:val="0"/>
                <w:i w:val="0"/>
                <w:sz w:val="22"/>
              </w:rPr>
              <w:t>Other</w:t>
            </w:r>
          </w:p>
        </w:tc>
        <w:tc>
          <w:tcPr>
            <w:tcW w:type="dxa" w:w="2923"/>
          </w:tcPr>
          <w:p>
            <w:pPr>
              <w:spacing w:line="240" w:lineRule="auto" w:after="0"/>
            </w:pPr>
            <w:r/>
            <w:r>
              <w:rPr>
                <w:rFonts w:ascii="Times New Roman" w:hAnsi="Times New Roman" w:cs="Times New Roman" w:eastAsia="바탕"/>
                <w:b w:val="0"/>
                <w:i w:val="0"/>
                <w:sz w:val="22"/>
              </w:rPr>
              <w:t>8</w:t>
            </w:r>
          </w:p>
        </w:tc>
        <w:tc>
          <w:tcPr>
            <w:tcW w:type="dxa" w:w="2923"/>
          </w:tcPr>
          <w:p>
            <w:pPr>
              <w:spacing w:line="240" w:lineRule="auto" w:after="0"/>
            </w:pPr>
            <w:r/>
            <w:r>
              <w:rPr>
                <w:rFonts w:ascii="Times New Roman" w:hAnsi="Times New Roman" w:cs="Times New Roman" w:eastAsia="바탕"/>
                <w:b w:val="0"/>
                <w:i w:val="0"/>
                <w:sz w:val="22"/>
              </w:rPr>
              <w:t>8%</w:t>
            </w:r>
          </w:p>
        </w:tc>
      </w:tr>
      <w:tr>
        <w:tc>
          <w:tcPr>
            <w:tcW w:type="dxa" w:w="2923"/>
          </w:tcPr>
          <w:p>
            <w:pPr>
              <w:spacing w:line="240" w:lineRule="auto" w:after="0"/>
            </w:pPr>
            <w:r/>
            <w:r>
              <w:rPr>
                <w:rFonts w:ascii="Times New Roman" w:hAnsi="Times New Roman" w:cs="Times New Roman" w:eastAsia="바탕"/>
                <w:b w:val="0"/>
                <w:i w:val="0"/>
                <w:sz w:val="22"/>
              </w:rPr>
              <w:t>Campus</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Residential open space</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Waterfront</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i w:val="0"/>
                <w:sz w:val="22"/>
              </w:rPr>
              <w:t>Country</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China</w:t>
            </w:r>
          </w:p>
        </w:tc>
        <w:tc>
          <w:tcPr>
            <w:tcW w:type="dxa" w:w="2923"/>
          </w:tcPr>
          <w:p>
            <w:pPr>
              <w:spacing w:line="240" w:lineRule="auto" w:after="0"/>
            </w:pPr>
            <w:r/>
            <w:r>
              <w:rPr>
                <w:rFonts w:ascii="Times New Roman" w:hAnsi="Times New Roman" w:cs="Times New Roman" w:eastAsia="바탕"/>
                <w:b w:val="0"/>
                <w:i w:val="0"/>
                <w:sz w:val="22"/>
              </w:rPr>
              <w:t>38</w:t>
            </w:r>
          </w:p>
        </w:tc>
        <w:tc>
          <w:tcPr>
            <w:tcW w:type="dxa" w:w="2923"/>
          </w:tcPr>
          <w:p>
            <w:pPr>
              <w:spacing w:line="240" w:lineRule="auto" w:after="0"/>
            </w:pPr>
            <w:r/>
            <w:r>
              <w:rPr>
                <w:rFonts w:ascii="Times New Roman" w:hAnsi="Times New Roman" w:cs="Times New Roman" w:eastAsia="바탕"/>
                <w:b w:val="0"/>
                <w:i w:val="0"/>
                <w:sz w:val="22"/>
              </w:rPr>
              <w:t>39%</w:t>
            </w:r>
          </w:p>
        </w:tc>
      </w:tr>
      <w:tr>
        <w:tc>
          <w:tcPr>
            <w:tcW w:type="dxa" w:w="2923"/>
          </w:tcPr>
          <w:p>
            <w:pPr>
              <w:spacing w:line="240" w:lineRule="auto" w:after="0"/>
            </w:pPr>
            <w:r/>
            <w:r>
              <w:rPr>
                <w:rFonts w:ascii="Times New Roman" w:hAnsi="Times New Roman" w:cs="Times New Roman" w:eastAsia="바탕"/>
                <w:b w:val="0"/>
                <w:i w:val="0"/>
                <w:sz w:val="22"/>
              </w:rPr>
              <w:t>Spain</w:t>
            </w:r>
          </w:p>
        </w:tc>
        <w:tc>
          <w:tcPr>
            <w:tcW w:type="dxa" w:w="2923"/>
          </w:tcPr>
          <w:p>
            <w:pPr>
              <w:spacing w:line="240" w:lineRule="auto" w:after="0"/>
            </w:pPr>
            <w:r/>
            <w:r>
              <w:rPr>
                <w:rFonts w:ascii="Times New Roman" w:hAnsi="Times New Roman" w:cs="Times New Roman" w:eastAsia="바탕"/>
                <w:b w:val="0"/>
                <w:i w:val="0"/>
                <w:sz w:val="22"/>
              </w:rPr>
              <w:t>7</w:t>
            </w:r>
          </w:p>
        </w:tc>
        <w:tc>
          <w:tcPr>
            <w:tcW w:type="dxa" w:w="2923"/>
          </w:tcPr>
          <w:p>
            <w:pPr>
              <w:spacing w:line="240" w:lineRule="auto" w:after="0"/>
            </w:pPr>
            <w:r/>
            <w:r>
              <w:rPr>
                <w:rFonts w:ascii="Times New Roman" w:hAnsi="Times New Roman" w:cs="Times New Roman" w:eastAsia="바탕"/>
                <w:b w:val="0"/>
                <w:i w:val="0"/>
                <w:sz w:val="22"/>
              </w:rPr>
              <w:t>7%</w:t>
            </w:r>
          </w:p>
        </w:tc>
      </w:tr>
      <w:tr>
        <w:tc>
          <w:tcPr>
            <w:tcW w:type="dxa" w:w="2923"/>
          </w:tcPr>
          <w:p>
            <w:pPr>
              <w:spacing w:line="240" w:lineRule="auto" w:after="0"/>
            </w:pPr>
            <w:r/>
            <w:r>
              <w:rPr>
                <w:rFonts w:ascii="Times New Roman" w:hAnsi="Times New Roman" w:cs="Times New Roman" w:eastAsia="바탕"/>
                <w:b w:val="0"/>
                <w:i w:val="0"/>
                <w:sz w:val="22"/>
              </w:rPr>
              <w:t>United Kingdom</w:t>
            </w:r>
          </w:p>
        </w:tc>
        <w:tc>
          <w:tcPr>
            <w:tcW w:type="dxa" w:w="2923"/>
          </w:tcPr>
          <w:p>
            <w:pPr>
              <w:spacing w:line="240" w:lineRule="auto" w:after="0"/>
            </w:pPr>
            <w:r/>
            <w:r>
              <w:rPr>
                <w:rFonts w:ascii="Times New Roman" w:hAnsi="Times New Roman" w:cs="Times New Roman" w:eastAsia="바탕"/>
                <w:b w:val="0"/>
                <w:i w:val="0"/>
                <w:sz w:val="22"/>
              </w:rPr>
              <w:t>6</w:t>
            </w:r>
          </w:p>
        </w:tc>
        <w:tc>
          <w:tcPr>
            <w:tcW w:type="dxa" w:w="2923"/>
          </w:tcPr>
          <w:p>
            <w:pPr>
              <w:spacing w:line="240" w:lineRule="auto" w:after="0"/>
            </w:pPr>
            <w:r/>
            <w:r>
              <w:rPr>
                <w:rFonts w:ascii="Times New Roman" w:hAnsi="Times New Roman" w:cs="Times New Roman" w:eastAsia="바탕"/>
                <w:b w:val="0"/>
                <w:i w:val="0"/>
                <w:sz w:val="22"/>
              </w:rPr>
              <w:t>6%</w:t>
            </w:r>
          </w:p>
        </w:tc>
      </w:tr>
      <w:tr>
        <w:tc>
          <w:tcPr>
            <w:tcW w:type="dxa" w:w="2923"/>
          </w:tcPr>
          <w:p>
            <w:pPr>
              <w:spacing w:line="240" w:lineRule="auto" w:after="0"/>
            </w:pPr>
            <w:r/>
            <w:r>
              <w:rPr>
                <w:rFonts w:ascii="Times New Roman" w:hAnsi="Times New Roman" w:cs="Times New Roman" w:eastAsia="바탕"/>
                <w:b w:val="0"/>
                <w:i w:val="0"/>
                <w:sz w:val="22"/>
              </w:rPr>
              <w:t>Germany</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Italy</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Australia</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Czechia</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France</w:t>
            </w:r>
          </w:p>
        </w:tc>
        <w:tc>
          <w:tcPr>
            <w:tcW w:type="dxa" w:w="2923"/>
          </w:tcPr>
          <w:p>
            <w:pPr>
              <w:spacing w:line="240" w:lineRule="auto" w:after="0"/>
            </w:pPr>
            <w:r/>
            <w:r>
              <w:rPr>
                <w:rFonts w:ascii="Times New Roman" w:hAnsi="Times New Roman" w:cs="Times New Roman" w:eastAsia="바탕"/>
                <w:b w:val="0"/>
                <w:i w:val="0"/>
                <w:sz w:val="22"/>
              </w:rPr>
              <w:t>3</w:t>
            </w:r>
          </w:p>
        </w:tc>
        <w:tc>
          <w:tcPr>
            <w:tcW w:type="dxa" w:w="2923"/>
          </w:tcPr>
          <w:p>
            <w:pPr>
              <w:spacing w:line="240" w:lineRule="auto" w:after="0"/>
            </w:pPr>
            <w:r/>
            <w:r>
              <w:rPr>
                <w:rFonts w:ascii="Times New Roman" w:hAnsi="Times New Roman" w:cs="Times New Roman" w:eastAsia="바탕"/>
                <w:b w:val="0"/>
                <w:i w:val="0"/>
                <w:sz w:val="22"/>
              </w:rPr>
              <w:t>3%</w:t>
            </w:r>
          </w:p>
        </w:tc>
      </w:tr>
      <w:tr>
        <w:tc>
          <w:tcPr>
            <w:tcW w:type="dxa" w:w="2923"/>
          </w:tcPr>
          <w:p>
            <w:pPr>
              <w:spacing w:line="240" w:lineRule="auto" w:after="0"/>
            </w:pPr>
            <w:r/>
            <w:r>
              <w:rPr>
                <w:rFonts w:ascii="Times New Roman" w:hAnsi="Times New Roman" w:cs="Times New Roman" w:eastAsia="바탕"/>
                <w:b w:val="0"/>
                <w:i w:val="0"/>
                <w:sz w:val="22"/>
              </w:rPr>
              <w:t>Other countries (n = 25)</w:t>
            </w:r>
          </w:p>
        </w:tc>
        <w:tc>
          <w:tcPr>
            <w:tcW w:type="dxa" w:w="2923"/>
          </w:tcPr>
          <w:p>
            <w:pPr>
              <w:spacing w:line="240" w:lineRule="auto" w:after="0"/>
            </w:pPr>
            <w:r/>
            <w:r>
              <w:rPr>
                <w:rFonts w:ascii="Times New Roman" w:hAnsi="Times New Roman" w:cs="Times New Roman" w:eastAsia="바탕"/>
                <w:b w:val="0"/>
                <w:i w:val="0"/>
                <w:sz w:val="22"/>
              </w:rPr>
              <w:t>42</w:t>
            </w:r>
          </w:p>
        </w:tc>
        <w:tc>
          <w:tcPr>
            <w:tcW w:type="dxa" w:w="2923"/>
          </w:tcPr>
          <w:p>
            <w:pPr>
              <w:spacing w:line="240" w:lineRule="auto" w:after="0"/>
            </w:pPr>
            <w:r/>
            <w:r>
              <w:rPr>
                <w:rFonts w:ascii="Times New Roman" w:hAnsi="Times New Roman" w:cs="Times New Roman" w:eastAsia="바탕"/>
                <w:b w:val="0"/>
                <w:i w:val="0"/>
                <w:sz w:val="22"/>
              </w:rPr>
              <w:t>—</w:t>
            </w:r>
          </w:p>
        </w:tc>
      </w:tr>
      <w:tr>
        <w:tc>
          <w:tcPr>
            <w:tcW w:type="dxa" w:w="2923"/>
          </w:tcPr>
          <w:p>
            <w:pPr>
              <w:spacing w:line="240" w:lineRule="auto" w:after="0"/>
            </w:pPr>
            <w:r/>
            <w:r>
              <w:rPr>
                <w:rFonts w:ascii="Times New Roman" w:hAnsi="Times New Roman" w:cs="Times New Roman" w:eastAsia="바탕"/>
                <w:b/>
                <w:i w:val="0"/>
                <w:sz w:val="22"/>
              </w:rPr>
              <w:t>Direction of relationship</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forward</w:t>
            </w:r>
          </w:p>
        </w:tc>
        <w:tc>
          <w:tcPr>
            <w:tcW w:type="dxa" w:w="2923"/>
          </w:tcPr>
          <w:p>
            <w:pPr>
              <w:spacing w:line="240" w:lineRule="auto" w:after="0"/>
            </w:pPr>
            <w:r/>
            <w:r>
              <w:rPr>
                <w:rFonts w:ascii="Times New Roman" w:hAnsi="Times New Roman" w:cs="Times New Roman" w:eastAsia="바탕"/>
                <w:b w:val="0"/>
                <w:i w:val="0"/>
                <w:sz w:val="22"/>
              </w:rPr>
              <w:t>57</w:t>
            </w:r>
          </w:p>
        </w:tc>
        <w:tc>
          <w:tcPr>
            <w:tcW w:type="dxa" w:w="2923"/>
          </w:tcPr>
          <w:p>
            <w:pPr>
              <w:spacing w:line="240" w:lineRule="auto" w:after="0"/>
            </w:pPr>
            <w:r/>
            <w:r>
              <w:rPr>
                <w:rFonts w:ascii="Times New Roman" w:hAnsi="Times New Roman" w:cs="Times New Roman" w:eastAsia="바탕"/>
                <w:b w:val="0"/>
                <w:i w:val="0"/>
                <w:sz w:val="22"/>
              </w:rPr>
              <w:t>58%</w:t>
            </w:r>
          </w:p>
        </w:tc>
      </w:tr>
      <w:tr>
        <w:tc>
          <w:tcPr>
            <w:tcW w:type="dxa" w:w="2923"/>
          </w:tcPr>
          <w:p>
            <w:pPr>
              <w:spacing w:line="240" w:lineRule="auto" w:after="0"/>
            </w:pPr>
            <w:r/>
            <w:r>
              <w:rPr>
                <w:rFonts w:ascii="Times New Roman" w:hAnsi="Times New Roman" w:cs="Times New Roman" w:eastAsia="바탕"/>
                <w:b w:val="0"/>
                <w:i w:val="0"/>
                <w:sz w:val="22"/>
              </w:rPr>
              <w:t>reverse</w:t>
            </w:r>
          </w:p>
        </w:tc>
        <w:tc>
          <w:tcPr>
            <w:tcW w:type="dxa" w:w="2923"/>
          </w:tcPr>
          <w:p>
            <w:pPr>
              <w:spacing w:line="240" w:lineRule="auto" w:after="0"/>
            </w:pPr>
            <w:r/>
            <w:r>
              <w:rPr>
                <w:rFonts w:ascii="Times New Roman" w:hAnsi="Times New Roman" w:cs="Times New Roman" w:eastAsia="바탕"/>
                <w:b w:val="0"/>
                <w:i w:val="0"/>
                <w:sz w:val="22"/>
              </w:rPr>
              <w:t>33</w:t>
            </w:r>
          </w:p>
        </w:tc>
        <w:tc>
          <w:tcPr>
            <w:tcW w:type="dxa" w:w="2923"/>
          </w:tcPr>
          <w:p>
            <w:pPr>
              <w:spacing w:line="240" w:lineRule="auto" w:after="0"/>
            </w:pPr>
            <w:r/>
            <w:r>
              <w:rPr>
                <w:rFonts w:ascii="Times New Roman" w:hAnsi="Times New Roman" w:cs="Times New Roman" w:eastAsia="바탕"/>
                <w:b w:val="0"/>
                <w:i w:val="0"/>
                <w:sz w:val="22"/>
              </w:rPr>
              <w:t>34%</w:t>
            </w:r>
          </w:p>
        </w:tc>
      </w:tr>
      <w:tr>
        <w:tc>
          <w:tcPr>
            <w:tcW w:type="dxa" w:w="2923"/>
          </w:tcPr>
          <w:p>
            <w:pPr>
              <w:spacing w:line="240" w:lineRule="auto" w:after="0"/>
            </w:pPr>
            <w:r/>
            <w:r>
              <w:rPr>
                <w:rFonts w:ascii="Times New Roman" w:hAnsi="Times New Roman" w:cs="Times New Roman" w:eastAsia="바탕"/>
                <w:b w:val="0"/>
                <w:i w:val="0"/>
                <w:sz w:val="22"/>
              </w:rPr>
              <w:t>both</w:t>
            </w:r>
          </w:p>
        </w:tc>
        <w:tc>
          <w:tcPr>
            <w:tcW w:type="dxa" w:w="2923"/>
          </w:tcPr>
          <w:p>
            <w:pPr>
              <w:spacing w:line="240" w:lineRule="auto" w:after="0"/>
            </w:pPr>
            <w:r/>
            <w:r>
              <w:rPr>
                <w:rFonts w:ascii="Times New Roman" w:hAnsi="Times New Roman" w:cs="Times New Roman" w:eastAsia="바탕"/>
                <w:b w:val="0"/>
                <w:i w:val="0"/>
                <w:sz w:val="22"/>
              </w:rPr>
              <w:t>8</w:t>
            </w:r>
          </w:p>
        </w:tc>
        <w:tc>
          <w:tcPr>
            <w:tcW w:type="dxa" w:w="2923"/>
          </w:tcPr>
          <w:p>
            <w:pPr>
              <w:spacing w:line="240" w:lineRule="auto" w:after="0"/>
            </w:pPr>
            <w:r/>
            <w:r>
              <w:rPr>
                <w:rFonts w:ascii="Times New Roman" w:hAnsi="Times New Roman" w:cs="Times New Roman" w:eastAsia="바탕"/>
                <w:b w:val="0"/>
                <w:i w:val="0"/>
                <w:sz w:val="22"/>
              </w:rPr>
              <w:t>8%</w:t>
            </w:r>
          </w:p>
        </w:tc>
      </w:tr>
      <w:tr>
        <w:tc>
          <w:tcPr>
            <w:tcW w:type="dxa" w:w="2923"/>
          </w:tcPr>
          <w:p>
            <w:pPr>
              <w:spacing w:line="240" w:lineRule="auto" w:after="0"/>
            </w:pPr>
            <w:r/>
            <w:r>
              <w:rPr>
                <w:rFonts w:ascii="Times New Roman" w:hAnsi="Times New Roman" w:cs="Times New Roman" w:eastAsia="바탕"/>
                <w:b/>
                <w:i w:val="0"/>
                <w:sz w:val="22"/>
              </w:rPr>
              <w:t>Behavioural measurement generation</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G1</w:t>
            </w:r>
          </w:p>
        </w:tc>
        <w:tc>
          <w:tcPr>
            <w:tcW w:type="dxa" w:w="2923"/>
          </w:tcPr>
          <w:p>
            <w:pPr>
              <w:spacing w:line="240" w:lineRule="auto" w:after="0"/>
            </w:pPr>
            <w:r/>
            <w:r>
              <w:rPr>
                <w:rFonts w:ascii="Times New Roman" w:hAnsi="Times New Roman" w:cs="Times New Roman" w:eastAsia="바탕"/>
                <w:b w:val="0"/>
                <w:i w:val="0"/>
                <w:sz w:val="22"/>
              </w:rPr>
              <w:t>54</w:t>
            </w:r>
          </w:p>
        </w:tc>
        <w:tc>
          <w:tcPr>
            <w:tcW w:type="dxa" w:w="2923"/>
          </w:tcPr>
          <w:p>
            <w:pPr>
              <w:spacing w:line="240" w:lineRule="auto" w:after="0"/>
            </w:pPr>
            <w:r/>
            <w:r>
              <w:rPr>
                <w:rFonts w:ascii="Times New Roman" w:hAnsi="Times New Roman" w:cs="Times New Roman" w:eastAsia="바탕"/>
                <w:b w:val="0"/>
                <w:i w:val="0"/>
                <w:sz w:val="22"/>
              </w:rPr>
              <w:t>55%</w:t>
            </w:r>
          </w:p>
        </w:tc>
      </w:tr>
      <w:tr>
        <w:tc>
          <w:tcPr>
            <w:tcW w:type="dxa" w:w="2923"/>
          </w:tcPr>
          <w:p>
            <w:pPr>
              <w:spacing w:line="240" w:lineRule="auto" w:after="0"/>
            </w:pPr>
            <w:r/>
            <w:r>
              <w:rPr>
                <w:rFonts w:ascii="Times New Roman" w:hAnsi="Times New Roman" w:cs="Times New Roman" w:eastAsia="바탕"/>
                <w:b w:val="0"/>
                <w:i w:val="0"/>
                <w:sz w:val="22"/>
              </w:rPr>
              <w:t>G2</w:t>
            </w:r>
          </w:p>
        </w:tc>
        <w:tc>
          <w:tcPr>
            <w:tcW w:type="dxa" w:w="2923"/>
          </w:tcPr>
          <w:p>
            <w:pPr>
              <w:spacing w:line="240" w:lineRule="auto" w:after="0"/>
            </w:pPr>
            <w:r/>
            <w:r>
              <w:rPr>
                <w:rFonts w:ascii="Times New Roman" w:hAnsi="Times New Roman" w:cs="Times New Roman" w:eastAsia="바탕"/>
                <w:b w:val="0"/>
                <w:i w:val="0"/>
                <w:sz w:val="22"/>
              </w:rPr>
              <w:t>42</w:t>
            </w:r>
          </w:p>
        </w:tc>
        <w:tc>
          <w:tcPr>
            <w:tcW w:type="dxa" w:w="2923"/>
          </w:tcPr>
          <w:p>
            <w:pPr>
              <w:spacing w:line="240" w:lineRule="auto" w:after="0"/>
            </w:pPr>
            <w:r/>
            <w:r>
              <w:rPr>
                <w:rFonts w:ascii="Times New Roman" w:hAnsi="Times New Roman" w:cs="Times New Roman" w:eastAsia="바탕"/>
                <w:b w:val="0"/>
                <w:i w:val="0"/>
                <w:sz w:val="22"/>
              </w:rPr>
              <w:t>43%</w:t>
            </w:r>
          </w:p>
        </w:tc>
      </w:tr>
      <w:tr>
        <w:tc>
          <w:tcPr>
            <w:tcW w:type="dxa" w:w="2923"/>
          </w:tcPr>
          <w:p>
            <w:pPr>
              <w:spacing w:line="240" w:lineRule="auto" w:after="0"/>
            </w:pPr>
            <w:r/>
            <w:r>
              <w:rPr>
                <w:rFonts w:ascii="Times New Roman" w:hAnsi="Times New Roman" w:cs="Times New Roman" w:eastAsia="바탕"/>
                <w:b w:val="0"/>
                <w:i w:val="0"/>
                <w:sz w:val="22"/>
              </w:rPr>
              <w:t>G3</w:t>
            </w:r>
          </w:p>
        </w:tc>
        <w:tc>
          <w:tcPr>
            <w:tcW w:type="dxa" w:w="2923"/>
          </w:tcPr>
          <w:p>
            <w:pPr>
              <w:spacing w:line="240" w:lineRule="auto" w:after="0"/>
            </w:pPr>
            <w:r/>
            <w:r>
              <w:rPr>
                <w:rFonts w:ascii="Times New Roman" w:hAnsi="Times New Roman" w:cs="Times New Roman" w:eastAsia="바탕"/>
                <w:b w:val="0"/>
                <w:i w:val="0"/>
                <w:sz w:val="22"/>
              </w:rPr>
              <w:t>24</w:t>
            </w:r>
          </w:p>
        </w:tc>
        <w:tc>
          <w:tcPr>
            <w:tcW w:type="dxa" w:w="2923"/>
          </w:tcPr>
          <w:p>
            <w:pPr>
              <w:spacing w:line="240" w:lineRule="auto" w:after="0"/>
            </w:pPr>
            <w:r/>
            <w:r>
              <w:rPr>
                <w:rFonts w:ascii="Times New Roman" w:hAnsi="Times New Roman" w:cs="Times New Roman" w:eastAsia="바탕"/>
                <w:b w:val="0"/>
                <w:i w:val="0"/>
                <w:sz w:val="22"/>
              </w:rPr>
              <w:t>24%</w:t>
            </w:r>
          </w:p>
        </w:tc>
      </w:tr>
      <w:tr>
        <w:tc>
          <w:tcPr>
            <w:tcW w:type="dxa" w:w="2923"/>
          </w:tcPr>
          <w:p>
            <w:pPr>
              <w:spacing w:line="240" w:lineRule="auto" w:after="0"/>
            </w:pPr>
            <w:r/>
            <w:r>
              <w:rPr>
                <w:rFonts w:ascii="Times New Roman" w:hAnsi="Times New Roman" w:cs="Times New Roman" w:eastAsia="바탕"/>
                <w:b/>
                <w:i w:val="0"/>
                <w:sz w:val="22"/>
              </w:rPr>
              <w:t>Methodological quality (MMAT 2018)</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High</w:t>
            </w:r>
          </w:p>
        </w:tc>
        <w:tc>
          <w:tcPr>
            <w:tcW w:type="dxa" w:w="2923"/>
          </w:tcPr>
          <w:p>
            <w:pPr>
              <w:spacing w:line="240" w:lineRule="auto" w:after="0"/>
            </w:pPr>
            <w:r/>
            <w:r>
              <w:rPr>
                <w:rFonts w:ascii="Times New Roman" w:hAnsi="Times New Roman" w:cs="Times New Roman" w:eastAsia="바탕"/>
                <w:b w:val="0"/>
                <w:i w:val="0"/>
                <w:sz w:val="22"/>
              </w:rPr>
              <w:t>22</w:t>
            </w:r>
          </w:p>
        </w:tc>
        <w:tc>
          <w:tcPr>
            <w:tcW w:type="dxa" w:w="2923"/>
          </w:tcPr>
          <w:p>
            <w:pPr>
              <w:spacing w:line="240" w:lineRule="auto" w:after="0"/>
            </w:pPr>
            <w:r/>
            <w:r>
              <w:rPr>
                <w:rFonts w:ascii="Times New Roman" w:hAnsi="Times New Roman" w:cs="Times New Roman" w:eastAsia="바탕"/>
                <w:b w:val="0"/>
                <w:i w:val="0"/>
                <w:sz w:val="22"/>
              </w:rPr>
              <w:t>22%</w:t>
            </w:r>
          </w:p>
        </w:tc>
      </w:tr>
      <w:tr>
        <w:tc>
          <w:tcPr>
            <w:tcW w:type="dxa" w:w="2923"/>
          </w:tcPr>
          <w:p>
            <w:pPr>
              <w:spacing w:line="240" w:lineRule="auto" w:after="0"/>
            </w:pPr>
            <w:r/>
            <w:r>
              <w:rPr>
                <w:rFonts w:ascii="Times New Roman" w:hAnsi="Times New Roman" w:cs="Times New Roman" w:eastAsia="바탕"/>
                <w:b w:val="0"/>
                <w:i w:val="0"/>
                <w:sz w:val="22"/>
              </w:rPr>
              <w:t>Moderate</w:t>
            </w:r>
          </w:p>
        </w:tc>
        <w:tc>
          <w:tcPr>
            <w:tcW w:type="dxa" w:w="2923"/>
          </w:tcPr>
          <w:p>
            <w:pPr>
              <w:spacing w:line="240" w:lineRule="auto" w:after="0"/>
            </w:pPr>
            <w:r/>
            <w:r>
              <w:rPr>
                <w:rFonts w:ascii="Times New Roman" w:hAnsi="Times New Roman" w:cs="Times New Roman" w:eastAsia="바탕"/>
                <w:b w:val="0"/>
                <w:i w:val="0"/>
                <w:sz w:val="22"/>
              </w:rPr>
              <w:t>40</w:t>
            </w:r>
          </w:p>
        </w:tc>
        <w:tc>
          <w:tcPr>
            <w:tcW w:type="dxa" w:w="2923"/>
          </w:tcPr>
          <w:p>
            <w:pPr>
              <w:spacing w:line="240" w:lineRule="auto" w:after="0"/>
            </w:pPr>
            <w:r/>
            <w:r>
              <w:rPr>
                <w:rFonts w:ascii="Times New Roman" w:hAnsi="Times New Roman" w:cs="Times New Roman" w:eastAsia="바탕"/>
                <w:b w:val="0"/>
                <w:i w:val="0"/>
                <w:sz w:val="22"/>
              </w:rPr>
              <w:t>41%</w:t>
            </w:r>
          </w:p>
        </w:tc>
      </w:tr>
      <w:tr>
        <w:tc>
          <w:tcPr>
            <w:tcW w:type="dxa" w:w="2923"/>
          </w:tcPr>
          <w:p>
            <w:pPr>
              <w:spacing w:line="240" w:lineRule="auto" w:after="0"/>
            </w:pPr>
            <w:r/>
            <w:r>
              <w:rPr>
                <w:rFonts w:ascii="Times New Roman" w:hAnsi="Times New Roman" w:cs="Times New Roman" w:eastAsia="바탕"/>
                <w:b w:val="0"/>
                <w:i w:val="0"/>
                <w:sz w:val="22"/>
              </w:rPr>
              <w:t>Low</w:t>
            </w:r>
          </w:p>
        </w:tc>
        <w:tc>
          <w:tcPr>
            <w:tcW w:type="dxa" w:w="2923"/>
          </w:tcPr>
          <w:p>
            <w:pPr>
              <w:spacing w:line="240" w:lineRule="auto" w:after="0"/>
            </w:pPr>
            <w:r/>
            <w:r>
              <w:rPr>
                <w:rFonts w:ascii="Times New Roman" w:hAnsi="Times New Roman" w:cs="Times New Roman" w:eastAsia="바탕"/>
                <w:b w:val="0"/>
                <w:i w:val="0"/>
                <w:sz w:val="22"/>
              </w:rPr>
              <w:t>36</w:t>
            </w:r>
          </w:p>
        </w:tc>
        <w:tc>
          <w:tcPr>
            <w:tcW w:type="dxa" w:w="2923"/>
          </w:tcPr>
          <w:p>
            <w:pPr>
              <w:spacing w:line="240" w:lineRule="auto" w:after="0"/>
            </w:pPr>
            <w:r/>
            <w:r>
              <w:rPr>
                <w:rFonts w:ascii="Times New Roman" w:hAnsi="Times New Roman" w:cs="Times New Roman" w:eastAsia="바탕"/>
                <w:b w:val="0"/>
                <w:i w:val="0"/>
                <w:sz w:val="22"/>
              </w:rPr>
              <w:t>37%</w:t>
            </w:r>
          </w:p>
        </w:tc>
      </w:tr>
    </w:tbl>
    <w:p>
      <w:pPr>
        <w:spacing w:line="240" w:lineRule="auto" w:after="0" w:before="0"/>
      </w:pPr>
    </w:p>
    <w:p>
      <w:pPr>
        <w:spacing w:line="240" w:lineRule="auto" w:after="120" w:before="0"/>
      </w:pPr>
      <w:r>
        <w:rPr>
          <w:rFonts w:ascii="Times New Roman" w:hAnsi="Times New Roman" w:cs="Times New Roman" w:eastAsia="바탕"/>
          <w:b w:val="0"/>
          <w:i w:val="0"/>
          <w:sz w:val="24"/>
        </w:rPr>
        <w:t>G1 = self-report; G2 = systematic observation; G3 = sensing, GPS, video or big-data measurement of behaviour.</w:t>
      </w:r>
    </w:p>
    <w:p>
      <w:pPr>
        <w:spacing w:line="240" w:lineRule="auto" w:after="120" w:before="0"/>
      </w:pPr>
      <w:r>
        <w:rPr>
          <w:rFonts w:ascii="Times New Roman" w:hAnsi="Times New Roman" w:cs="Times New Roman" w:eastAsia="바탕"/>
          <w:b w:val="0"/>
          <w:i w:val="0"/>
          <w:sz w:val="24"/>
        </w:rPr>
        <w:t xml:space="preserve">두 개의 큰 갈래는 산출률에서 교훈적으로 갈렸다. 초록을 기계적으로 확보해 행태 결과를 확인할 수 있던 레코드는 </w:t>
      </w:r>
      <w:r>
        <w:rPr>
          <w:rFonts w:ascii="Times New Roman" w:hAnsi="Times New Roman" w:cs="Times New Roman" w:eastAsia="바탕"/>
          <w:b/>
          <w:i w:val="0"/>
          <w:sz w:val="24"/>
        </w:rPr>
        <w:t>46%</w:t>
      </w:r>
      <w:r>
        <w:rPr>
          <w:rFonts w:ascii="Times New Roman" w:hAnsi="Times New Roman" w:cs="Times New Roman" w:eastAsia="바탕"/>
          <w:b w:val="0"/>
          <w:i w:val="0"/>
          <w:sz w:val="24"/>
        </w:rPr>
        <w:t xml:space="preserve">가 살아남았고(37건 중 17건), 초록을 확보할 수 없어 제목만으로 통과시킨 레코드는 </w:t>
      </w:r>
      <w:r>
        <w:rPr>
          <w:rFonts w:ascii="Times New Roman" w:hAnsi="Times New Roman" w:cs="Times New Roman" w:eastAsia="바탕"/>
          <w:b/>
          <w:i w:val="0"/>
          <w:sz w:val="24"/>
        </w:rPr>
        <w:t>0%</w:t>
      </w:r>
      <w:r>
        <w:rPr>
          <w:rFonts w:ascii="Times New Roman" w:hAnsi="Times New Roman" w:cs="Times New Roman" w:eastAsia="바탕"/>
          <w:b w:val="0"/>
          <w:i w:val="0"/>
          <w:sz w:val="24"/>
        </w:rPr>
        <w:t xml:space="preserve">였다(17건 중 0건). 주제적 그럴듯함이 아니라 </w:t>
      </w:r>
      <w:r>
        <w:rPr>
          <w:rFonts w:ascii="Times New Roman" w:hAnsi="Times New Roman" w:cs="Times New Roman" w:eastAsia="바탕"/>
          <w:b/>
          <w:i w:val="0"/>
          <w:sz w:val="24"/>
        </w:rPr>
        <w:t>초록 확보 가능성이 스크리닝 정확도를 결정했다.</w:t>
      </w:r>
      <w:r>
        <w:rPr>
          <w:rFonts w:ascii="Times New Roman" w:hAnsi="Times New Roman" w:cs="Times New Roman" w:eastAsia="바탕"/>
          <w:b w:val="0"/>
          <w:i w:val="0"/>
          <w:sz w:val="24"/>
        </w:rPr>
        <w:t xml:space="preserve"> 동시에 이는 미확보된 제목-판단 레코드 22건이 코퍼스를 바꿨을 가능성이 낮다는 뜻이기도 하다.</w:t>
      </w:r>
    </w:p>
    <w:p>
      <w:pPr>
        <w:spacing w:line="240" w:lineRule="auto" w:after="80" w:before="200"/>
      </w:pPr>
      <w:r>
        <w:rPr>
          <w:rFonts w:ascii="Times New Roman" w:hAnsi="Times New Roman" w:cs="Times New Roman" w:eastAsia="바탕"/>
          <w:b/>
          <w:i w:val="0"/>
          <w:sz w:val="24"/>
        </w:rPr>
        <w:t>3.2 Study characteristics</w:t>
      </w:r>
    </w:p>
    <w:p>
      <w:pPr>
        <w:spacing w:line="240" w:lineRule="auto" w:after="120" w:before="0"/>
      </w:pPr>
      <w:r>
        <w:rPr>
          <w:rFonts w:ascii="Times New Roman" w:hAnsi="Times New Roman" w:cs="Times New Roman" w:eastAsia="바탕"/>
          <w:b w:val="0"/>
          <w:i w:val="0"/>
          <w:sz w:val="24"/>
        </w:rPr>
        <w:t>코퍼스는 젊고 고르지 않다. 98편 중 70편(71%)이 2020년 이후에 나왔고, 중앙 출판연도는 2022년이며 가장 오래된 것은 1975년이다. 참가자 수를 보고한 56편의 중앙값은 124명(IQR 30–400)이다. 나머지는 참가자가 아닌 단위 — 가로 구간, GPS 궤적, 스트리트뷰 표본점 — 를 보고하며 그중 최대는 자전거 통행 81,403건이다.</w:t>
      </w:r>
    </w:p>
    <w:p>
      <w:pPr>
        <w:spacing w:line="240" w:lineRule="auto" w:after="120" w:before="0"/>
      </w:pPr>
      <w:r>
        <w:rPr>
          <w:rFonts w:ascii="Times New Roman" w:hAnsi="Times New Roman" w:cs="Times New Roman" w:eastAsia="바탕"/>
          <w:b w:val="0"/>
          <w:i w:val="0"/>
          <w:sz w:val="24"/>
        </w:rPr>
        <w:t xml:space="preserve">세팅은 가로(41)와 공원(32)이 지배하고 광장(10), 캠퍼스, 주거 옥외공간, 수변이 나머지를 채운다. 지리적으로는 증거가 편중돼 있다 — </w:t>
      </w:r>
      <w:r>
        <w:rPr>
          <w:rFonts w:ascii="Times New Roman" w:hAnsi="Times New Roman" w:cs="Times New Roman" w:eastAsia="바탕"/>
          <w:b/>
          <w:i w:val="0"/>
          <w:sz w:val="24"/>
        </w:rPr>
        <w:t>98편 중 38편(39%)이 중국에서 수행</w:t>
      </w:r>
      <w:r>
        <w:rPr>
          <w:rFonts w:ascii="Times New Roman" w:hAnsi="Times New Roman" w:cs="Times New Roman" w:eastAsia="바탕"/>
          <w:b w:val="0"/>
          <w:i w:val="0"/>
          <w:sz w:val="24"/>
        </w:rPr>
        <w:t xml:space="preserve">됐고 스페인(7), 영국(6), 독일(5)이 뒤를 잇는다(Fig. 7a). 사운드스케이프 평가가 문화 의존적이라는 점을 감안하면 이것이 일반화의 가장 큰 제약이다. Fig. 7b는 덜 분명한 두 번째 비대칭을 보인다 — </w:t>
      </w:r>
      <w:r>
        <w:rPr>
          <w:rFonts w:ascii="Times New Roman" w:hAnsi="Times New Roman" w:cs="Times New Roman" w:eastAsia="바탕"/>
          <w:b/>
          <w:i w:val="0"/>
          <w:sz w:val="24"/>
        </w:rPr>
        <w:t>역방향 연구는 2010년대 중반 이후에만 나타난다.</w:t>
      </w:r>
      <w:r>
        <w:rPr>
          <w:rFonts w:ascii="Times New Roman" w:hAnsi="Times New Roman" w:cs="Times New Roman" w:eastAsia="바탕"/>
          <w:b w:val="0"/>
          <w:i w:val="0"/>
          <w:sz w:val="24"/>
        </w:rPr>
        <w:t xml:space="preserve"> 양방향 증거 기반은 코퍼스 전체보다도 더 젊다.</w:t>
      </w:r>
    </w:p>
    <w:p>
      <w:pPr>
        <w:spacing w:line="240" w:lineRule="auto" w:after="120" w:before="0"/>
      </w:pPr>
      <w:r>
        <w:rPr>
          <w:rFonts w:ascii="Times New Roman" w:hAnsi="Times New Roman" w:cs="Times New Roman" w:eastAsia="바탕"/>
          <w:b w:val="0"/>
          <w:i w:val="0"/>
          <w:sz w:val="24"/>
        </w:rPr>
        <w:t xml:space="preserve">결론에 가장 중요한 것은, </w:t>
      </w:r>
      <w:r>
        <w:rPr>
          <w:rFonts w:ascii="Times New Roman" w:hAnsi="Times New Roman" w:cs="Times New Roman" w:eastAsia="바탕"/>
          <w:b/>
          <w:i w:val="0"/>
          <w:sz w:val="24"/>
        </w:rPr>
        <w:t>음환경을 현장에서 조작한 연구가 19편(19%)뿐</w:t>
      </w:r>
      <w:r>
        <w:rPr>
          <w:rFonts w:ascii="Times New Roman" w:hAnsi="Times New Roman" w:cs="Times New Roman" w:eastAsia="바탕"/>
          <w:b w:val="0"/>
          <w:i w:val="0"/>
          <w:sz w:val="24"/>
        </w:rPr>
        <w:t>이라는 사실이다. 최빈 설계는 관찰과 설문을 결합한 혼합 연구(34)이고 설문(25)이 뒤를 잇는다. 이 문헌은 음환경을 바꾸기보다 훨씬 자주 관찰한다.</w:t>
      </w:r>
    </w:p>
    <w:p>
      <w:pPr>
        <w:spacing w:line="240" w:lineRule="auto" w:after="80" w:before="200"/>
      </w:pPr>
      <w:r>
        <w:rPr>
          <w:rFonts w:ascii="Times New Roman" w:hAnsi="Times New Roman" w:cs="Times New Roman" w:eastAsia="바탕"/>
          <w:b/>
          <w:i w:val="0"/>
          <w:sz w:val="24"/>
        </w:rPr>
        <w:t>3.3 Methodological quality</w:t>
      </w:r>
    </w:p>
    <w:p>
      <w:pPr>
        <w:spacing w:line="240" w:lineRule="auto" w:after="120" w:before="0"/>
      </w:pPr>
      <w:r>
        <w:rPr>
          <w:rFonts w:ascii="Times New Roman" w:hAnsi="Times New Roman" w:cs="Times New Roman" w:eastAsia="바탕"/>
          <w:b w:val="0"/>
          <w:i w:val="0"/>
          <w:sz w:val="24"/>
        </w:rPr>
        <w:t>포함 98편 중 MMAT 등급은 high 22편, moderate 40편, low 36편이다(Fig. 8). 등급 분포보다 문항 수준의 패턴 두 가지가 더 중요하다.</w:t>
      </w:r>
    </w:p>
    <w:p>
      <w:pPr>
        <w:spacing w:line="240" w:lineRule="auto" w:after="120" w:before="0"/>
      </w:pPr>
      <w:r>
        <w:rPr>
          <w:rFonts w:ascii="Times New Roman" w:hAnsi="Times New Roman" w:cs="Times New Roman" w:eastAsia="바탕"/>
          <w:b w:val="0"/>
          <w:i w:val="0"/>
          <w:sz w:val="24"/>
        </w:rPr>
        <w:t xml:space="preserve">첫째, </w:t>
      </w:r>
      <w:r>
        <w:rPr>
          <w:rFonts w:ascii="Times New Roman" w:hAnsi="Times New Roman" w:cs="Times New Roman" w:eastAsia="바탕"/>
          <w:b/>
          <w:i w:val="0"/>
          <w:sz w:val="24"/>
        </w:rPr>
        <w:t>무작위 배정 연구 2편이 설계에 대해 아무런 점수도 받지 못한다.</w:t>
      </w:r>
      <w:r>
        <w:rPr>
          <w:rFonts w:ascii="Times New Roman" w:hAnsi="Times New Roman" w:cs="Times New Roman" w:eastAsia="바탕"/>
          <w:b w:val="0"/>
          <w:i w:val="0"/>
          <w:sz w:val="24"/>
        </w:rPr>
        <w:t xml:space="preserve"> 어느 쪽도 무작위화를 어떻게 수행했는지, 집단이 기저에서 동등했는지, 평가자가 눈가림됐는지 보고하지 않아 세 문항이 모두 "can't tell"로 판정되고 각각 한 개와 두 개의 기준만 충족한다. 코퍼스에서 가장 강한 설계가 오로지 미보고 때문에 가장 약한 평가를 받는다. 다만 이들이 절대적으로 최하위는 아니다 — 어떤 기준도 충족하지 못한 연구가 4편 따로 있다.</w:t>
      </w:r>
    </w:p>
    <w:p>
      <w:pPr>
        <w:spacing w:line="240" w:lineRule="auto" w:after="120" w:before="0"/>
      </w:pPr>
      <w:r>
        <w:rPr>
          <w:rFonts w:ascii="Times New Roman" w:hAnsi="Times New Roman" w:cs="Times New Roman" w:eastAsia="바탕"/>
          <w:b w:val="0"/>
          <w:i w:val="0"/>
          <w:sz w:val="24"/>
        </w:rPr>
        <w:t xml:space="preserve">둘째, 그 관찰을 일반화하면 </w:t>
      </w:r>
      <w:r>
        <w:rPr>
          <w:rFonts w:ascii="Times New Roman" w:hAnsi="Times New Roman" w:cs="Times New Roman" w:eastAsia="바탕"/>
          <w:b/>
          <w:i w:val="0"/>
          <w:sz w:val="24"/>
        </w:rPr>
        <w:t>가장 큰 결손은 수행의 결손이 아니라 보고의 결손이다.</w:t>
      </w:r>
      <w:r>
        <w:rPr>
          <w:rFonts w:ascii="Times New Roman" w:hAnsi="Times New Roman" w:cs="Times New Roman" w:eastAsia="바탕"/>
          <w:b w:val="0"/>
          <w:i w:val="0"/>
          <w:sz w:val="24"/>
        </w:rPr>
        <w:t xml:space="preserve"> 표본 대표성이 분명히 충족된 것은 정량기술 연구 51편 중 10편(20%)이고, 무응답 편의가 낮다고 판정된 것은 51편 중 16편(31%)이며, 교란이 적절히 통제된 것은 비무작위 연구 22편 중 9편(41%)이다. 음압을 소수점 셋째 자리까지 보고하는 분야가 응답률은 일상적으로 누락한다.</w:t>
      </w:r>
    </w:p>
    <w:p>
      <w:pPr>
        <w:spacing w:line="240" w:lineRule="auto" w:after="120" w:before="0"/>
      </w:pPr>
      <w:r>
        <w:rPr>
          <w:rFonts w:ascii="Times New Roman" w:hAnsi="Times New Roman" w:cs="Times New Roman" w:eastAsia="바탕"/>
          <w:b w:val="0"/>
          <w:i w:val="0"/>
          <w:sz w:val="24"/>
        </w:rPr>
        <w:t>옥외 장면을 VR로 재현한 5편을 제외해도 어떤 합성 추정치도 바뀌지 않는다. 이들 중 합성 가능한 효과를 기여한 것이 없기 때문이며, 서술 종합에만 들어간다. 이는 §2.4에서 언급한 갈래 간 불일치 (D6-1)도 해소한다 — 규칙이 한 갈래에만 적용됐지만 해당 연구가 어느 풀에도 들어가지 않으므로 정량적 귀결이 없다.</w:t>
      </w:r>
    </w:p>
    <w:p>
      <w:pPr>
        <w:spacing w:line="240" w:lineRule="auto" w:after="80" w:before="200"/>
      </w:pPr>
      <w:r>
        <w:rPr>
          <w:rFonts w:ascii="Times New Roman" w:hAnsi="Times New Roman" w:cs="Times New Roman" w:eastAsia="바탕"/>
          <w:b/>
          <w:i w:val="0"/>
          <w:sz w:val="24"/>
        </w:rPr>
        <w:t>3.4 Meta-analyses</w:t>
      </w:r>
    </w:p>
    <w:p>
      <w:pPr>
        <w:spacing w:line="240" w:lineRule="auto" w:after="120" w:before="0"/>
      </w:pPr>
      <w:r>
        <w:rPr>
          <w:rFonts w:ascii="Times New Roman" w:hAnsi="Times New Roman" w:cs="Times New Roman" w:eastAsia="바탕"/>
          <w:b w:val="0"/>
          <w:i w:val="0"/>
          <w:sz w:val="24"/>
        </w:rPr>
        <w:t>네 클러스터가 합성 요건을 충족했다(Fig. 2).</w:t>
      </w:r>
    </w:p>
    <w:p>
      <w:pPr>
        <w:spacing w:line="240" w:lineRule="auto" w:after="120" w:before="0"/>
      </w:pPr>
      <w:r>
        <w:rPr>
          <w:rFonts w:ascii="Times New Roman" w:hAnsi="Times New Roman" w:cs="Times New Roman" w:eastAsia="바탕"/>
          <w:b/>
          <w:i w:val="0"/>
          <w:sz w:val="24"/>
        </w:rPr>
        <w:t>Table 2.</w:t>
      </w:r>
      <w:r>
        <w:rPr>
          <w:rFonts w:ascii="Times New Roman" w:hAnsi="Times New Roman" w:cs="Times New Roman" w:eastAsia="바탕"/>
          <w:b w:val="0"/>
          <w:i w:val="0"/>
          <w:sz w:val="24"/>
        </w:rPr>
        <w:t xml:space="preserve"> Pooled estimates for the four behavioural clusters. REML random effects with the Hartung–Knapp adjustment. CI = confidence interval (precision of the mean); PI = 95% prediction interval (range expected for a new study). </w:t>
      </w:r>
      <w:r>
        <w:rPr>
          <w:rFonts w:ascii="Times New Roman" w:hAnsi="Times New Roman" w:cs="Times New Roman" w:eastAsia="바탕"/>
          <w:b/>
          <w:i w:val="0"/>
          <w:sz w:val="24"/>
        </w:rPr>
        <w:t>Every prediction interval includes zero.</w:t>
      </w:r>
    </w:p>
    <w:tbl>
      <w:tblPr>
        <w:tblStyle w:val="TableGrid"/>
        <w:tblW w:type="auto" w:w="0"/>
        <w:jc w:val="center"/>
        <w:tblLook w:firstColumn="1" w:firstRow="1" w:lastColumn="0" w:lastRow="0" w:noHBand="0" w:noVBand="1" w:val="04A0"/>
      </w:tblPr>
      <w:tblGrid>
        <w:gridCol w:w="1096"/>
        <w:gridCol w:w="1096"/>
        <w:gridCol w:w="1096"/>
        <w:gridCol w:w="1096"/>
        <w:gridCol w:w="1096"/>
        <w:gridCol w:w="1096"/>
        <w:gridCol w:w="1096"/>
        <w:gridCol w:w="1096"/>
      </w:tblGrid>
      <w:tr>
        <w:tc>
          <w:tcPr>
            <w:tcW w:type="dxa" w:w="1096"/>
          </w:tcPr>
          <w:p>
            <w:pPr>
              <w:spacing w:line="240" w:lineRule="auto" w:after="0"/>
            </w:pPr>
            <w:r/>
            <w:r>
              <w:rPr>
                <w:rFonts w:ascii="Times New Roman" w:hAnsi="Times New Roman" w:cs="Times New Roman" w:eastAsia="바탕"/>
                <w:b/>
                <w:i w:val="0"/>
                <w:sz w:val="22"/>
              </w:rPr>
              <w:t>Cluster</w:t>
            </w:r>
          </w:p>
        </w:tc>
        <w:tc>
          <w:tcPr>
            <w:tcW w:type="dxa" w:w="1096"/>
          </w:tcPr>
          <w:p>
            <w:pPr>
              <w:spacing w:line="240" w:lineRule="auto" w:after="0"/>
            </w:pPr>
            <w:r/>
            <w:r>
              <w:rPr>
                <w:rFonts w:ascii="Times New Roman" w:hAnsi="Times New Roman" w:cs="Times New Roman" w:eastAsia="바탕"/>
                <w:b/>
                <w:i/>
                <w:sz w:val="22"/>
              </w:rPr>
              <w:t>k</w:t>
            </w:r>
          </w:p>
        </w:tc>
        <w:tc>
          <w:tcPr>
            <w:tcW w:type="dxa" w:w="1096"/>
          </w:tcPr>
          <w:p>
            <w:pPr>
              <w:spacing w:line="240" w:lineRule="auto" w:after="0"/>
            </w:pPr>
            <w:r/>
            <w:r>
              <w:rPr>
                <w:rFonts w:ascii="Times New Roman" w:hAnsi="Times New Roman" w:cs="Times New Roman" w:eastAsia="바탕"/>
                <w:b/>
                <w:i w:val="0"/>
                <w:sz w:val="22"/>
              </w:rPr>
              <w:t>Metric</w:t>
            </w:r>
          </w:p>
        </w:tc>
        <w:tc>
          <w:tcPr>
            <w:tcW w:type="dxa" w:w="1096"/>
          </w:tcPr>
          <w:p>
            <w:pPr>
              <w:spacing w:line="240" w:lineRule="auto" w:after="0"/>
            </w:pPr>
            <w:r/>
            <w:r>
              <w:rPr>
                <w:rFonts w:ascii="Times New Roman" w:hAnsi="Times New Roman" w:cs="Times New Roman" w:eastAsia="바탕"/>
                <w:b/>
                <w:i w:val="0"/>
                <w:sz w:val="22"/>
              </w:rPr>
              <w:t>Estimate</w:t>
            </w:r>
          </w:p>
        </w:tc>
        <w:tc>
          <w:tcPr>
            <w:tcW w:type="dxa" w:w="1096"/>
          </w:tcPr>
          <w:p>
            <w:pPr>
              <w:spacing w:line="240" w:lineRule="auto" w:after="0"/>
            </w:pPr>
            <w:r/>
            <w:r>
              <w:rPr>
                <w:rFonts w:ascii="Times New Roman" w:hAnsi="Times New Roman" w:cs="Times New Roman" w:eastAsia="바탕"/>
                <w:b/>
                <w:i w:val="0"/>
                <w:sz w:val="22"/>
              </w:rPr>
              <w:t>95% CI</w:t>
            </w:r>
          </w:p>
        </w:tc>
        <w:tc>
          <w:tcPr>
            <w:tcW w:type="dxa" w:w="1096"/>
          </w:tcPr>
          <w:p>
            <w:pPr>
              <w:spacing w:line="240" w:lineRule="auto" w:after="0"/>
            </w:pPr>
            <w:r/>
            <w:r>
              <w:rPr>
                <w:rFonts w:ascii="Times New Roman" w:hAnsi="Times New Roman" w:cs="Times New Roman" w:eastAsia="바탕"/>
                <w:b/>
                <w:i w:val="0"/>
                <w:sz w:val="22"/>
              </w:rPr>
              <w:t>95% PI</w:t>
            </w:r>
          </w:p>
        </w:tc>
        <w:tc>
          <w:tcPr>
            <w:tcW w:type="dxa" w:w="1096"/>
          </w:tcPr>
          <w:p>
            <w:pPr>
              <w:spacing w:line="240" w:lineRule="auto" w:after="0"/>
            </w:pPr>
            <w:r/>
            <w:r>
              <w:rPr>
                <w:rFonts w:ascii="Times New Roman" w:hAnsi="Times New Roman" w:cs="Times New Roman" w:eastAsia="바탕"/>
                <w:b/>
                <w:i/>
                <w:sz w:val="22"/>
              </w:rPr>
              <w:t>p</w:t>
            </w:r>
          </w:p>
        </w:tc>
        <w:tc>
          <w:tcPr>
            <w:tcW w:type="dxa" w:w="1096"/>
          </w:tcPr>
          <w:p>
            <w:pPr>
              <w:spacing w:line="240" w:lineRule="auto" w:after="0"/>
            </w:pPr>
            <w:r/>
            <w:r>
              <w:rPr>
                <w:rFonts w:ascii="Times New Roman" w:hAnsi="Times New Roman" w:cs="Times New Roman" w:eastAsia="바탕"/>
                <w:b/>
                <w:i/>
                <w:sz w:val="22"/>
              </w:rPr>
              <w:t>I</w:t>
            </w:r>
            <w:r>
              <w:rPr>
                <w:rFonts w:ascii="Times New Roman" w:hAnsi="Times New Roman" w:cs="Times New Roman" w:eastAsia="바탕"/>
                <w:b/>
                <w:i w:val="0"/>
                <w:sz w:val="22"/>
              </w:rPr>
              <w:t>²</w:t>
            </w:r>
          </w:p>
        </w:tc>
      </w:tr>
      <w:tr>
        <w:tc>
          <w:tcPr>
            <w:tcW w:type="dxa" w:w="1096"/>
          </w:tcPr>
          <w:p>
            <w:pPr>
              <w:spacing w:line="240" w:lineRule="auto" w:after="0"/>
            </w:pPr>
            <w:r/>
            <w:r>
              <w:rPr>
                <w:rFonts w:ascii="Times New Roman" w:hAnsi="Times New Roman" w:cs="Times New Roman" w:eastAsia="바탕"/>
                <w:b w:val="0"/>
                <w:i w:val="0"/>
                <w:sz w:val="22"/>
              </w:rPr>
              <w:t>Walking speed (natural sound vs noise)</w:t>
            </w:r>
          </w:p>
        </w:tc>
        <w:tc>
          <w:tcPr>
            <w:tcW w:type="dxa" w:w="1096"/>
          </w:tcPr>
          <w:p>
            <w:pPr>
              <w:spacing w:line="240" w:lineRule="auto" w:after="0"/>
            </w:pPr>
            <w:r/>
            <w:r>
              <w:rPr>
                <w:rFonts w:ascii="Times New Roman" w:hAnsi="Times New Roman" w:cs="Times New Roman" w:eastAsia="바탕"/>
                <w:b w:val="0"/>
                <w:i w:val="0"/>
                <w:sz w:val="22"/>
              </w:rPr>
              <w:t>3</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val="0"/>
                <w:i w:val="0"/>
                <w:sz w:val="22"/>
              </w:rPr>
              <w:t>−0.474</w:t>
            </w:r>
          </w:p>
        </w:tc>
        <w:tc>
          <w:tcPr>
            <w:tcW w:type="dxa" w:w="1096"/>
          </w:tcPr>
          <w:p>
            <w:pPr>
              <w:spacing w:line="240" w:lineRule="auto" w:after="0"/>
            </w:pPr>
            <w:r/>
            <w:r>
              <w:rPr>
                <w:rFonts w:ascii="Times New Roman" w:hAnsi="Times New Roman" w:cs="Times New Roman" w:eastAsia="바탕"/>
                <w:b w:val="0"/>
                <w:i w:val="0"/>
                <w:sz w:val="22"/>
              </w:rPr>
              <w:t>−2.055, +1.108</w:t>
            </w:r>
          </w:p>
        </w:tc>
        <w:tc>
          <w:tcPr>
            <w:tcW w:type="dxa" w:w="1096"/>
          </w:tcPr>
          <w:p>
            <w:pPr>
              <w:spacing w:line="240" w:lineRule="auto" w:after="0"/>
            </w:pPr>
            <w:r/>
            <w:r>
              <w:rPr>
                <w:rFonts w:ascii="Times New Roman" w:hAnsi="Times New Roman" w:cs="Times New Roman" w:eastAsia="바탕"/>
                <w:b w:val="0"/>
                <w:i w:val="0"/>
                <w:sz w:val="22"/>
              </w:rPr>
              <w:t>−9.13, +8.19</w:t>
            </w:r>
          </w:p>
        </w:tc>
        <w:tc>
          <w:tcPr>
            <w:tcW w:type="dxa" w:w="1096"/>
          </w:tcPr>
          <w:p>
            <w:pPr>
              <w:spacing w:line="240" w:lineRule="auto" w:after="0"/>
            </w:pPr>
            <w:r/>
            <w:r>
              <w:rPr>
                <w:rFonts w:ascii="Times New Roman" w:hAnsi="Times New Roman" w:cs="Times New Roman" w:eastAsia="바탕"/>
                <w:b w:val="0"/>
                <w:i w:val="0"/>
                <w:sz w:val="22"/>
              </w:rPr>
              <w:t>.326</w:t>
            </w:r>
          </w:p>
        </w:tc>
        <w:tc>
          <w:tcPr>
            <w:tcW w:type="dxa" w:w="1096"/>
          </w:tcPr>
          <w:p>
            <w:pPr>
              <w:spacing w:line="240" w:lineRule="auto" w:after="0"/>
            </w:pPr>
            <w:r/>
            <w:r>
              <w:rPr>
                <w:rFonts w:ascii="Times New Roman" w:hAnsi="Times New Roman" w:cs="Times New Roman" w:eastAsia="바탕"/>
                <w:b w:val="0"/>
                <w:i w:val="0"/>
                <w:sz w:val="22"/>
              </w:rPr>
              <w:t>81.4%</w:t>
            </w:r>
          </w:p>
        </w:tc>
      </w:tr>
      <w:tr>
        <w:tc>
          <w:tcPr>
            <w:tcW w:type="dxa" w:w="1096"/>
          </w:tcPr>
          <w:p>
            <w:pPr>
              <w:spacing w:line="240" w:lineRule="auto" w:after="0"/>
            </w:pPr>
            <w:r/>
            <w:r>
              <w:rPr>
                <w:rFonts w:ascii="Times New Roman" w:hAnsi="Times New Roman" w:cs="Times New Roman" w:eastAsia="바탕"/>
                <w:b w:val="0"/>
                <w:i w:val="0"/>
                <w:sz w:val="22"/>
              </w:rPr>
              <w:t>Staying / dwell time (positive sound vs control)</w:t>
            </w:r>
          </w:p>
        </w:tc>
        <w:tc>
          <w:tcPr>
            <w:tcW w:type="dxa" w:w="1096"/>
          </w:tcPr>
          <w:p>
            <w:pPr>
              <w:spacing w:line="240" w:lineRule="auto" w:after="0"/>
            </w:pPr>
            <w:r/>
            <w:r>
              <w:rPr>
                <w:rFonts w:ascii="Times New Roman" w:hAnsi="Times New Roman" w:cs="Times New Roman" w:eastAsia="바탕"/>
                <w:b w:val="0"/>
                <w:i w:val="0"/>
                <w:sz w:val="22"/>
              </w:rPr>
              <w:t>3</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val="0"/>
                <w:i w:val="0"/>
                <w:sz w:val="22"/>
              </w:rPr>
              <w:t>+0.343</w:t>
            </w:r>
          </w:p>
        </w:tc>
        <w:tc>
          <w:tcPr>
            <w:tcW w:type="dxa" w:w="1096"/>
          </w:tcPr>
          <w:p>
            <w:pPr>
              <w:spacing w:line="240" w:lineRule="auto" w:after="0"/>
            </w:pPr>
            <w:r/>
            <w:r>
              <w:rPr>
                <w:rFonts w:ascii="Times New Roman" w:hAnsi="Times New Roman" w:cs="Times New Roman" w:eastAsia="바탕"/>
                <w:b w:val="0"/>
                <w:i w:val="0"/>
                <w:sz w:val="22"/>
              </w:rPr>
              <w:t>−0.091, +0.778</w:t>
            </w:r>
          </w:p>
        </w:tc>
        <w:tc>
          <w:tcPr>
            <w:tcW w:type="dxa" w:w="1096"/>
          </w:tcPr>
          <w:p>
            <w:pPr>
              <w:spacing w:line="240" w:lineRule="auto" w:after="0"/>
            </w:pPr>
            <w:r/>
            <w:r>
              <w:rPr>
                <w:rFonts w:ascii="Times New Roman" w:hAnsi="Times New Roman" w:cs="Times New Roman" w:eastAsia="바탕"/>
                <w:b w:val="0"/>
                <w:i w:val="0"/>
                <w:sz w:val="22"/>
              </w:rPr>
              <w:t>−1.67, +2.36</w:t>
            </w:r>
          </w:p>
        </w:tc>
        <w:tc>
          <w:tcPr>
            <w:tcW w:type="dxa" w:w="1096"/>
          </w:tcPr>
          <w:p>
            <w:pPr>
              <w:spacing w:line="240" w:lineRule="auto" w:after="0"/>
            </w:pPr>
            <w:r/>
            <w:r>
              <w:rPr>
                <w:rFonts w:ascii="Times New Roman" w:hAnsi="Times New Roman" w:cs="Times New Roman" w:eastAsia="바탕"/>
                <w:b w:val="0"/>
                <w:i w:val="0"/>
                <w:sz w:val="22"/>
              </w:rPr>
              <w:t>.077</w:t>
            </w:r>
          </w:p>
        </w:tc>
        <w:tc>
          <w:tcPr>
            <w:tcW w:type="dxa" w:w="1096"/>
          </w:tcPr>
          <w:p>
            <w:pPr>
              <w:spacing w:line="240" w:lineRule="auto" w:after="0"/>
            </w:pPr>
            <w:r/>
            <w:r>
              <w:rPr>
                <w:rFonts w:ascii="Times New Roman" w:hAnsi="Times New Roman" w:cs="Times New Roman" w:eastAsia="바탕"/>
                <w:b w:val="0"/>
                <w:i w:val="0"/>
                <w:sz w:val="22"/>
              </w:rPr>
              <w:t>54.4%</w:t>
            </w:r>
          </w:p>
        </w:tc>
      </w:tr>
      <w:tr>
        <w:tc>
          <w:tcPr>
            <w:tcW w:type="dxa" w:w="1096"/>
          </w:tcPr>
          <w:p>
            <w:pPr>
              <w:spacing w:line="240" w:lineRule="auto" w:after="0"/>
            </w:pPr>
            <w:r/>
            <w:r>
              <w:rPr>
                <w:rFonts w:ascii="Times New Roman" w:hAnsi="Times New Roman" w:cs="Times New Roman" w:eastAsia="바탕"/>
                <w:b/>
                <w:i w:val="0"/>
                <w:sz w:val="22"/>
              </w:rPr>
              <w:t>Social interaction (natural/quiet vs noise)</w:t>
            </w:r>
          </w:p>
        </w:tc>
        <w:tc>
          <w:tcPr>
            <w:tcW w:type="dxa" w:w="1096"/>
          </w:tcPr>
          <w:p>
            <w:pPr>
              <w:spacing w:line="240" w:lineRule="auto" w:after="0"/>
            </w:pPr>
            <w:r/>
            <w:r>
              <w:rPr>
                <w:rFonts w:ascii="Times New Roman" w:hAnsi="Times New Roman" w:cs="Times New Roman" w:eastAsia="바탕"/>
                <w:b/>
                <w:i w:val="0"/>
                <w:sz w:val="22"/>
              </w:rPr>
              <w:t>4</w:t>
            </w:r>
          </w:p>
        </w:tc>
        <w:tc>
          <w:tcPr>
            <w:tcW w:type="dxa" w:w="1096"/>
          </w:tcPr>
          <w:p>
            <w:pPr>
              <w:spacing w:line="240" w:lineRule="auto" w:after="0"/>
            </w:pPr>
            <w:r/>
            <w:r>
              <w:rPr>
                <w:rFonts w:ascii="Times New Roman" w:hAnsi="Times New Roman" w:cs="Times New Roman" w:eastAsia="바탕"/>
                <w:b/>
                <w:i w:val="0"/>
                <w:sz w:val="22"/>
              </w:rPr>
              <w:t>*g</w:t>
            </w:r>
            <w:r>
              <w:rPr>
                <w:rFonts w:ascii="Times New Roman" w:hAnsi="Times New Roman" w:cs="Times New Roman" w:eastAsia="바탕"/>
                <w:b w:val="0"/>
                <w:i w:val="0"/>
                <w:sz w:val="22"/>
              </w:rPr>
              <w:t>*</w:t>
            </w:r>
          </w:p>
        </w:tc>
        <w:tc>
          <w:tcPr>
            <w:tcW w:type="dxa" w:w="1096"/>
          </w:tcPr>
          <w:p>
            <w:pPr>
              <w:spacing w:line="240" w:lineRule="auto" w:after="0"/>
            </w:pPr>
            <w:r/>
            <w:r>
              <w:rPr>
                <w:rFonts w:ascii="Times New Roman" w:hAnsi="Times New Roman" w:cs="Times New Roman" w:eastAsia="바탕"/>
                <w:b/>
                <w:i w:val="0"/>
                <w:sz w:val="22"/>
              </w:rPr>
              <w:t>+0.679</w:t>
            </w:r>
          </w:p>
        </w:tc>
        <w:tc>
          <w:tcPr>
            <w:tcW w:type="dxa" w:w="1096"/>
          </w:tcPr>
          <w:p>
            <w:pPr>
              <w:spacing w:line="240" w:lineRule="auto" w:after="0"/>
            </w:pPr>
            <w:r/>
            <w:r>
              <w:rPr>
                <w:rFonts w:ascii="Times New Roman" w:hAnsi="Times New Roman" w:cs="Times New Roman" w:eastAsia="바탕"/>
                <w:b/>
                <w:i w:val="0"/>
                <w:sz w:val="22"/>
              </w:rPr>
              <w:t>+0.201, +1.158</w:t>
            </w:r>
          </w:p>
        </w:tc>
        <w:tc>
          <w:tcPr>
            <w:tcW w:type="dxa" w:w="1096"/>
          </w:tcPr>
          <w:p>
            <w:pPr>
              <w:spacing w:line="240" w:lineRule="auto" w:after="0"/>
            </w:pPr>
            <w:r/>
            <w:r>
              <w:rPr>
                <w:rFonts w:ascii="Times New Roman" w:hAnsi="Times New Roman" w:cs="Times New Roman" w:eastAsia="바탕"/>
                <w:b w:val="0"/>
                <w:i w:val="0"/>
                <w:sz w:val="22"/>
              </w:rPr>
              <w:t>−0.42, +1.78</w:t>
            </w:r>
          </w:p>
        </w:tc>
        <w:tc>
          <w:tcPr>
            <w:tcW w:type="dxa" w:w="1096"/>
          </w:tcPr>
          <w:p>
            <w:pPr>
              <w:spacing w:line="240" w:lineRule="auto" w:after="0"/>
            </w:pPr>
            <w:r/>
            <w:r>
              <w:rPr>
                <w:rFonts w:ascii="Times New Roman" w:hAnsi="Times New Roman" w:cs="Times New Roman" w:eastAsia="바탕"/>
                <w:b/>
                <w:i w:val="0"/>
                <w:sz w:val="22"/>
              </w:rPr>
              <w:t>.020</w:t>
            </w:r>
          </w:p>
        </w:tc>
        <w:tc>
          <w:tcPr>
            <w:tcW w:type="dxa" w:w="1096"/>
          </w:tcPr>
          <w:p>
            <w:pPr>
              <w:spacing w:line="240" w:lineRule="auto" w:after="0"/>
            </w:pPr>
            <w:r/>
            <w:r>
              <w:rPr>
                <w:rFonts w:ascii="Times New Roman" w:hAnsi="Times New Roman" w:cs="Times New Roman" w:eastAsia="바탕"/>
                <w:b w:val="0"/>
                <w:i w:val="0"/>
                <w:sz w:val="22"/>
              </w:rPr>
              <w:t>48.6%</w:t>
            </w:r>
          </w:p>
        </w:tc>
      </w:tr>
      <w:tr>
        <w:tc>
          <w:tcPr>
            <w:tcW w:type="dxa" w:w="1096"/>
          </w:tcPr>
          <w:p>
            <w:pPr>
              <w:spacing w:line="240" w:lineRule="auto" w:after="0"/>
            </w:pPr>
            <w:r/>
            <w:r>
              <w:rPr>
                <w:rFonts w:ascii="Times New Roman" w:hAnsi="Times New Roman" w:cs="Times New Roman" w:eastAsia="바탕"/>
                <w:b w:val="0"/>
                <w:i w:val="0"/>
                <w:sz w:val="22"/>
              </w:rPr>
              <w:t>Soundscape perception ↔ behaviour</w:t>
            </w:r>
          </w:p>
        </w:tc>
        <w:tc>
          <w:tcPr>
            <w:tcW w:type="dxa" w:w="1096"/>
          </w:tcPr>
          <w:p>
            <w:pPr>
              <w:spacing w:line="240" w:lineRule="auto" w:after="0"/>
            </w:pPr>
            <w:r/>
            <w:r>
              <w:rPr>
                <w:rFonts w:ascii="Times New Roman" w:hAnsi="Times New Roman" w:cs="Times New Roman" w:eastAsia="바탕"/>
                <w:b w:val="0"/>
                <w:i w:val="0"/>
                <w:sz w:val="22"/>
              </w:rPr>
              <w:t>6</w:t>
            </w:r>
          </w:p>
        </w:tc>
        <w:tc>
          <w:tcPr>
            <w:tcW w:type="dxa" w:w="1096"/>
          </w:tcPr>
          <w:p>
            <w:pPr>
              <w:spacing w:line="240" w:lineRule="auto" w:after="0"/>
            </w:pPr>
            <w:r/>
            <w:r>
              <w:rPr>
                <w:rFonts w:ascii="Times New Roman" w:hAnsi="Times New Roman" w:cs="Times New Roman" w:eastAsia="바탕"/>
                <w:b w:val="0"/>
                <w:i/>
                <w:sz w:val="22"/>
              </w:rPr>
              <w:t>r</w:t>
            </w:r>
          </w:p>
        </w:tc>
        <w:tc>
          <w:tcPr>
            <w:tcW w:type="dxa" w:w="1096"/>
          </w:tcPr>
          <w:p>
            <w:pPr>
              <w:spacing w:line="240" w:lineRule="auto" w:after="0"/>
            </w:pPr>
            <w:r/>
            <w:r>
              <w:rPr>
                <w:rFonts w:ascii="Times New Roman" w:hAnsi="Times New Roman" w:cs="Times New Roman" w:eastAsia="바탕"/>
                <w:b w:val="0"/>
                <w:i w:val="0"/>
                <w:sz w:val="22"/>
              </w:rPr>
              <w:t>+0.425</w:t>
            </w:r>
          </w:p>
        </w:tc>
        <w:tc>
          <w:tcPr>
            <w:tcW w:type="dxa" w:w="1096"/>
          </w:tcPr>
          <w:p>
            <w:pPr>
              <w:spacing w:line="240" w:lineRule="auto" w:after="0"/>
            </w:pPr>
            <w:r/>
            <w:r>
              <w:rPr>
                <w:rFonts w:ascii="Times New Roman" w:hAnsi="Times New Roman" w:cs="Times New Roman" w:eastAsia="바탕"/>
                <w:b w:val="0"/>
                <w:i w:val="0"/>
                <w:sz w:val="22"/>
              </w:rPr>
              <w:t>+0.191, +0.613</w:t>
            </w:r>
          </w:p>
        </w:tc>
        <w:tc>
          <w:tcPr>
            <w:tcW w:type="dxa" w:w="1096"/>
          </w:tcPr>
          <w:p>
            <w:pPr>
              <w:spacing w:line="240" w:lineRule="auto" w:after="0"/>
            </w:pPr>
            <w:r/>
            <w:r>
              <w:rPr>
                <w:rFonts w:ascii="Times New Roman" w:hAnsi="Times New Roman" w:cs="Times New Roman" w:eastAsia="바탕"/>
                <w:b w:val="0"/>
                <w:i w:val="0"/>
                <w:sz w:val="22"/>
              </w:rPr>
              <w:t>−0.24, +0.82</w:t>
            </w:r>
          </w:p>
        </w:tc>
        <w:tc>
          <w:tcPr>
            <w:tcW w:type="dxa" w:w="1096"/>
          </w:tcPr>
          <w:p>
            <w:pPr>
              <w:spacing w:line="240" w:lineRule="auto" w:after="0"/>
            </w:pPr>
            <w:r/>
            <w:r>
              <w:rPr>
                <w:rFonts w:ascii="Times New Roman" w:hAnsi="Times New Roman" w:cs="Times New Roman" w:eastAsia="바탕"/>
                <w:b w:val="0"/>
                <w:i w:val="0"/>
                <w:sz w:val="22"/>
              </w:rPr>
              <w:t>.007</w:t>
            </w:r>
          </w:p>
        </w:tc>
        <w:tc>
          <w:tcPr>
            <w:tcW w:type="dxa" w:w="1096"/>
          </w:tcPr>
          <w:p>
            <w:pPr>
              <w:spacing w:line="240" w:lineRule="auto" w:after="0"/>
            </w:pPr>
            <w:r/>
            <w:r>
              <w:rPr>
                <w:rFonts w:ascii="Times New Roman" w:hAnsi="Times New Roman" w:cs="Times New Roman" w:eastAsia="바탕"/>
                <w:b w:val="0"/>
                <w:i w:val="0"/>
                <w:sz w:val="22"/>
              </w:rPr>
              <w:t>92.0%</w:t>
            </w:r>
          </w:p>
        </w:tc>
      </w:tr>
    </w:tbl>
    <w:p>
      <w:pPr>
        <w:spacing w:line="240" w:lineRule="auto" w:after="0" w:before="0"/>
      </w:pPr>
    </w:p>
    <w:p>
      <w:pPr>
        <w:spacing w:line="240" w:lineRule="auto" w:after="120" w:before="0"/>
      </w:pPr>
      <w:r>
        <w:rPr>
          <w:rFonts w:ascii="Times New Roman" w:hAnsi="Times New Roman" w:cs="Times New Roman" w:eastAsia="바탕"/>
          <w:b w:val="0"/>
          <w:i w:val="0"/>
          <w:sz w:val="24"/>
        </w:rPr>
        <w:t xml:space="preserve">네 추정치 모두 이론적으로 예측된 방향을 가리킨다 — 소음은 통과를 가속하고, 긍정적 소리는 체류를 늘리며, 정온과 자연음은 사회적 상호작용을 늘리고, 평가는 행태와 중간 강도로 공변한다. </w:t>
      </w:r>
      <w:r>
        <w:rPr>
          <w:rFonts w:ascii="Times New Roman" w:hAnsi="Times New Roman" w:cs="Times New Roman" w:eastAsia="바탕"/>
          <w:b/>
          <w:i w:val="0"/>
          <w:sz w:val="24"/>
        </w:rPr>
        <w:t>그러나 그 방향이 어느 정도의 정밀도로 확립됐는지는 클러스터마다 크게 다르다.</w:t>
      </w:r>
    </w:p>
    <w:p>
      <w:pPr>
        <w:spacing w:line="240" w:lineRule="auto" w:after="120" w:before="0"/>
      </w:pPr>
      <w:r>
        <w:rPr>
          <w:rFonts w:ascii="Times New Roman" w:hAnsi="Times New Roman" w:cs="Times New Roman" w:eastAsia="바탕"/>
          <w:b w:val="0"/>
          <w:i w:val="0"/>
          <w:sz w:val="24"/>
        </w:rPr>
        <w:t xml:space="preserve">사회적 상호작용은 </w:t>
      </w:r>
      <w:r>
        <w:rPr>
          <w:rFonts w:ascii="Times New Roman" w:hAnsi="Times New Roman" w:cs="Times New Roman" w:eastAsia="바탕"/>
          <w:b/>
          <w:i w:val="0"/>
          <w:sz w:val="24"/>
        </w:rPr>
        <w:t>13년 간격의 두 현장실험</w:t>
      </w:r>
      <w:r>
        <w:rPr>
          <w:rFonts w:ascii="Times New Roman" w:hAnsi="Times New Roman" w:cs="Times New Roman" w:eastAsia="바탕"/>
          <w:b w:val="0"/>
          <w:i w:val="0"/>
          <w:sz w:val="24"/>
        </w:rPr>
        <w:t xml:space="preserve">에 힘입어 유의에 도달했다 — Mathews와 Canon(1975)에서 잔디깎기가 주변음을 약 50에서 87 dB(C)로 올리자 도움 행동이 40명 중 20명에서 40명 중 5명으로 떨어졌고(OR = 7.00, </w:t>
      </w:r>
      <w:r>
        <w:rPr>
          <w:rFonts w:ascii="Times New Roman" w:hAnsi="Times New Roman" w:cs="Times New Roman" w:eastAsia="바탕"/>
          <w:b w:val="0"/>
          <w:i/>
          <w:sz w:val="24"/>
        </w:rPr>
        <w:t>d</w:t>
      </w:r>
      <w:r>
        <w:rPr>
          <w:rFonts w:ascii="Times New Roman" w:hAnsi="Times New Roman" w:cs="Times New Roman" w:eastAsia="바탕"/>
          <w:b w:val="0"/>
          <w:i w:val="0"/>
          <w:sz w:val="24"/>
        </w:rPr>
        <w:t xml:space="preserve"> = +1.07), Moser(1988)는 파리의 가로에서 도로공사 소음을 써서 같은 2 × 2 논리를 적용해 같은 부호에 도달했다. 두 연구는 서로 무관한 소음원과 서로 다른 원조 패러다임을 썼으므로, 일치한다는 사실이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4라는 숫자만으로 보이는 것보다 더 많은 정보를 준다. (Mathews와 Canon은 자료를 어디서 수집했는지 밝히지 않았으므로 </w:t>
      </w:r>
      <w:r>
        <w:rPr>
          <w:rFonts w:ascii="Times New Roman" w:hAnsi="Times New Roman" w:cs="Times New Roman" w:eastAsia="바탕"/>
          <w:b/>
          <w:i w:val="0"/>
          <w:sz w:val="24"/>
        </w:rPr>
        <w:t>국가 간 반복이라고 주장하지 않는다.</w:t>
      </w:r>
      <w:r>
        <w:rPr>
          <w:rFonts w:ascii="Times New Roman" w:hAnsi="Times New Roman" w:cs="Times New Roman" w:eastAsia="바탕"/>
          <w:b w:val="0"/>
          <w:i w:val="0"/>
          <w:sz w:val="24"/>
        </w:rPr>
        <w:t>)</w:t>
      </w:r>
    </w:p>
    <w:p>
      <w:pPr>
        <w:spacing w:line="240" w:lineRule="auto" w:after="120" w:before="0"/>
      </w:pPr>
      <w:r>
        <w:rPr>
          <w:rFonts w:ascii="Times New Roman" w:hAnsi="Times New Roman" w:cs="Times New Roman" w:eastAsia="바탕"/>
          <w:b/>
          <w:i w:val="0"/>
          <w:sz w:val="24"/>
        </w:rPr>
        <w:t>그럼에도 이 유의성은 인용 검색으로 얻은 한 편에 조건부다.</w:t>
      </w:r>
      <w:r>
        <w:rPr>
          <w:rFonts w:ascii="Times New Roman" w:hAnsi="Times New Roman" w:cs="Times New Roman" w:eastAsia="바탕"/>
          <w:b w:val="0"/>
          <w:i w:val="0"/>
          <w:sz w:val="24"/>
        </w:rPr>
        <w:t xml:space="preserve"> 이 클러스터의 leave-one-out 전건은 다음과 같다 — Chen과 Kang(2023)을 빼면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+0.551(</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.057), Chen 등(2024)을 빼면 +0.740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.071), Moser(1988)를 빼면 +0.767(</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.044), Mathews와 Canon(1975)을 빼면 +0.569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.053)이다. </w:t>
      </w:r>
      <w:r>
        <w:rPr>
          <w:rFonts w:ascii="Times New Roman" w:hAnsi="Times New Roman" w:cs="Times New Roman" w:eastAsia="바탕"/>
          <w:b/>
          <w:i w:val="0"/>
          <w:sz w:val="24"/>
        </w:rPr>
        <w:t>네 번의 제거 중 세 번이 *p* = .05를 다시 넘어간다.</w:t>
      </w:r>
      <w:r>
        <w:rPr>
          <w:rFonts w:ascii="Times New Roman" w:hAnsi="Times New Roman" w:cs="Times New Roman" w:eastAsia="바탕"/>
          <w:b w:val="0"/>
          <w:i w:val="0"/>
          <w:sz w:val="24"/>
        </w:rPr>
        <w:t xml:space="preserve"> 이 클러스터는 어느 한 연구가 아니라 집합으로서 유의하며, 인용 검색으로 얻은 연구는 그것을 빼면 클러스터가 회수 이전 상태로 돌아가는 바로 그 연구다. 이를 결과의 한계로 보고하는 동시에, </w:t>
      </w:r>
      <w:r>
        <w:rPr>
          <w:rFonts w:ascii="Times New Roman" w:hAnsi="Times New Roman" w:cs="Times New Roman" w:eastAsia="바탕"/>
          <w:b/>
          <w:i w:val="0"/>
          <w:sz w:val="24"/>
        </w:rPr>
        <w:t>등록한 보조 검색 경로가 형식이 아니었다는 근거</w:t>
      </w:r>
      <w:r>
        <w:rPr>
          <w:rFonts w:ascii="Times New Roman" w:hAnsi="Times New Roman" w:cs="Times New Roman" w:eastAsia="바탕"/>
          <w:b w:val="0"/>
          <w:i w:val="0"/>
          <w:sz w:val="24"/>
        </w:rPr>
        <w:t>로도 보고한다.</w:t>
      </w:r>
    </w:p>
    <w:p>
      <w:pPr>
        <w:spacing w:line="240" w:lineRule="auto" w:after="120" w:before="0"/>
      </w:pPr>
      <w:r>
        <w:rPr>
          <w:rFonts w:ascii="Times New Roman" w:hAnsi="Times New Roman" w:cs="Times New Roman" w:eastAsia="바탕"/>
          <w:b w:val="0"/>
          <w:i w:val="0"/>
          <w:sz w:val="24"/>
        </w:rPr>
        <w:t xml:space="preserve">반대로 상관 클러스터는 검색 경로에 둔감하고(인용추적 포함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.425, 제외 시 .445) 어느 한 연구에도 둔감하지만(leave-one-out 범위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.372 ~ .484) 이질성이 매우 높다(</w:t>
      </w:r>
      <w:r>
        <w:rPr>
          <w:rFonts w:ascii="Times New Roman" w:hAnsi="Times New Roman" w:cs="Times New Roman" w:eastAsia="바탕"/>
          <w:b w:val="0"/>
          <w:i/>
          <w:sz w:val="24"/>
        </w:rPr>
        <w:t>I</w:t>
      </w:r>
      <w:r>
        <w:rPr>
          <w:rFonts w:ascii="Times New Roman" w:hAnsi="Times New Roman" w:cs="Times New Roman" w:eastAsia="바탕"/>
          <w:b w:val="0"/>
          <w:i w:val="0"/>
          <w:sz w:val="24"/>
        </w:rPr>
        <w:t>² = 92.0%). 순방향과 역방향 경로, 그리고 여러 행태 결과를 섞고 있으므로 예상된 결과다.</w:t>
      </w:r>
    </w:p>
    <w:p>
      <w:pPr>
        <w:spacing w:line="240" w:lineRule="auto" w:after="120" w:before="0"/>
      </w:pPr>
      <w:r>
        <w:rPr>
          <w:rFonts w:ascii="Times New Roman" w:hAnsi="Times New Roman" w:cs="Times New Roman" w:eastAsia="바탕"/>
          <w:b/>
          <w:i w:val="0"/>
          <w:sz w:val="24"/>
        </w:rPr>
        <w:t>예측구간은 두 유의 결과를 모두 한정한다.</w:t>
      </w:r>
      <w:r>
        <w:rPr>
          <w:rFonts w:ascii="Times New Roman" w:hAnsi="Times New Roman" w:cs="Times New Roman" w:eastAsia="바탕"/>
          <w:b w:val="0"/>
          <w:i w:val="0"/>
          <w:sz w:val="24"/>
        </w:rPr>
        <w:t xml:space="preserve"> 0을 배제한 두 구간은 </w:t>
      </w:r>
      <w:r>
        <w:rPr>
          <w:rFonts w:ascii="Times New Roman" w:hAnsi="Times New Roman" w:cs="Times New Roman" w:eastAsia="바탕"/>
          <w:b/>
          <w:i w:val="0"/>
          <w:sz w:val="24"/>
        </w:rPr>
        <w:t>평균 효과</w:t>
      </w:r>
      <w:r>
        <w:rPr>
          <w:rFonts w:ascii="Times New Roman" w:hAnsi="Times New Roman" w:cs="Times New Roman" w:eastAsia="바탕"/>
          <w:b w:val="0"/>
          <w:i w:val="0"/>
          <w:sz w:val="24"/>
        </w:rPr>
        <w:t xml:space="preserve">에 대해 그러할 뿐이며, 새 연구의 효과가 놓일 것으로 기대되는 구간은 </w:t>
      </w:r>
      <w:r>
        <w:rPr>
          <w:rFonts w:ascii="Times New Roman" w:hAnsi="Times New Roman" w:cs="Times New Roman" w:eastAsia="바탕"/>
          <w:b/>
          <w:i w:val="0"/>
          <w:sz w:val="24"/>
        </w:rPr>
        <w:t>네 클러스터 전부 0을 포함한다</w:t>
      </w:r>
      <w:r>
        <w:rPr>
          <w:rFonts w:ascii="Times New Roman" w:hAnsi="Times New Roman" w:cs="Times New Roman" w:eastAsia="바탕"/>
          <w:b w:val="0"/>
          <w:i w:val="0"/>
          <w:sz w:val="24"/>
        </w:rPr>
        <w:t xml:space="preserve"> — 사회적 상호작용은 −0.42 ~ +1.78, 상관 클러스터는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−0.24 ~ +0.82다. 어느 결과도 다음 연구가 같은 부호를 재현하리라 기대할 근거가 되지 못한다. 보고편향이 이를 가중한다 — 최대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6이므로 깔때기 그림도 Egger 검정도 불가능했고, 소규모 연구 효과는 탐지도 배제도 되지 않는다. </w:t>
      </w:r>
      <w:r>
        <w:rPr>
          <w:rFonts w:ascii="Times New Roman" w:hAnsi="Times New Roman" w:cs="Times New Roman" w:eastAsia="바탕"/>
          <w:b/>
          <w:i w:val="0"/>
          <w:sz w:val="24"/>
        </w:rPr>
        <w:t>모든 합성 추정치는 상한이다.</w:t>
      </w:r>
    </w:p>
    <w:p>
      <w:pPr>
        <w:spacing w:line="240" w:lineRule="auto" w:after="120" w:before="0"/>
      </w:pPr>
      <w:r>
        <w:rPr>
          <w:rFonts w:ascii="Times New Roman" w:hAnsi="Times New Roman" w:cs="Times New Roman" w:eastAsia="바탕"/>
          <w:b w:val="0"/>
          <w:i w:val="0"/>
          <w:sz w:val="24"/>
        </w:rPr>
        <w:t xml:space="preserve">⚠️ 보행속도 클러스터의 예측구간(−9.13 ~ +8.19)은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3에서 자유도가 1이 되어 사실상 정보를 담지 않는다. 수치를 그대로 싣는 것은 이 클러스터로 미래를 예측할 수 없음을 감추지 않기 위해서다.</w:t>
      </w:r>
    </w:p>
    <w:p>
      <w:pPr>
        <w:spacing w:line="240" w:lineRule="auto" w:after="120" w:before="0"/>
      </w:pPr>
      <w:r>
        <w:rPr>
          <w:rFonts w:ascii="Times New Roman" w:hAnsi="Times New Roman" w:cs="Times New Roman" w:eastAsia="바탕"/>
          <w:b/>
          <w:i w:val="0"/>
          <w:sz w:val="24"/>
        </w:rPr>
        <w:t>보행속도 클러스터는 코퍼스에서 가장 약하고, 그 약함이 교훈적이다.</w:t>
      </w:r>
      <w:r>
        <w:rPr>
          <w:rFonts w:ascii="Times New Roman" w:hAnsi="Times New Roman" w:cs="Times New Roman" w:eastAsia="바탕"/>
          <w:b w:val="0"/>
          <w:i w:val="0"/>
          <w:sz w:val="24"/>
        </w:rPr>
        <w:t xml:space="preserve"> 기여하는 세 효과가 전부 MMAT low 연구에서 나오므로 저품질을 제외하면 합성할 것이 남지 않는다(</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0). 코퍼스에 고품질 보행 연구가 3편 있지만 어느 것도 풀에 들어가지 못했다 — 하나는 환경음이 아니라 음악 템포를 조작했고 (Franěk 등, 2014), 하나는 소음 대 속도를 직접 검정하지 않았으며(Franěk &amp; Režný, 2021), 하나는 헤드폰으로 전달된 증강 발소리를 다뤘다(Schrapel 등, 2022). </w:t>
      </w:r>
      <w:r>
        <w:rPr>
          <w:rFonts w:ascii="Times New Roman" w:hAnsi="Times New Roman" w:cs="Times New Roman" w:eastAsia="바탕"/>
          <w:b/>
          <w:i w:val="0"/>
          <w:sz w:val="24"/>
        </w:rPr>
        <w:t>이 문헌에서 가장 자주 인용되는 주장 — 소음이 사람을 빨리 걷게 한다 — 이 그 안에서 가장 불안정한 근거 위에 서 있다.</w:t>
      </w:r>
    </w:p>
    <w:p>
      <w:pPr>
        <w:spacing w:line="240" w:lineRule="auto" w:after="80" w:before="200"/>
      </w:pPr>
      <w:r>
        <w:rPr>
          <w:rFonts w:ascii="Times New Roman" w:hAnsi="Times New Roman" w:cs="Times New Roman" w:eastAsia="바탕"/>
          <w:b/>
          <w:i w:val="0"/>
          <w:sz w:val="24"/>
        </w:rPr>
        <w:t>3.5 Direction of the relationship (RQ2)</w:t>
      </w:r>
    </w:p>
    <w:p>
      <w:pPr>
        <w:spacing w:line="240" w:lineRule="auto" w:after="120" w:before="0"/>
      </w:pPr>
      <w:r>
        <w:rPr>
          <w:rFonts w:ascii="Times New Roman" w:hAnsi="Times New Roman" w:cs="Times New Roman" w:eastAsia="바탕"/>
          <w:b w:val="0"/>
          <w:i w:val="0"/>
          <w:sz w:val="24"/>
        </w:rPr>
        <w:t xml:space="preserve">98편에서 추출한 도메인 수준 레코드 212건 가운데 113건이 순방향(소리 → 행태), 74건이 역방향 (행태 → 소리), 25건이 양방향이었다. </w:t>
      </w:r>
      <w:r>
        <w:rPr>
          <w:rFonts w:ascii="Times New Roman" w:hAnsi="Times New Roman" w:cs="Times New Roman" w:eastAsia="바탕"/>
          <w:b/>
          <w:i w:val="0"/>
          <w:sz w:val="24"/>
        </w:rPr>
        <w:t>역방향 레코드는 방향성 레코드의 40%다</w:t>
      </w:r>
      <w:r>
        <w:rPr>
          <w:rFonts w:ascii="Times New Roman" w:hAnsi="Times New Roman" w:cs="Times New Roman" w:eastAsia="바탕"/>
          <w:b w:val="0"/>
          <w:i w:val="0"/>
          <w:sz w:val="24"/>
        </w:rPr>
        <w:t>(순방향 또는 역방향 187건 중 74건. 양방향을 분모에 넣으면 35%)(Fig. 4). 여기서 단위는 연구 × 행태 도메인 레코드이지 연구 편수가 아니다.</w:t>
      </w:r>
    </w:p>
    <w:p>
      <w:pPr>
        <w:spacing w:line="240" w:lineRule="auto" w:after="120" w:before="0"/>
      </w:pPr>
      <w:r>
        <w:rPr>
          <w:rFonts w:ascii="Times New Roman" w:hAnsi="Times New Roman" w:cs="Times New Roman" w:eastAsia="바탕"/>
          <w:b w:val="0"/>
          <w:i w:val="0"/>
          <w:sz w:val="24"/>
        </w:rPr>
        <w:t xml:space="preserve">역방향 경로는 고르게 퍼져 있지 않다. 이동(순 33 대 역 8)과 체류(16 대 8)는 순방향 설계가 지배한다 — 실험적으로 조작하기 가장 쉬운 행태들이다. 공간이용(26 대 23), 활동(18 대 21), 사회적 행태(20 대 14)는 대등에 가깝다. 행태가 집합적이고 지속적인 곳에서 연구자들은 그것이 음환경을 </w:t>
      </w:r>
      <w:r>
        <w:rPr>
          <w:rFonts w:ascii="Times New Roman" w:hAnsi="Times New Roman" w:cs="Times New Roman" w:eastAsia="바탕"/>
          <w:b w:val="0"/>
          <w:i/>
          <w:sz w:val="24"/>
        </w:rPr>
        <w:t>만들어내는</w:t>
      </w:r>
      <w:r>
        <w:rPr>
          <w:rFonts w:ascii="Times New Roman" w:hAnsi="Times New Roman" w:cs="Times New Roman" w:eastAsia="바탕"/>
          <w:b w:val="0"/>
          <w:i w:val="0"/>
          <w:sz w:val="24"/>
        </w:rPr>
        <w:t xml:space="preserve"> 방식을 측정해 왔다 — 군중 밀도가 음압을 예측하고, 활동 프로그래밍이 방송 음악을 만들며, 동반 여부가 무엇을 알아차리는지를 바꾼다. 단방향 프레임은 이 문헌이 측정한 것의 거의 절반을 버리게 된다.</w:t>
      </w:r>
    </w:p>
    <w:p>
      <w:pPr>
        <w:spacing w:line="240" w:lineRule="auto" w:after="80" w:before="200"/>
      </w:pPr>
      <w:r>
        <w:rPr>
          <w:rFonts w:ascii="Times New Roman" w:hAnsi="Times New Roman" w:cs="Times New Roman" w:eastAsia="바탕"/>
          <w:b/>
          <w:i w:val="0"/>
          <w:sz w:val="24"/>
        </w:rPr>
        <w:t>3.6 Measurement generations (RQ3)</w:t>
      </w:r>
    </w:p>
    <w:p>
      <w:pPr>
        <w:spacing w:line="240" w:lineRule="auto" w:after="120" w:before="0"/>
      </w:pPr>
      <w:r>
        <w:rPr>
          <w:rFonts w:ascii="Times New Roman" w:hAnsi="Times New Roman" w:cs="Times New Roman" w:eastAsia="바탕"/>
          <w:b w:val="0"/>
          <w:i w:val="0"/>
          <w:sz w:val="24"/>
        </w:rPr>
        <w:t xml:space="preserve">센서·GPS·영상·빅데이터에 의한 행태 측정은 2010–2019년 4편에서 2020년 이후 20편으로 늘었다. 같은 기간 자기보고는 14편에서 39편으로, 체계적 관찰은 11편에서 28편으로 늘었다(Fig. 5). </w:t>
      </w:r>
      <w:r>
        <w:rPr>
          <w:rFonts w:ascii="Times New Roman" w:hAnsi="Times New Roman" w:cs="Times New Roman" w:eastAsia="바탕"/>
          <w:b/>
          <w:i w:val="0"/>
          <w:sz w:val="24"/>
        </w:rPr>
        <w:t>새 계측은 옛 방법을 밀어내지 않았고 그 위에 층으로 쌓였다.</w:t>
      </w:r>
      <w:r>
        <w:rPr>
          <w:rFonts w:ascii="Times New Roman" w:hAnsi="Times New Roman" w:cs="Times New Roman" w:eastAsia="바탕"/>
          <w:b w:val="0"/>
          <w:i w:val="0"/>
          <w:sz w:val="24"/>
        </w:rPr>
        <w:t xml:space="preserve"> 22편이 두 세대 이상을 동시에 쓴다. RQ3의 답은 계승이 아니라 </w:t>
      </w:r>
      <w:r>
        <w:rPr>
          <w:rFonts w:ascii="Times New Roman" w:hAnsi="Times New Roman" w:cs="Times New Roman" w:eastAsia="바탕"/>
          <w:b/>
          <w:i w:val="0"/>
          <w:sz w:val="24"/>
        </w:rPr>
        <w:t>누적</w:t>
      </w:r>
      <w:r>
        <w:rPr>
          <w:rFonts w:ascii="Times New Roman" w:hAnsi="Times New Roman" w:cs="Times New Roman" w:eastAsia="바탕"/>
          <w:b w:val="0"/>
          <w:i w:val="0"/>
          <w:sz w:val="24"/>
        </w:rPr>
        <w:t>이며, 이것이 중요한 이유는 이 분야의 삼각검증 역량이 산출량보다 빠르게 자라고 있다는 뜻이기 때문이다.</w:t>
      </w:r>
    </w:p>
    <w:p>
      <w:pPr>
        <w:spacing w:line="240" w:lineRule="auto" w:after="80" w:before="200"/>
      </w:pPr>
      <w:r>
        <w:rPr>
          <w:rFonts w:ascii="Times New Roman" w:hAnsi="Times New Roman" w:cs="Times New Roman" w:eastAsia="바탕"/>
          <w:b/>
          <w:i w:val="0"/>
          <w:sz w:val="24"/>
        </w:rPr>
        <w:t>3.7 Coverage and gaps</w:t>
      </w:r>
    </w:p>
    <w:p>
      <w:pPr>
        <w:spacing w:line="240" w:lineRule="auto" w:after="120" w:before="0"/>
      </w:pPr>
      <w:r>
        <w:rPr>
          <w:rFonts w:ascii="Times New Roman" w:hAnsi="Times New Roman" w:cs="Times New Roman" w:eastAsia="바탕"/>
          <w:b w:val="0"/>
          <w:i w:val="0"/>
          <w:sz w:val="24"/>
        </w:rPr>
        <w:t xml:space="preserve">증거 지도의 행태 도메인 × 음원 조합은 하나를 빼고 모두 채워져 있다(Fig. 3). 예외는 </w:t>
      </w:r>
      <w:r>
        <w:rPr>
          <w:rFonts w:ascii="Times New Roman" w:hAnsi="Times New Roman" w:cs="Times New Roman" w:eastAsia="바탕"/>
          <w:b/>
          <w:i w:val="0"/>
          <w:sz w:val="24"/>
        </w:rPr>
        <w:t>항공기 소음으로, 2편에서 나온 도메인 수준 레코드 4건뿐</w:t>
      </w:r>
      <w:r>
        <w:rPr>
          <w:rFonts w:ascii="Times New Roman" w:hAnsi="Times New Roman" w:cs="Times New Roman" w:eastAsia="바탕"/>
          <w:b w:val="0"/>
          <w:i w:val="0"/>
          <w:sz w:val="24"/>
        </w:rPr>
        <w:t>이다. 공항 주변 연구는 건강과 짜증도 프레임 안에 머물러 왔고, 사람들이 옥외공간에서 무엇을 하는지는 거의 측정한 적이 없다.</w:t>
      </w:r>
    </w:p>
    <w:p>
      <w:pPr>
        <w:spacing w:line="240" w:lineRule="auto" w:after="100" w:before="240"/>
      </w:pPr>
      <w:r>
        <w:rPr>
          <w:rFonts w:ascii="Times New Roman" w:hAnsi="Times New Roman" w:cs="Times New Roman" w:eastAsia="바탕"/>
          <w:b/>
          <w:i w:val="0"/>
          <w:sz w:val="24"/>
        </w:rPr>
        <w:t>4. Discussion</w:t>
      </w:r>
    </w:p>
    <w:p>
      <w:pPr>
        <w:spacing w:line="240" w:lineRule="auto" w:after="80" w:before="200"/>
      </w:pPr>
      <w:r>
        <w:rPr>
          <w:rFonts w:ascii="Times New Roman" w:hAnsi="Times New Roman" w:cs="Times New Roman" w:eastAsia="바탕"/>
          <w:b/>
          <w:i w:val="0"/>
          <w:sz w:val="24"/>
        </w:rPr>
        <w:t>4.1 A bidirectional framework for soundscape and behaviour</w:t>
      </w:r>
    </w:p>
    <w:p>
      <w:pPr>
        <w:spacing w:line="240" w:lineRule="auto" w:after="120" w:before="0"/>
      </w:pPr>
      <w:r>
        <w:rPr>
          <w:rFonts w:ascii="Times New Roman" w:hAnsi="Times New Roman" w:cs="Times New Roman" w:eastAsia="바탕"/>
          <w:b w:val="0"/>
          <w:i w:val="0"/>
          <w:sz w:val="24"/>
        </w:rPr>
        <w:t xml:space="preserve">Figure 6은 본 리뷰가 도달한 프레임워크를 제시한다. 두 개의 호가 하나의 고리를 닫는다. </w:t>
      </w:r>
      <w:r>
        <w:rPr>
          <w:rFonts w:ascii="Times New Roman" w:hAnsi="Times New Roman" w:cs="Times New Roman" w:eastAsia="바탕"/>
          <w:b/>
          <w:i w:val="0"/>
          <w:sz w:val="24"/>
        </w:rPr>
        <w:t>순방향</w:t>
      </w:r>
      <w:r>
        <w:rPr>
          <w:rFonts w:ascii="Times New Roman" w:hAnsi="Times New Roman" w:cs="Times New Roman" w:eastAsia="바탕"/>
          <w:b w:val="0"/>
          <w:i w:val="0"/>
          <w:sz w:val="24"/>
        </w:rPr>
        <w:t xml:space="preserve"> 호는 음환경 → 평가 → 행태로 흐르며 이 분야가 전제해 온 것이다. </w:t>
      </w:r>
      <w:r>
        <w:rPr>
          <w:rFonts w:ascii="Times New Roman" w:hAnsi="Times New Roman" w:cs="Times New Roman" w:eastAsia="바탕"/>
          <w:b/>
          <w:i w:val="0"/>
          <w:sz w:val="24"/>
        </w:rPr>
        <w:t>역방향</w:t>
      </w:r>
      <w:r>
        <w:rPr>
          <w:rFonts w:ascii="Times New Roman" w:hAnsi="Times New Roman" w:cs="Times New Roman" w:eastAsia="바탕"/>
          <w:b w:val="0"/>
          <w:i w:val="0"/>
          <w:sz w:val="24"/>
        </w:rPr>
        <w:t xml:space="preserve"> 호는 활동과 점유 → 소리 발생 → 음환경으로 흐르며 방향성 레코드의 40%를 차지한다. 그 사이에 특정 소리가 접근을 낳을지 회피를 낳을지 결정하는 조절 요인들이 놓인다 — 세팅 유형, 시각–청각 정합성, 체류 목적, 문화적 맥락.</w:t>
      </w:r>
    </w:p>
    <w:p>
      <w:pPr>
        <w:spacing w:line="240" w:lineRule="auto" w:after="120" w:before="0"/>
      </w:pPr>
      <w:r>
        <w:rPr>
          <w:rFonts w:ascii="Times New Roman" w:hAnsi="Times New Roman" w:cs="Times New Roman" w:eastAsia="바탕"/>
          <w:b w:val="0"/>
          <w:i w:val="0"/>
          <w:sz w:val="24"/>
        </w:rPr>
        <w:t xml:space="preserve">행태는 단일한 결과가 아니라 </w:t>
      </w:r>
      <w:r>
        <w:rPr>
          <w:rFonts w:ascii="Times New Roman" w:hAnsi="Times New Roman" w:cs="Times New Roman" w:eastAsia="바탕"/>
          <w:b/>
          <w:i w:val="0"/>
          <w:sz w:val="24"/>
        </w:rPr>
        <w:t>관여의 경사</w:t>
      </w:r>
      <w:r>
        <w:rPr>
          <w:rFonts w:ascii="Times New Roman" w:hAnsi="Times New Roman" w:cs="Times New Roman" w:eastAsia="바탕"/>
          <w:b w:val="0"/>
          <w:i w:val="0"/>
          <w:sz w:val="24"/>
        </w:rPr>
        <w:t xml:space="preserve">다 — 회피하기, 통과하기, 머무르기, 상호작용하기, 전유하기. 증거는 그 경사에 고르지 않게 붙어 있다. 합성 추정치를 이 경사 위에 놓으면(Fig. 6) 이 분야의 형상이 한눈에 보인다 — </w:t>
      </w:r>
      <w:r>
        <w:rPr>
          <w:rFonts w:ascii="Times New Roman" w:hAnsi="Times New Roman" w:cs="Times New Roman" w:eastAsia="바탕"/>
          <w:b/>
          <w:i w:val="0"/>
          <w:sz w:val="24"/>
        </w:rPr>
        <w:t>양 끝은 근거가 약하고, 가장 강한 정량 신호는 '상호작용하기'에 있다.</w:t>
      </w:r>
    </w:p>
    <w:p>
      <w:pPr>
        <w:spacing w:line="240" w:lineRule="auto" w:after="120" w:before="0"/>
      </w:pPr>
      <w:r>
        <w:rPr>
          <w:rFonts w:ascii="Times New Roman" w:hAnsi="Times New Roman" w:cs="Times New Roman" w:eastAsia="바탕"/>
          <w:b w:val="0"/>
          <w:i w:val="0"/>
          <w:sz w:val="24"/>
        </w:rPr>
        <w:t>이 프레임워크의 가치는 기술적이기보다 진단적이다. 이 문헌이 측정의 거의 절반을 역방향 호에서 산출하면서도 순방향 호를 중심으로 스스로를 조직해 왔다는 것, 그리고 행태 경사가 계획이 실제로 개입하는 지점과 무관하게 표집돼 왔다는 것을 드러낸다.</w:t>
      </w:r>
    </w:p>
    <w:p>
      <w:pPr>
        <w:spacing w:line="240" w:lineRule="auto" w:after="80" w:before="200"/>
      </w:pPr>
      <w:r>
        <w:rPr>
          <w:rFonts w:ascii="Times New Roman" w:hAnsi="Times New Roman" w:cs="Times New Roman" w:eastAsia="바탕"/>
          <w:b/>
          <w:i w:val="0"/>
          <w:sz w:val="24"/>
        </w:rPr>
        <w:t>4.2 What the evidence supports, and how strongly (RQ4)</w:t>
      </w:r>
    </w:p>
    <w:p>
      <w:pPr>
        <w:spacing w:line="240" w:lineRule="auto" w:after="120" w:before="0"/>
      </w:pPr>
      <w:r>
        <w:rPr>
          <w:rFonts w:ascii="Times New Roman" w:hAnsi="Times New Roman" w:cs="Times New Roman" w:eastAsia="바탕"/>
          <w:b w:val="0"/>
          <w:i w:val="0"/>
          <w:sz w:val="24"/>
        </w:rPr>
        <w:t xml:space="preserve">코퍼스를 열 개의 </w:t>
      </w:r>
      <w:r>
        <w:rPr>
          <w:rFonts w:ascii="Times New Roman" w:hAnsi="Times New Roman" w:cs="Times New Roman" w:eastAsia="바탕"/>
          <w:b/>
          <w:i w:val="0"/>
          <w:sz w:val="24"/>
        </w:rPr>
        <w:t>계획 레버</w:t>
      </w:r>
      <w:r>
        <w:rPr>
          <w:rFonts w:ascii="Times New Roman" w:hAnsi="Times New Roman" w:cs="Times New Roman" w:eastAsia="바탕"/>
          <w:b w:val="0"/>
          <w:i w:val="0"/>
          <w:sz w:val="24"/>
        </w:rPr>
        <w:t xml:space="preserve"> — 설계자나 운영자가 바꿀 수 있는 것 — 로 번역했고, 각 레버에 연구 수·MMAT 품질 구성·구간의 0 배제 여부·세팅 다양성·민감도 하에서의 거동을 함께 본 확신 등급을 부여했다(Table 3).</w:t>
      </w:r>
    </w:p>
    <w:p>
      <w:pPr>
        <w:spacing w:line="240" w:lineRule="auto" w:after="120" w:before="0"/>
      </w:pPr>
      <w:r>
        <w:rPr>
          <w:rFonts w:ascii="Times New Roman" w:hAnsi="Times New Roman" w:cs="Times New Roman" w:eastAsia="바탕"/>
          <w:b/>
          <w:i w:val="0"/>
          <w:sz w:val="24"/>
        </w:rPr>
        <w:t>high에 도달한 레버는 하나도 없다.</w:t>
      </w:r>
      <w:r>
        <w:rPr>
          <w:rFonts w:ascii="Times New Roman" w:hAnsi="Times New Roman" w:cs="Times New Roman" w:eastAsia="바탕"/>
          <w:b w:val="0"/>
          <w:i w:val="0"/>
          <w:sz w:val="24"/>
        </w:rPr>
        <w:t xml:space="preserve"> 넷이 moderate(오디오 프로그래밍, 자연음 도입, 정온 경로 확보, 기계·유지관리 소음 통제)이고 다섯이 low, 하나가 very low다. 이 분포 자체가 실무에 주는 본 리뷰의 핵심 발견이다 — </w:t>
      </w:r>
      <w:r>
        <w:rPr>
          <w:rFonts w:ascii="Times New Roman" w:hAnsi="Times New Roman" w:cs="Times New Roman" w:eastAsia="바탕"/>
          <w:b/>
          <w:i w:val="0"/>
          <w:sz w:val="24"/>
        </w:rPr>
        <w:t>이 분야는 현재 설계 기준이 아니라 모니터링으로 검증할 가설을 지지할 수 있을 뿐이다.</w:t>
      </w:r>
    </w:p>
    <w:p>
      <w:pPr>
        <w:spacing w:line="240" w:lineRule="auto" w:after="120" w:before="0"/>
      </w:pPr>
      <w:r>
        <w:rPr>
          <w:rFonts w:ascii="Times New Roman" w:hAnsi="Times New Roman" w:cs="Times New Roman" w:eastAsia="바탕"/>
          <w:b/>
          <w:i w:val="0"/>
          <w:sz w:val="24"/>
        </w:rPr>
        <w:t>Table 3.</w:t>
      </w:r>
      <w:r>
        <w:rPr>
          <w:rFonts w:ascii="Times New Roman" w:hAnsi="Times New Roman" w:cs="Times New Roman" w:eastAsia="바탕"/>
          <w:b w:val="0"/>
          <w:i w:val="0"/>
          <w:sz w:val="24"/>
        </w:rPr>
        <w:t xml:space="preserve"> Ten planning levers derived from the corpus, with confidence grading. Confidence combines the number of contributing studies, their MMAT composition, whether a pooled interval excludes zero, diversity of settings, and behaviour under sensitivity analysis. </w:t>
      </w:r>
      <w:r>
        <w:rPr>
          <w:rFonts w:ascii="Times New Roman" w:hAnsi="Times New Roman" w:cs="Times New Roman" w:eastAsia="바탕"/>
          <w:b/>
          <w:i w:val="0"/>
          <w:sz w:val="24"/>
        </w:rPr>
        <w:t>No lever reaches high confidence.</w:t>
      </w:r>
      <w:r>
        <w:rPr>
          <w:rFonts w:ascii="Times New Roman" w:hAnsi="Times New Roman" w:cs="Times New Roman" w:eastAsia="바탕"/>
          <w:b w:val="0"/>
          <w:i w:val="0"/>
          <w:sz w:val="24"/>
        </w:rPr>
        <w:t xml:space="preserve"> </w:t>
      </w:r>
      <w:r>
        <w:rPr>
          <w:rFonts w:ascii="Times New Roman" w:hAnsi="Times New Roman" w:cs="Times New Roman" w:eastAsia="바탕"/>
          <w:b w:val="0"/>
          <w:i w:val="0"/>
          <w:sz w:val="24"/>
        </w:rPr>
        <w:t>Mixed</w:t>
      </w:r>
      <w:r>
        <w:rPr>
          <w:rFonts w:ascii="Times New Roman" w:hAnsi="Times New Roman" w:cs="Times New Roman" w:eastAsia="바탕"/>
          <w:b w:val="0"/>
          <w:i w:val="0"/>
          <w:sz w:val="24"/>
        </w:rPr>
        <w:t xml:space="preserve"> under Direction means that studies disagree in sign, not that the lever has several effects. Full evidence, caveats and study lists are Supplementary S14.</w:t>
      </w:r>
    </w:p>
    <w:tbl>
      <w:tblPr>
        <w:tblStyle w:val="TableGrid"/>
        <w:tblW w:type="auto" w:w="0"/>
        <w:jc w:val="center"/>
        <w:tblLook w:firstColumn="1" w:firstRow="1" w:lastColumn="0" w:lastRow="0" w:noHBand="0" w:noVBand="1" w:val="04A0"/>
      </w:tblPr>
      <w:tblGrid>
        <w:gridCol w:w="1253"/>
        <w:gridCol w:w="1253"/>
        <w:gridCol w:w="1253"/>
        <w:gridCol w:w="1253"/>
        <w:gridCol w:w="1253"/>
        <w:gridCol w:w="1253"/>
        <w:gridCol w:w="1253"/>
      </w:tblGrid>
      <w:tr>
        <w:tc>
          <w:tcPr>
            <w:tcW w:type="dxa" w:w="1253"/>
          </w:tcPr>
          <w:p>
            <w:pPr>
              <w:spacing w:line="240" w:lineRule="auto" w:after="0"/>
            </w:pPr>
            <w:r/>
            <w:r>
              <w:rPr>
                <w:rFonts w:ascii="Times New Roman" w:hAnsi="Times New Roman" w:cs="Times New Roman" w:eastAsia="바탕"/>
                <w:b/>
                <w:i w:val="0"/>
                <w:sz w:val="22"/>
              </w:rPr>
              <w:t>Lever</w:t>
            </w:r>
          </w:p>
        </w:tc>
        <w:tc>
          <w:tcPr>
            <w:tcW w:type="dxa" w:w="1253"/>
          </w:tcPr>
          <w:p>
            <w:pPr>
              <w:spacing w:line="240" w:lineRule="auto" w:after="0"/>
            </w:pPr>
            <w:r/>
            <w:r>
              <w:rPr>
                <w:rFonts w:ascii="Times New Roman" w:hAnsi="Times New Roman" w:cs="Times New Roman" w:eastAsia="바탕"/>
                <w:b/>
                <w:i w:val="0"/>
                <w:sz w:val="22"/>
              </w:rPr>
              <w:t>What is changed</w:t>
            </w:r>
          </w:p>
        </w:tc>
        <w:tc>
          <w:tcPr>
            <w:tcW w:type="dxa" w:w="1253"/>
          </w:tcPr>
          <w:p>
            <w:pPr>
              <w:spacing w:line="240" w:lineRule="auto" w:after="0"/>
            </w:pPr>
            <w:r/>
            <w:r>
              <w:rPr>
                <w:rFonts w:ascii="Times New Roman" w:hAnsi="Times New Roman" w:cs="Times New Roman" w:eastAsia="바탕"/>
                <w:b/>
                <w:i w:val="0"/>
                <w:sz w:val="22"/>
              </w:rPr>
              <w:t>Behavioural outcome</w:t>
            </w:r>
          </w:p>
        </w:tc>
        <w:tc>
          <w:tcPr>
            <w:tcW w:type="dxa" w:w="1253"/>
          </w:tcPr>
          <w:p>
            <w:pPr>
              <w:spacing w:line="240" w:lineRule="auto" w:after="0"/>
            </w:pPr>
            <w:r/>
            <w:r>
              <w:rPr>
                <w:rFonts w:ascii="Times New Roman" w:hAnsi="Times New Roman" w:cs="Times New Roman" w:eastAsia="바탕"/>
                <w:b/>
                <w:i w:val="0"/>
                <w:sz w:val="22"/>
              </w:rPr>
              <w:t>Direction</w:t>
            </w:r>
          </w:p>
        </w:tc>
        <w:tc>
          <w:tcPr>
            <w:tcW w:type="dxa" w:w="1253"/>
          </w:tcPr>
          <w:p>
            <w:pPr>
              <w:spacing w:line="240" w:lineRule="auto" w:after="0"/>
            </w:pPr>
            <w:r/>
            <w:r>
              <w:rPr>
                <w:rFonts w:ascii="Times New Roman" w:hAnsi="Times New Roman" w:cs="Times New Roman" w:eastAsia="바탕"/>
                <w:b/>
                <w:i w:val="0"/>
                <w:sz w:val="22"/>
              </w:rPr>
              <w:t>Studies</w:t>
            </w:r>
          </w:p>
        </w:tc>
        <w:tc>
          <w:tcPr>
            <w:tcW w:type="dxa" w:w="1253"/>
          </w:tcPr>
          <w:p>
            <w:pPr>
              <w:spacing w:line="240" w:lineRule="auto" w:after="0"/>
            </w:pPr>
            <w:r/>
            <w:r>
              <w:rPr>
                <w:rFonts w:ascii="Times New Roman" w:hAnsi="Times New Roman" w:cs="Times New Roman" w:eastAsia="바탕"/>
                <w:b/>
                <w:i w:val="0"/>
                <w:sz w:val="22"/>
              </w:rPr>
              <w:t>MMAT mix</w:t>
            </w:r>
          </w:p>
        </w:tc>
        <w:tc>
          <w:tcPr>
            <w:tcW w:type="dxa" w:w="1253"/>
          </w:tcPr>
          <w:p>
            <w:pPr>
              <w:spacing w:line="240" w:lineRule="auto" w:after="0"/>
            </w:pPr>
            <w:r/>
            <w:r>
              <w:rPr>
                <w:rFonts w:ascii="Times New Roman" w:hAnsi="Times New Roman" w:cs="Times New Roman" w:eastAsia="바탕"/>
                <w:b/>
                <w:i w:val="0"/>
                <w:sz w:val="22"/>
              </w:rPr>
              <w:t>Confidence</w:t>
            </w:r>
          </w:p>
        </w:tc>
      </w:tr>
      <w:tr>
        <w:tc>
          <w:tcPr>
            <w:tcW w:type="dxa" w:w="1253"/>
          </w:tcPr>
          <w:p>
            <w:pPr>
              <w:spacing w:line="240" w:lineRule="auto" w:after="0"/>
            </w:pPr>
            <w:r/>
            <w:r>
              <w:rPr>
                <w:rFonts w:ascii="Times New Roman" w:hAnsi="Times New Roman" w:cs="Times New Roman" w:eastAsia="바탕"/>
                <w:b/>
                <w:i w:val="0"/>
                <w:sz w:val="22"/>
              </w:rPr>
              <w:t>L1</w:t>
            </w:r>
            <w:r>
              <w:rPr>
                <w:rFonts w:ascii="Times New Roman" w:hAnsi="Times New Roman" w:cs="Times New Roman" w:eastAsia="바탕"/>
                <w:b w:val="0"/>
                <w:i w:val="0"/>
                <w:sz w:val="22"/>
              </w:rPr>
              <w:t xml:space="preserve"> Programmed music in public space</w:t>
            </w:r>
          </w:p>
        </w:tc>
        <w:tc>
          <w:tcPr>
            <w:tcW w:type="dxa" w:w="1253"/>
          </w:tcPr>
          <w:p>
            <w:pPr>
              <w:spacing w:line="240" w:lineRule="auto" w:after="0"/>
            </w:pPr>
            <w:r/>
            <w:r>
              <w:rPr>
                <w:rFonts w:ascii="Times New Roman" w:hAnsi="Times New Roman" w:cs="Times New Roman" w:eastAsia="바탕"/>
                <w:b w:val="0"/>
                <w:i w:val="0"/>
                <w:sz w:val="22"/>
              </w:rPr>
              <w:t>Sound draws attention, pulls people towards the source and slows them, extending stay</w:t>
            </w:r>
          </w:p>
        </w:tc>
        <w:tc>
          <w:tcPr>
            <w:tcW w:type="dxa" w:w="1253"/>
          </w:tcPr>
          <w:p>
            <w:pPr>
              <w:spacing w:line="240" w:lineRule="auto" w:after="0"/>
            </w:pPr>
            <w:r/>
            <w:r>
              <w:rPr>
                <w:rFonts w:ascii="Times New Roman" w:hAnsi="Times New Roman" w:cs="Times New Roman" w:eastAsia="바탕"/>
                <w:b w:val="0"/>
                <w:i w:val="0"/>
                <w:sz w:val="22"/>
              </w:rPr>
              <w:t>Staying (dwell time); space use (approach to source); movement (slower wandering)</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7</w:t>
            </w:r>
          </w:p>
        </w:tc>
        <w:tc>
          <w:tcPr>
            <w:tcW w:type="dxa" w:w="1253"/>
          </w:tcPr>
          <w:p>
            <w:pPr>
              <w:spacing w:line="240" w:lineRule="auto" w:after="0"/>
            </w:pPr>
            <w:r/>
            <w:r>
              <w:rPr>
                <w:rFonts w:ascii="Times New Roman" w:hAnsi="Times New Roman" w:cs="Times New Roman" w:eastAsia="바탕"/>
                <w:b w:val="0"/>
                <w:i w:val="0"/>
                <w:sz w:val="22"/>
              </w:rPr>
              <w:t>high 3 · mod 2 · low 2</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L2</w:t>
            </w:r>
            <w:r>
              <w:rPr>
                <w:rFonts w:ascii="Times New Roman" w:hAnsi="Times New Roman" w:cs="Times New Roman" w:eastAsia="바탕"/>
                <w:b w:val="0"/>
                <w:i w:val="0"/>
                <w:sz w:val="22"/>
              </w:rPr>
              <w:t xml:space="preserve"> Natural sound provision (water and birdsong)</w:t>
            </w:r>
          </w:p>
        </w:tc>
        <w:tc>
          <w:tcPr>
            <w:tcW w:type="dxa" w:w="1253"/>
          </w:tcPr>
          <w:p>
            <w:pPr>
              <w:spacing w:line="240" w:lineRule="auto" w:after="0"/>
            </w:pPr>
            <w:r/>
            <w:r>
              <w:rPr>
                <w:rFonts w:ascii="Times New Roman" w:hAnsi="Times New Roman" w:cs="Times New Roman" w:eastAsia="바탕"/>
                <w:b w:val="0"/>
                <w:i w:val="0"/>
                <w:sz w:val="22"/>
              </w:rPr>
              <w:t>Natural sound raises perceived restoration and safety, encouraging talk and lingering</w:t>
            </w:r>
          </w:p>
        </w:tc>
        <w:tc>
          <w:tcPr>
            <w:tcW w:type="dxa" w:w="1253"/>
          </w:tcPr>
          <w:p>
            <w:pPr>
              <w:spacing w:line="240" w:lineRule="auto" w:after="0"/>
            </w:pPr>
            <w:r/>
            <w:r>
              <w:rPr>
                <w:rFonts w:ascii="Times New Roman" w:hAnsi="Times New Roman" w:cs="Times New Roman" w:eastAsia="바탕"/>
                <w:b w:val="0"/>
                <w:i w:val="0"/>
                <w:sz w:val="22"/>
              </w:rPr>
              <w:t>Social interaction; staying (dwell time); vitality of activity</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2 · mod 3 · low 1</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L3</w:t>
            </w:r>
            <w:r>
              <w:rPr>
                <w:rFonts w:ascii="Times New Roman" w:hAnsi="Times New Roman" w:cs="Times New Roman" w:eastAsia="바탕"/>
                <w:b w:val="0"/>
                <w:i w:val="0"/>
                <w:sz w:val="22"/>
              </w:rPr>
              <w:t xml:space="preserve"> Quiet routes for walking and cycling</w:t>
            </w:r>
          </w:p>
        </w:tc>
        <w:tc>
          <w:tcPr>
            <w:tcW w:type="dxa" w:w="1253"/>
          </w:tcPr>
          <w:p>
            <w:pPr>
              <w:spacing w:line="240" w:lineRule="auto" w:after="0"/>
            </w:pPr>
            <w:r/>
            <w:r>
              <w:rPr>
                <w:rFonts w:ascii="Times New Roman" w:hAnsi="Times New Roman" w:cs="Times New Roman" w:eastAsia="바탕"/>
                <w:b w:val="0"/>
                <w:i w:val="0"/>
                <w:sz w:val="22"/>
              </w:rPr>
              <w:t>Noise avoidance shifts route and mode choice, moving trips onto quieter alignments</w:t>
            </w:r>
          </w:p>
        </w:tc>
        <w:tc>
          <w:tcPr>
            <w:tcW w:type="dxa" w:w="1253"/>
          </w:tcPr>
          <w:p>
            <w:pPr>
              <w:spacing w:line="240" w:lineRule="auto" w:after="0"/>
            </w:pPr>
            <w:r/>
            <w:r>
              <w:rPr>
                <w:rFonts w:ascii="Times New Roman" w:hAnsi="Times New Roman" w:cs="Times New Roman" w:eastAsia="바탕"/>
                <w:b w:val="0"/>
                <w:i w:val="0"/>
                <w:sz w:val="22"/>
              </w:rPr>
              <w:t>Movement (route choice, mode choice, cycling volume)</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8</w:t>
            </w:r>
          </w:p>
        </w:tc>
        <w:tc>
          <w:tcPr>
            <w:tcW w:type="dxa" w:w="1253"/>
          </w:tcPr>
          <w:p>
            <w:pPr>
              <w:spacing w:line="240" w:lineRule="auto" w:after="0"/>
            </w:pPr>
            <w:r/>
            <w:r>
              <w:rPr>
                <w:rFonts w:ascii="Times New Roman" w:hAnsi="Times New Roman" w:cs="Times New Roman" w:eastAsia="바탕"/>
                <w:b w:val="0"/>
                <w:i w:val="0"/>
                <w:sz w:val="22"/>
              </w:rPr>
              <w:t>high 4 · mod 1 · low 3</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L4</w:t>
            </w:r>
            <w:r>
              <w:rPr>
                <w:rFonts w:ascii="Times New Roman" w:hAnsi="Times New Roman" w:cs="Times New Roman" w:eastAsia="바탕"/>
                <w:b w:val="0"/>
                <w:i w:val="0"/>
                <w:sz w:val="22"/>
              </w:rPr>
              <w:t xml:space="preserve"> Remove or reschedule mechanical plant noise</w:t>
            </w:r>
          </w:p>
        </w:tc>
        <w:tc>
          <w:tcPr>
            <w:tcW w:type="dxa" w:w="1253"/>
          </w:tcPr>
          <w:p>
            <w:pPr>
              <w:spacing w:line="240" w:lineRule="auto" w:after="0"/>
            </w:pPr>
            <w:r/>
            <w:r>
              <w:rPr>
                <w:rFonts w:ascii="Times New Roman" w:hAnsi="Times New Roman" w:cs="Times New Roman" w:eastAsia="바탕"/>
                <w:b w:val="0"/>
                <w:i w:val="0"/>
                <w:sz w:val="22"/>
              </w:rPr>
              <w:t>Unpleasant machinery noise creates avoidance routes and acceleration, cutting stay and talk</w:t>
            </w:r>
          </w:p>
        </w:tc>
        <w:tc>
          <w:tcPr>
            <w:tcW w:type="dxa" w:w="1253"/>
          </w:tcPr>
          <w:p>
            <w:pPr>
              <w:spacing w:line="240" w:lineRule="auto" w:after="0"/>
            </w:pPr>
            <w:r/>
            <w:r>
              <w:rPr>
                <w:rFonts w:ascii="Times New Roman" w:hAnsi="Times New Roman" w:cs="Times New Roman" w:eastAsia="바탕"/>
                <w:b w:val="0"/>
                <w:i w:val="0"/>
                <w:sz w:val="22"/>
              </w:rPr>
              <w:t>Social interaction; staying; space use (removal of avoidance routes)</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7</w:t>
            </w:r>
          </w:p>
        </w:tc>
        <w:tc>
          <w:tcPr>
            <w:tcW w:type="dxa" w:w="1253"/>
          </w:tcPr>
          <w:p>
            <w:pPr>
              <w:spacing w:line="240" w:lineRule="auto" w:after="0"/>
            </w:pPr>
            <w:r/>
            <w:r>
              <w:rPr>
                <w:rFonts w:ascii="Times New Roman" w:hAnsi="Times New Roman" w:cs="Times New Roman" w:eastAsia="바탕"/>
                <w:b w:val="0"/>
                <w:i w:val="0"/>
                <w:sz w:val="22"/>
              </w:rPr>
              <w:t>high 2 · mod 3 · low 2</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L5</w:t>
            </w:r>
            <w:r>
              <w:rPr>
                <w:rFonts w:ascii="Times New Roman" w:hAnsi="Times New Roman" w:cs="Times New Roman" w:eastAsia="바탕"/>
                <w:b w:val="0"/>
                <w:i w:val="0"/>
                <w:sz w:val="22"/>
              </w:rPr>
              <w:t xml:space="preserve"> Quiet side and designated quiet zones</w:t>
            </w:r>
          </w:p>
        </w:tc>
        <w:tc>
          <w:tcPr>
            <w:tcW w:type="dxa" w:w="1253"/>
          </w:tcPr>
          <w:p>
            <w:pPr>
              <w:spacing w:line="240" w:lineRule="auto" w:after="0"/>
            </w:pPr>
            <w:r/>
            <w:r>
              <w:rPr>
                <w:rFonts w:ascii="Times New Roman" w:hAnsi="Times New Roman" w:cs="Times New Roman" w:eastAsia="바탕"/>
                <w:b w:val="0"/>
                <w:i w:val="0"/>
                <w:sz w:val="22"/>
              </w:rPr>
              <w:t>A quiet façade or designated zone lowers the psychological barrier to outdoor stay and walking</w:t>
            </w:r>
          </w:p>
        </w:tc>
        <w:tc>
          <w:tcPr>
            <w:tcW w:type="dxa" w:w="1253"/>
          </w:tcPr>
          <w:p>
            <w:pPr>
              <w:spacing w:line="240" w:lineRule="auto" w:after="0"/>
            </w:pPr>
            <w:r/>
            <w:r>
              <w:rPr>
                <w:rFonts w:ascii="Times New Roman" w:hAnsi="Times New Roman" w:cs="Times New Roman" w:eastAsia="바탕"/>
                <w:b w:val="0"/>
                <w:i w:val="0"/>
                <w:sz w:val="22"/>
              </w:rPr>
              <w:t>Activity (walking, exercise, rest); space use; staying</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10</w:t>
            </w:r>
          </w:p>
        </w:tc>
        <w:tc>
          <w:tcPr>
            <w:tcW w:type="dxa" w:w="1253"/>
          </w:tcPr>
          <w:p>
            <w:pPr>
              <w:spacing w:line="240" w:lineRule="auto" w:after="0"/>
            </w:pPr>
            <w:r/>
            <w:r>
              <w:rPr>
                <w:rFonts w:ascii="Times New Roman" w:hAnsi="Times New Roman" w:cs="Times New Roman" w:eastAsia="바탕"/>
                <w:b w:val="0"/>
                <w:i w:val="0"/>
                <w:sz w:val="22"/>
              </w:rPr>
              <w:t>high 2 · mod 4 · low 4</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L6</w:t>
            </w:r>
            <w:r>
              <w:rPr>
                <w:rFonts w:ascii="Times New Roman" w:hAnsi="Times New Roman" w:cs="Times New Roman" w:eastAsia="바탕"/>
                <w:b w:val="0"/>
                <w:i w:val="0"/>
                <w:sz w:val="22"/>
              </w:rPr>
              <w:t xml:space="preserve"> Acoustic zoning and enclosure of functions</w:t>
            </w:r>
          </w:p>
        </w:tc>
        <w:tc>
          <w:tcPr>
            <w:tcW w:type="dxa" w:w="1253"/>
          </w:tcPr>
          <w:p>
            <w:pPr>
              <w:spacing w:line="240" w:lineRule="auto" w:after="0"/>
            </w:pPr>
            <w:r/>
            <w:r>
              <w:rPr>
                <w:rFonts w:ascii="Times New Roman" w:hAnsi="Times New Roman" w:cs="Times New Roman" w:eastAsia="바탕"/>
                <w:b w:val="0"/>
                <w:i w:val="0"/>
                <w:sz w:val="22"/>
              </w:rPr>
              <w:t>Separating and enclosing noise-generating functions changes the density and interaction of adjacent activity</w:t>
            </w:r>
          </w:p>
        </w:tc>
        <w:tc>
          <w:tcPr>
            <w:tcW w:type="dxa" w:w="1253"/>
          </w:tcPr>
          <w:p>
            <w:pPr>
              <w:spacing w:line="240" w:lineRule="auto" w:after="0"/>
            </w:pPr>
            <w:r/>
            <w:r>
              <w:rPr>
                <w:rFonts w:ascii="Times New Roman" w:hAnsi="Times New Roman" w:cs="Times New Roman" w:eastAsia="바탕"/>
                <w:b w:val="0"/>
                <w:i w:val="0"/>
                <w:sz w:val="22"/>
              </w:rPr>
              <w:t>Space use (crowd density); social interaction (frequency, duration); staying</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1 · mod 5</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L7</w:t>
            </w:r>
            <w:r>
              <w:rPr>
                <w:rFonts w:ascii="Times New Roman" w:hAnsi="Times New Roman" w:cs="Times New Roman" w:eastAsia="바탕"/>
                <w:b w:val="0"/>
                <w:i w:val="0"/>
                <w:sz w:val="22"/>
              </w:rPr>
              <w:t xml:space="preserve"> Programming sound-generating public activities</w:t>
            </w:r>
          </w:p>
        </w:tc>
        <w:tc>
          <w:tcPr>
            <w:tcW w:type="dxa" w:w="1253"/>
          </w:tcPr>
          <w:p>
            <w:pPr>
              <w:spacing w:line="240" w:lineRule="auto" w:after="0"/>
            </w:pPr>
            <w:r/>
            <w:r>
              <w:rPr>
                <w:rFonts w:ascii="Times New Roman" w:hAnsi="Times New Roman" w:cs="Times New Roman" w:eastAsia="바탕"/>
                <w:b w:val="0"/>
                <w:i w:val="0"/>
                <w:sz w:val="22"/>
              </w:rPr>
              <w:t>Human sound and activity attract watching and joining, converting passage into stay</w:t>
            </w:r>
          </w:p>
        </w:tc>
        <w:tc>
          <w:tcPr>
            <w:tcW w:type="dxa" w:w="1253"/>
          </w:tcPr>
          <w:p>
            <w:pPr>
              <w:spacing w:line="240" w:lineRule="auto" w:after="0"/>
            </w:pPr>
            <w:r/>
            <w:r>
              <w:rPr>
                <w:rFonts w:ascii="Times New Roman" w:hAnsi="Times New Roman" w:cs="Times New Roman" w:eastAsia="바탕"/>
                <w:b w:val="0"/>
                <w:i w:val="0"/>
                <w:sz w:val="22"/>
              </w:rPr>
              <w:t>Staying (watching, lingering); social interaction; space use</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1 · mod 2 · low 3</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L8</w:t>
            </w:r>
            <w:r>
              <w:rPr>
                <w:rFonts w:ascii="Times New Roman" w:hAnsi="Times New Roman" w:cs="Times New Roman" w:eastAsia="바탕"/>
                <w:b w:val="0"/>
                <w:i w:val="0"/>
                <w:sz w:val="22"/>
              </w:rPr>
              <w:t xml:space="preserve"> Auditory guidance and warning signals</w:t>
            </w:r>
          </w:p>
        </w:tc>
        <w:tc>
          <w:tcPr>
            <w:tcW w:type="dxa" w:w="1253"/>
          </w:tcPr>
          <w:p>
            <w:pPr>
              <w:spacing w:line="240" w:lineRule="auto" w:after="0"/>
            </w:pPr>
            <w:r/>
            <w:r>
              <w:rPr>
                <w:rFonts w:ascii="Times New Roman" w:hAnsi="Times New Roman" w:cs="Times New Roman" w:eastAsia="바탕"/>
                <w:b w:val="0"/>
                <w:i w:val="0"/>
                <w:sz w:val="22"/>
              </w:rPr>
              <w:t>Directional signal sound directly adjusts crossing trajectory and response timing</w:t>
            </w:r>
          </w:p>
        </w:tc>
        <w:tc>
          <w:tcPr>
            <w:tcW w:type="dxa" w:w="1253"/>
          </w:tcPr>
          <w:p>
            <w:pPr>
              <w:spacing w:line="240" w:lineRule="auto" w:after="0"/>
            </w:pPr>
            <w:r/>
            <w:r>
              <w:rPr>
                <w:rFonts w:ascii="Times New Roman" w:hAnsi="Times New Roman" w:cs="Times New Roman" w:eastAsia="바탕"/>
                <w:b w:val="0"/>
                <w:i w:val="0"/>
                <w:sz w:val="22"/>
              </w:rPr>
              <w:t>Movement (crossing accuracy, detection timing, smoothness of deceleration)</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4</w:t>
            </w:r>
          </w:p>
        </w:tc>
        <w:tc>
          <w:tcPr>
            <w:tcW w:type="dxa" w:w="1253"/>
          </w:tcPr>
          <w:p>
            <w:pPr>
              <w:spacing w:line="240" w:lineRule="auto" w:after="0"/>
            </w:pPr>
            <w:r/>
            <w:r>
              <w:rPr>
                <w:rFonts w:ascii="Times New Roman" w:hAnsi="Times New Roman" w:cs="Times New Roman" w:eastAsia="바탕"/>
                <w:b w:val="0"/>
                <w:i w:val="0"/>
                <w:sz w:val="22"/>
              </w:rPr>
              <w:t>high 1 · mod 2 · low 1</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L9</w:t>
            </w:r>
            <w:r>
              <w:rPr>
                <w:rFonts w:ascii="Times New Roman" w:hAnsi="Times New Roman" w:cs="Times New Roman" w:eastAsia="바탕"/>
                <w:b w:val="0"/>
                <w:i w:val="0"/>
                <w:sz w:val="22"/>
              </w:rPr>
              <w:t xml:space="preserve"> Slowing pedestrian pace by natural sound</w:t>
            </w:r>
          </w:p>
        </w:tc>
        <w:tc>
          <w:tcPr>
            <w:tcW w:type="dxa" w:w="1253"/>
          </w:tcPr>
          <w:p>
            <w:pPr>
              <w:spacing w:line="240" w:lineRule="auto" w:after="0"/>
            </w:pPr>
            <w:r/>
            <w:r>
              <w:rPr>
                <w:rFonts w:ascii="Times New Roman" w:hAnsi="Times New Roman" w:cs="Times New Roman" w:eastAsia="바탕"/>
                <w:b w:val="0"/>
                <w:i w:val="0"/>
                <w:sz w:val="22"/>
              </w:rPr>
              <w:t>Noise provokes avoidance and speeds passage; natural sound is assumed to reverse it</w:t>
            </w:r>
          </w:p>
        </w:tc>
        <w:tc>
          <w:tcPr>
            <w:tcW w:type="dxa" w:w="1253"/>
          </w:tcPr>
          <w:p>
            <w:pPr>
              <w:spacing w:line="240" w:lineRule="auto" w:after="0"/>
            </w:pPr>
            <w:r/>
            <w:r>
              <w:rPr>
                <w:rFonts w:ascii="Times New Roman" w:hAnsi="Times New Roman" w:cs="Times New Roman" w:eastAsia="바탕"/>
                <w:b w:val="0"/>
                <w:i w:val="0"/>
                <w:sz w:val="22"/>
              </w:rPr>
              <w:t>Movement (walking speed)</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5</w:t>
            </w:r>
          </w:p>
        </w:tc>
        <w:tc>
          <w:tcPr>
            <w:tcW w:type="dxa" w:w="1253"/>
          </w:tcPr>
          <w:p>
            <w:pPr>
              <w:spacing w:line="240" w:lineRule="auto" w:after="0"/>
            </w:pPr>
            <w:r/>
            <w:r>
              <w:rPr>
                <w:rFonts w:ascii="Times New Roman" w:hAnsi="Times New Roman" w:cs="Times New Roman" w:eastAsia="바탕"/>
                <w:b w:val="0"/>
                <w:i w:val="0"/>
                <w:sz w:val="22"/>
              </w:rPr>
              <w:t>high 1 · low 4</w:t>
            </w:r>
          </w:p>
        </w:tc>
        <w:tc>
          <w:tcPr>
            <w:tcW w:type="dxa" w:w="1253"/>
          </w:tcPr>
          <w:p>
            <w:pPr>
              <w:spacing w:line="240" w:lineRule="auto" w:after="0"/>
            </w:pPr>
            <w:r/>
            <w:r>
              <w:rPr>
                <w:rFonts w:ascii="Times New Roman" w:hAnsi="Times New Roman" w:cs="Times New Roman" w:eastAsia="바탕"/>
                <w:b/>
                <w:i w:val="0"/>
                <w:sz w:val="22"/>
              </w:rPr>
              <w:t>very low</w:t>
            </w:r>
          </w:p>
        </w:tc>
      </w:tr>
      <w:tr>
        <w:tc>
          <w:tcPr>
            <w:tcW w:type="dxa" w:w="1253"/>
          </w:tcPr>
          <w:p>
            <w:pPr>
              <w:spacing w:line="240" w:lineRule="auto" w:after="0"/>
            </w:pPr>
            <w:r/>
            <w:r>
              <w:rPr>
                <w:rFonts w:ascii="Times New Roman" w:hAnsi="Times New Roman" w:cs="Times New Roman" w:eastAsia="바탕"/>
                <w:b/>
                <w:i w:val="0"/>
                <w:sz w:val="22"/>
              </w:rPr>
              <w:t>L10</w:t>
            </w:r>
            <w:r>
              <w:rPr>
                <w:rFonts w:ascii="Times New Roman" w:hAnsi="Times New Roman" w:cs="Times New Roman" w:eastAsia="바탕"/>
                <w:b w:val="0"/>
                <w:i w:val="0"/>
                <w:sz w:val="22"/>
              </w:rPr>
              <w:t xml:space="preserve"> Speech-interference criteria for siting social space</w:t>
            </w:r>
          </w:p>
        </w:tc>
        <w:tc>
          <w:tcPr>
            <w:tcW w:type="dxa" w:w="1253"/>
          </w:tcPr>
          <w:p>
            <w:pPr>
              <w:spacing w:line="240" w:lineRule="auto" w:after="0"/>
            </w:pPr>
            <w:r/>
            <w:r>
              <w:rPr>
                <w:rFonts w:ascii="Times New Roman" w:hAnsi="Times New Roman" w:cs="Times New Roman" w:eastAsia="바탕"/>
                <w:b w:val="0"/>
                <w:i w:val="0"/>
                <w:sz w:val="22"/>
              </w:rPr>
              <w:t>Noise interferes with speech, forcing conversation to stop or voices to rise, and eventually deterring verbal interaction altogether</w:t>
            </w:r>
          </w:p>
        </w:tc>
        <w:tc>
          <w:tcPr>
            <w:tcW w:type="dxa" w:w="1253"/>
          </w:tcPr>
          <w:p>
            <w:pPr>
              <w:spacing w:line="240" w:lineRule="auto" w:after="0"/>
            </w:pPr>
            <w:r/>
            <w:r>
              <w:rPr>
                <w:rFonts w:ascii="Times New Roman" w:hAnsi="Times New Roman" w:cs="Times New Roman" w:eastAsia="바탕"/>
                <w:b w:val="0"/>
                <w:i w:val="0"/>
                <w:sz w:val="22"/>
              </w:rPr>
              <w:t>Social interaction (conversation duration, vocal effort); acceptance of verbal interaction</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3</w:t>
            </w:r>
          </w:p>
        </w:tc>
        <w:tc>
          <w:tcPr>
            <w:tcW w:type="dxa" w:w="1253"/>
          </w:tcPr>
          <w:p>
            <w:pPr>
              <w:spacing w:line="240" w:lineRule="auto" w:after="0"/>
            </w:pPr>
            <w:r/>
            <w:r>
              <w:rPr>
                <w:rFonts w:ascii="Times New Roman" w:hAnsi="Times New Roman" w:cs="Times New Roman" w:eastAsia="바탕"/>
                <w:b w:val="0"/>
                <w:i w:val="0"/>
                <w:sz w:val="22"/>
              </w:rPr>
              <w:t>high 2 · mod 1</w:t>
            </w:r>
          </w:p>
        </w:tc>
        <w:tc>
          <w:tcPr>
            <w:tcW w:type="dxa" w:w="1253"/>
          </w:tcPr>
          <w:p>
            <w:pPr>
              <w:spacing w:line="240" w:lineRule="auto" w:after="0"/>
            </w:pPr>
            <w:r/>
            <w:r>
              <w:rPr>
                <w:rFonts w:ascii="Times New Roman" w:hAnsi="Times New Roman" w:cs="Times New Roman" w:eastAsia="바탕"/>
                <w:b/>
                <w:i w:val="0"/>
                <w:sz w:val="22"/>
              </w:rPr>
              <w:t>low</w:t>
            </w:r>
          </w:p>
        </w:tc>
      </w:tr>
    </w:tbl>
    <w:p>
      <w:pPr>
        <w:spacing w:line="240" w:lineRule="auto" w:after="0" w:before="0"/>
      </w:pPr>
    </w:p>
    <w:p>
      <w:pPr>
        <w:spacing w:line="240" w:lineRule="auto" w:after="120" w:before="0"/>
      </w:pPr>
      <w:r>
        <w:rPr>
          <w:rFonts w:ascii="Times New Roman" w:hAnsi="Times New Roman" w:cs="Times New Roman" w:eastAsia="바탕"/>
          <w:b/>
          <w:i w:val="0"/>
          <w:sz w:val="24"/>
        </w:rPr>
        <w:t>How to read the grades.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moderate</w:t>
      </w:r>
      <w:r>
        <w:rPr>
          <w:rFonts w:ascii="Times New Roman" w:hAnsi="Times New Roman" w:cs="Times New Roman" w:eastAsia="바탕"/>
          <w:b w:val="0"/>
          <w:i w:val="0"/>
          <w:sz w:val="24"/>
        </w:rPr>
        <w:t xml:space="preserve"> (4) — Include in a design proposal, with post-occupancy monitoring · </w:t>
      </w:r>
      <w:r>
        <w:rPr>
          <w:rFonts w:ascii="Times New Roman" w:hAnsi="Times New Roman" w:cs="Times New Roman" w:eastAsia="바탕"/>
          <w:b w:val="0"/>
          <w:i/>
          <w:sz w:val="24"/>
        </w:rPr>
        <w:t>low</w:t>
      </w:r>
      <w:r>
        <w:rPr>
          <w:rFonts w:ascii="Times New Roman" w:hAnsi="Times New Roman" w:cs="Times New Roman" w:eastAsia="바탕"/>
          <w:b w:val="0"/>
          <w:i w:val="0"/>
          <w:sz w:val="24"/>
        </w:rPr>
        <w:t xml:space="preserve"> (5) — Test as a hypothesis; do not write into a standard or guideline · </w:t>
      </w:r>
      <w:r>
        <w:rPr>
          <w:rFonts w:ascii="Times New Roman" w:hAnsi="Times New Roman" w:cs="Times New Roman" w:eastAsia="바탕"/>
          <w:b w:val="0"/>
          <w:i/>
          <w:sz w:val="24"/>
        </w:rPr>
        <w:t>very low</w:t>
      </w:r>
      <w:r>
        <w:rPr>
          <w:rFonts w:ascii="Times New Roman" w:hAnsi="Times New Roman" w:cs="Times New Roman" w:eastAsia="바탕"/>
          <w:b w:val="0"/>
          <w:i w:val="0"/>
          <w:sz w:val="24"/>
        </w:rPr>
        <w:t xml:space="preserve"> (1) — No prescriptive basis at present.</w:t>
      </w:r>
    </w:p>
    <w:p>
      <w:pPr>
        <w:spacing w:line="240" w:lineRule="auto" w:after="120" w:before="0"/>
      </w:pPr>
      <w:r>
        <w:rPr>
          <w:rFonts w:ascii="Times New Roman" w:hAnsi="Times New Roman" w:cs="Times New Roman" w:eastAsia="바탕"/>
          <w:b w:val="0"/>
          <w:i w:val="0"/>
          <w:sz w:val="24"/>
        </w:rPr>
        <w:t>등급보다 중요한 귀속 판단이 둘 있다.</w:t>
      </w:r>
    </w:p>
    <w:p>
      <w:pPr>
        <w:spacing w:line="240" w:lineRule="auto" w:after="120" w:before="0"/>
      </w:pPr>
      <w:r>
        <w:rPr>
          <w:rFonts w:ascii="Times New Roman" w:hAnsi="Times New Roman" w:cs="Times New Roman" w:eastAsia="바탕"/>
          <w:b/>
          <w:i w:val="0"/>
          <w:sz w:val="24"/>
        </w:rPr>
        <w:t>첫째, 사회적 상호작용 결과는 자연음을 더한 것으로도 소음을 없앤 것으로도 귀속되지 않는다.</w:t>
      </w:r>
      <w:r>
        <w:rPr>
          <w:rFonts w:ascii="Times New Roman" w:hAnsi="Times New Roman" w:cs="Times New Roman" w:eastAsia="바탕"/>
          <w:b w:val="0"/>
          <w:i w:val="0"/>
          <w:sz w:val="24"/>
        </w:rPr>
        <w:t xml:space="preserve"> 유의한 클러스터를 수경시설과 새소리의 근거로 읽는 것도, 기계를 조용히 시키는 것의 근거로 읽는 것도 편리하다. 어느 쪽도 지지되지 않는다. 네 효과를 노출로 나누면 평균이 거의 같고(자연음 +0.76, 기계음 +0.75), 도로공사 연구를 빼면 합성 추정치가 낮아지는 것이 아니라 </w:t>
      </w:r>
      <w:r>
        <w:rPr>
          <w:rFonts w:ascii="Times New Roman" w:hAnsi="Times New Roman" w:cs="Times New Roman" w:eastAsia="바탕"/>
          <w:b/>
          <w:i w:val="0"/>
          <w:sz w:val="24"/>
        </w:rPr>
        <w:t>오히려 올라간다</w:t>
      </w:r>
      <w:r>
        <w:rPr>
          <w:rFonts w:ascii="Times New Roman" w:hAnsi="Times New Roman" w:cs="Times New Roman" w:eastAsia="바탕"/>
          <w:b w:val="0"/>
          <w:i w:val="0"/>
          <w:sz w:val="24"/>
        </w:rPr>
        <w:t xml:space="preserve"> (+0.68 → +0.77). 더 근본적으로, 두 자연음 연구는 새소리와 물소리를 교통·공사 소음과 대비한다 — 자연음을 더하는 것과 소음을 없애는 것을 </w:t>
      </w:r>
      <w:r>
        <w:rPr>
          <w:rFonts w:ascii="Times New Roman" w:hAnsi="Times New Roman" w:cs="Times New Roman" w:eastAsia="바탕"/>
          <w:b/>
          <w:i w:val="0"/>
          <w:sz w:val="24"/>
        </w:rPr>
        <w:t>동시에</w:t>
      </w:r>
      <w:r>
        <w:rPr>
          <w:rFonts w:ascii="Times New Roman" w:hAnsi="Times New Roman" w:cs="Times New Roman" w:eastAsia="바탕"/>
          <w:b w:val="0"/>
          <w:i w:val="0"/>
          <w:sz w:val="24"/>
        </w:rPr>
        <w:t xml:space="preserve"> 한다. </w:t>
      </w:r>
      <w:r>
        <w:rPr>
          <w:rFonts w:ascii="Times New Roman" w:hAnsi="Times New Roman" w:cs="Times New Roman" w:eastAsia="바탕"/>
          <w:b/>
          <w:i w:val="0"/>
          <w:sz w:val="24"/>
        </w:rPr>
        <w:t>코퍼스에 자연음을 정온과 대비한 연구가 한 편도 없으므로</w:t>
      </w:r>
      <w:r>
        <w:rPr>
          <w:rFonts w:ascii="Times New Roman" w:hAnsi="Times New Roman" w:cs="Times New Roman" w:eastAsia="바탕"/>
          <w:b w:val="0"/>
          <w:i w:val="0"/>
          <w:sz w:val="24"/>
        </w:rPr>
        <w:t>, 두 기전은 그 안의 어떤 연구로도 분리 식별되지 않는다. 말할 수 있는 것은 더 좁다 — 이 클러스터를 유의 문턱 너머로 밀어올린 증분은 인용 검색으로 회수한 기계음 실험 한 편에서 왔다.</w:t>
      </w:r>
    </w:p>
    <w:p>
      <w:pPr>
        <w:spacing w:line="240" w:lineRule="auto" w:after="120" w:before="0"/>
      </w:pPr>
      <w:r>
        <w:rPr>
          <w:rFonts w:ascii="Times New Roman" w:hAnsi="Times New Roman" w:cs="Times New Roman" w:eastAsia="바탕"/>
          <w:b/>
          <w:i w:val="0"/>
          <w:sz w:val="24"/>
        </w:rPr>
        <w:t>둘째, 보행속도 문헌은 인용 횟수가 시사하는 것보다 좁다.</w:t>
      </w:r>
      <w:r>
        <w:rPr>
          <w:rFonts w:ascii="Times New Roman" w:hAnsi="Times New Roman" w:cs="Times New Roman" w:eastAsia="바탕"/>
          <w:b w:val="0"/>
          <w:i w:val="0"/>
          <w:sz w:val="24"/>
        </w:rPr>
        <w:t xml:space="preserve"> 이미 보고한 품질 붕괴 외에 두 가지 구조적 특징이 평가 과정에서 드러났다. 풀에 들어간 세 효과 중 셋이 공간의 소리를 바꾼 것이 아니라 보행 중 </w:t>
      </w:r>
      <w:r>
        <w:rPr>
          <w:rFonts w:ascii="Times New Roman" w:hAnsi="Times New Roman" w:cs="Times New Roman" w:eastAsia="바탕"/>
          <w:b/>
          <w:i w:val="0"/>
          <w:sz w:val="24"/>
        </w:rPr>
        <w:t>헤드폰으로</w:t>
      </w:r>
      <w:r>
        <w:rPr>
          <w:rFonts w:ascii="Times New Roman" w:hAnsi="Times New Roman" w:cs="Times New Roman" w:eastAsia="바탕"/>
          <w:b w:val="0"/>
          <w:i w:val="0"/>
          <w:sz w:val="24"/>
        </w:rPr>
        <w:t xml:space="preserve"> 오디오를 조작했다. 그리고 보행 증거는 실질적으로 </w:t>
      </w:r>
      <w:r>
        <w:rPr>
          <w:rFonts w:ascii="Times New Roman" w:hAnsi="Times New Roman" w:cs="Times New Roman" w:eastAsia="바탕"/>
          <w:b/>
          <w:i w:val="0"/>
          <w:sz w:val="24"/>
        </w:rPr>
        <w:t>하나의 연구 프로그램</w:t>
      </w:r>
      <w:r>
        <w:rPr>
          <w:rFonts w:ascii="Times New Roman" w:hAnsi="Times New Roman" w:cs="Times New Roman" w:eastAsia="바탕"/>
          <w:b w:val="0"/>
          <w:i w:val="0"/>
          <w:sz w:val="24"/>
        </w:rPr>
        <w:t>이다 — 풀에 들어간 효과의 상당수가 같은 체코 연구진의 두 연구에서 나오고(Franěk 등, 2018, 2019), 새로 들어온 두 편의 고품질 보행 논문도 같은 연구진이 같은 1.75–1.8 km 순환 경로에서 수행한 것이며 그중 둘은 동일한 벨트 카메라·주석 프로토콜을 공유한다. 남은 하나의 효과는 부호가 반대인 알제리 현장 관찰이다(Berkouk 등, 2020).</w:t>
      </w:r>
    </w:p>
    <w:p>
      <w:pPr>
        <w:spacing w:line="240" w:lineRule="auto" w:after="120" w:before="0"/>
      </w:pPr>
      <w:r>
        <w:rPr>
          <w:rFonts w:ascii="Times New Roman" w:hAnsi="Times New Roman" w:cs="Times New Roman" w:eastAsia="바탕"/>
          <w:b w:val="0"/>
          <w:i w:val="0"/>
          <w:sz w:val="24"/>
        </w:rPr>
        <w:t xml:space="preserve">풀 바깥에서 실제 가로의 소리를 바꾼 연구가 한 편 있다. Ba 등(2024)은 교통소음 55.6 dB(A)와 70.5 dB(A) 조건을 식물 향 농도와 교차시켜 은폐 관찰을 수행했다. 평균 군중 속도는 저소음에서 약 1.14 m/s, 고소음에서 약 1.21 m/s로 </w:t>
      </w:r>
      <w:r>
        <w:rPr>
          <w:rFonts w:ascii="Times New Roman" w:hAnsi="Times New Roman" w:cs="Times New Roman" w:eastAsia="바탕"/>
          <w:b/>
          <w:i w:val="0"/>
          <w:sz w:val="24"/>
        </w:rPr>
        <w:t>소음 조건에서 약 0.07 m/s 빨랐고</w:t>
      </w:r>
      <w:r>
        <w:rPr>
          <w:rFonts w:ascii="Times New Roman" w:hAnsi="Times New Roman" w:cs="Times New Roman" w:eastAsia="바탕"/>
          <w:b w:val="0"/>
          <w:i w:val="0"/>
          <w:sz w:val="24"/>
        </w:rPr>
        <w:t xml:space="preserve"> 이는 문헌이 예측하는 방향이다. 저자들은 측정 격자 간 최대 차이가 0.06 m/s였다고 보고한다. 이 연구는 MMAT low다. 즉 </w:t>
      </w:r>
      <w:r>
        <w:rPr>
          <w:rFonts w:ascii="Times New Roman" w:hAnsi="Times New Roman" w:cs="Times New Roman" w:eastAsia="바탕"/>
          <w:b/>
          <w:i w:val="0"/>
          <w:sz w:val="24"/>
        </w:rPr>
        <w:t>실제 환경을 조작한 유일한 근거가 내놓는 효과는 초속 몇 센티미터 수준</w:t>
      </w:r>
      <w:r>
        <w:rPr>
          <w:rFonts w:ascii="Times New Roman" w:hAnsi="Times New Roman" w:cs="Times New Roman" w:eastAsia="바탕"/>
          <w:b w:val="0"/>
          <w:i w:val="0"/>
          <w:sz w:val="24"/>
        </w:rPr>
        <w:t xml:space="preserve">이다. 한 도시의 한 경로에서, 그것도 대체로 헤드폰으로 반복된 주장은 반복 검증된 발견이 아니며, 메타분석의 </w:t>
      </w:r>
      <w:r>
        <w:rPr>
          <w:rFonts w:ascii="Times New Roman" w:hAnsi="Times New Roman" w:cs="Times New Roman" w:eastAsia="바탕"/>
          <w:b w:val="0"/>
          <w:i/>
          <w:sz w:val="24"/>
        </w:rPr>
        <w:t>k</w:t>
      </w:r>
      <w:r>
        <w:rPr>
          <w:rFonts w:ascii="Times New Roman" w:hAnsi="Times New Roman" w:cs="Times New Roman" w:eastAsia="바탕"/>
          <w:b w:val="0"/>
          <w:i w:val="0"/>
          <w:sz w:val="24"/>
        </w:rPr>
        <w:t>는 이 사실을 드러내지 않는다.</w:t>
      </w:r>
    </w:p>
    <w:p>
      <w:pPr>
        <w:spacing w:line="240" w:lineRule="auto" w:after="80" w:before="200"/>
      </w:pPr>
      <w:r>
        <w:rPr>
          <w:rFonts w:ascii="Times New Roman" w:hAnsi="Times New Roman" w:cs="Times New Roman" w:eastAsia="바탕"/>
          <w:b/>
          <w:i w:val="0"/>
          <w:sz w:val="24"/>
        </w:rPr>
        <w:t>4.3 Implications for landscape planning</w:t>
      </w:r>
    </w:p>
    <w:p>
      <w:pPr>
        <w:spacing w:line="240" w:lineRule="auto" w:after="120" w:before="0"/>
      </w:pPr>
      <w:r>
        <w:rPr>
          <w:rFonts w:ascii="Times New Roman" w:hAnsi="Times New Roman" w:cs="Times New Roman" w:eastAsia="바탕"/>
          <w:b w:val="0"/>
          <w:i w:val="0"/>
          <w:sz w:val="24"/>
        </w:rPr>
        <w:t>Table 3의 실무적 독해는 방어 가능성 순으로 정리된다.</w:t>
      </w:r>
    </w:p>
    <w:p>
      <w:pPr>
        <w:spacing w:line="240" w:lineRule="auto" w:after="120" w:before="0"/>
      </w:pPr>
      <w:r>
        <w:rPr>
          <w:rFonts w:ascii="Times New Roman" w:hAnsi="Times New Roman" w:cs="Times New Roman" w:eastAsia="바탕"/>
          <w:b/>
          <w:i w:val="0"/>
          <w:sz w:val="24"/>
        </w:rPr>
        <w:t>운영 소음부터 손대라.</w:t>
      </w:r>
      <w:r>
        <w:rPr>
          <w:rFonts w:ascii="Times New Roman" w:hAnsi="Times New Roman" w:cs="Times New Roman" w:eastAsia="바탕"/>
          <w:b w:val="0"/>
          <w:i w:val="0"/>
          <w:sz w:val="24"/>
        </w:rPr>
        <w:t xml:space="preserve"> 이 코퍼스에서 가장 잘 지지되는 행태적 귀결은 기계 소음이 사회적 행태를 억제한다는 것이며, 낯선 사람에게 건네는 도움도 여기 포함된다. 환기 설비, 예초 일정, 공사 시간대는 일상적 운영 통제 범위 안에 있고, 바꾸는 비용이 적으며, 서로 다른 소음원을 쓴 두 개의 독립적 현장실험이 뒷받침한다.</w:t>
      </w:r>
    </w:p>
    <w:p>
      <w:pPr>
        <w:spacing w:line="240" w:lineRule="auto" w:after="120" w:before="0"/>
      </w:pPr>
      <w:r>
        <w:rPr>
          <w:rFonts w:ascii="Times New Roman" w:hAnsi="Times New Roman" w:cs="Times New Roman" w:eastAsia="바탕"/>
          <w:b/>
          <w:i w:val="0"/>
          <w:sz w:val="24"/>
        </w:rPr>
        <w:t>부가음은 유입 장치가 아니라 체류 도구로 다뤄라.</w:t>
      </w:r>
      <w:r>
        <w:rPr>
          <w:rFonts w:ascii="Times New Roman" w:hAnsi="Times New Roman" w:cs="Times New Roman" w:eastAsia="바탕"/>
          <w:b w:val="0"/>
          <w:i w:val="0"/>
          <w:sz w:val="24"/>
        </w:rPr>
        <w:t xml:space="preserve"> 음악은 이미 그 자리에 있는 사람의 체류를 늘린다. 유입을 검정한 유일한 고품질 연구(Aletta 등, 2016)는 멈추는 인원수에 무효과였다. 방문객 수 증가를 근거로 정당화하는 프로그래밍은 증거가 보이는 것을 넘어선다.</w:t>
      </w:r>
    </w:p>
    <w:p>
      <w:pPr>
        <w:spacing w:line="240" w:lineRule="auto" w:after="120" w:before="0"/>
      </w:pPr>
      <w:r>
        <w:rPr>
          <w:rFonts w:ascii="Times New Roman" w:hAnsi="Times New Roman" w:cs="Times New Roman" w:eastAsia="바탕"/>
          <w:b/>
          <w:i w:val="0"/>
          <w:sz w:val="24"/>
        </w:rPr>
        <w:t>사회적 공간 입지에 회화 가능성 기준을 도입하라</w:t>
      </w:r>
      <w:r>
        <w:rPr>
          <w:rFonts w:ascii="Times New Roman" w:hAnsi="Times New Roman" w:cs="Times New Roman" w:eastAsia="바탕"/>
          <w:b w:val="0"/>
          <w:i w:val="0"/>
          <w:sz w:val="24"/>
        </w:rPr>
        <w:t xml:space="preserve">(레버 L10, 이번 개정에서 신설). 사람들이 대화하도록 의도된 곳 — 벤치 클러스터, 테라스, 만남의 장소 — 에서 관건이 되는 문턱은 짜증도가 아니라 </w:t>
      </w:r>
      <w:r>
        <w:rPr>
          <w:rFonts w:ascii="Times New Roman" w:hAnsi="Times New Roman" w:cs="Times New Roman" w:eastAsia="바탕"/>
          <w:b/>
          <w:i w:val="0"/>
          <w:sz w:val="24"/>
        </w:rPr>
        <w:t>대화가 성립하는가</w:t>
      </w:r>
      <w:r>
        <w:rPr>
          <w:rFonts w:ascii="Times New Roman" w:hAnsi="Times New Roman" w:cs="Times New Roman" w:eastAsia="바탕"/>
          <w:b w:val="0"/>
          <w:i w:val="0"/>
          <w:sz w:val="24"/>
        </w:rPr>
        <w:t>다. 증거는 절단값이 아니라 연속 기울기를 지지한다 — 1 데시벨당 자기보고 발성 증대가 약 0.25점이다(Montes González 등, 2023). 후보 입지를 비교하기에는 충분하고, 기준을 세우기에는 부족하다.</w:t>
      </w:r>
    </w:p>
    <w:p>
      <w:pPr>
        <w:spacing w:line="240" w:lineRule="auto" w:after="120" w:before="0"/>
      </w:pPr>
      <w:r>
        <w:rPr>
          <w:rFonts w:ascii="Times New Roman" w:hAnsi="Times New Roman" w:cs="Times New Roman" w:eastAsia="바탕"/>
          <w:b/>
          <w:i w:val="0"/>
          <w:sz w:val="24"/>
        </w:rPr>
        <w:t>보행속도를 설계 성과지표로 쓰지 말고</w:t>
      </w:r>
      <w:r>
        <w:rPr>
          <w:rFonts w:ascii="Times New Roman" w:hAnsi="Times New Roman" w:cs="Times New Roman" w:eastAsia="바탕"/>
          <w:b w:val="0"/>
          <w:i w:val="0"/>
          <w:sz w:val="24"/>
        </w:rPr>
        <w:t>, 헤드폰 연구 결과를 공공공간으로 옮기지 말라.</w:t>
      </w:r>
    </w:p>
    <w:p>
      <w:pPr>
        <w:spacing w:line="240" w:lineRule="auto" w:after="120" w:before="0"/>
      </w:pPr>
      <w:r>
        <w:rPr>
          <w:rFonts w:ascii="Times New Roman" w:hAnsi="Times New Roman" w:cs="Times New Roman" w:eastAsia="바탕"/>
          <w:b w:val="0"/>
          <w:i w:val="0"/>
          <w:sz w:val="24"/>
        </w:rPr>
        <w:t xml:space="preserve">우리가 </w:t>
      </w:r>
      <w:r>
        <w:rPr>
          <w:rFonts w:ascii="Times New Roman" w:hAnsi="Times New Roman" w:cs="Times New Roman" w:eastAsia="바탕"/>
          <w:b/>
          <w:i w:val="0"/>
          <w:sz w:val="24"/>
        </w:rPr>
        <w:t>지지되지 않는다</w:t>
      </w:r>
      <w:r>
        <w:rPr>
          <w:rFonts w:ascii="Times New Roman" w:hAnsi="Times New Roman" w:cs="Times New Roman" w:eastAsia="바탕"/>
          <w:b w:val="0"/>
          <w:i w:val="0"/>
          <w:sz w:val="24"/>
        </w:rPr>
        <w:t xml:space="preserve">고 보는 처방 전체는 Table 3 주석에 있다. 그중 둘은 실무에서 흔하므로 따로 짚는다. 수경시설로 교통소음을 마스킹해 이용을 늘린다는 처방은 </w:t>
      </w:r>
      <w:r>
        <w:rPr>
          <w:rFonts w:ascii="Times New Roman" w:hAnsi="Times New Roman" w:cs="Times New Roman" w:eastAsia="바탕"/>
          <w:b/>
          <w:i w:val="0"/>
          <w:sz w:val="24"/>
        </w:rPr>
        <w:t>이 코퍼스에 행태로 검정한 연구가 한 편도 없다</w:t>
      </w:r>
      <w:r>
        <w:rPr>
          <w:rFonts w:ascii="Times New Roman" w:hAnsi="Times New Roman" w:cs="Times New Roman" w:eastAsia="바탕"/>
          <w:b w:val="0"/>
          <w:i w:val="0"/>
          <w:sz w:val="24"/>
        </w:rPr>
        <w:t xml:space="preserve"> — 지각 연구에서 빌려온 믿음이다. 그리고 소음 저감을 신체활동의 경로로 삼는 것은 단순히 미지지가 아니라 </w:t>
      </w:r>
      <w:r>
        <w:rPr>
          <w:rFonts w:ascii="Times New Roman" w:hAnsi="Times New Roman" w:cs="Times New Roman" w:eastAsia="바탕"/>
          <w:b/>
          <w:i w:val="0"/>
          <w:sz w:val="24"/>
        </w:rPr>
        <w:t>반증된다.</w:t>
      </w:r>
      <w:r>
        <w:rPr>
          <w:rFonts w:ascii="Times New Roman" w:hAnsi="Times New Roman" w:cs="Times New Roman" w:eastAsia="바탕"/>
          <w:b w:val="0"/>
          <w:i w:val="0"/>
          <w:sz w:val="24"/>
        </w:rPr>
        <w:t xml:space="preserve"> 여기서 가장 큰 두 데이터셋이 소음과 활동의 정적 연관을 보고하는데(Dzhambov 등, 2026; Huang 등, 2023), 활동이 도시의 시끄러운 곳에 집중되기 때문이다.</w:t>
      </w:r>
    </w:p>
    <w:p>
      <w:pPr>
        <w:spacing w:line="240" w:lineRule="auto" w:after="80" w:before="200"/>
      </w:pPr>
      <w:r>
        <w:rPr>
          <w:rFonts w:ascii="Times New Roman" w:hAnsi="Times New Roman" w:cs="Times New Roman" w:eastAsia="바탕"/>
          <w:b/>
          <w:i w:val="0"/>
          <w:sz w:val="24"/>
        </w:rPr>
        <w:t>4.4 Methodological implications</w:t>
      </w:r>
    </w:p>
    <w:p>
      <w:pPr>
        <w:spacing w:line="240" w:lineRule="auto" w:after="120" w:before="0"/>
      </w:pPr>
      <w:r>
        <w:rPr>
          <w:rFonts w:ascii="Times New Roman" w:hAnsi="Times New Roman" w:cs="Times New Roman" w:eastAsia="바탕"/>
          <w:b/>
          <w:i w:val="0"/>
          <w:sz w:val="24"/>
        </w:rPr>
        <w:t>이 분야는 사람보다 소리를 훨씬 잘 측정한다.</w:t>
      </w:r>
      <w:r>
        <w:rPr>
          <w:rFonts w:ascii="Times New Roman" w:hAnsi="Times New Roman" w:cs="Times New Roman" w:eastAsia="바탕"/>
          <w:b w:val="0"/>
          <w:i w:val="0"/>
          <w:sz w:val="24"/>
        </w:rPr>
        <w:t xml:space="preserve"> 가장 큰 품질 결손은 설계 결함이 아니라 보고 누락이다 — 표본 대표성은 다섯 편 중 한 편, 낮은 무응답 편의는 대략 세 편 중 한 편에서만 분명하다. 음압을 소수점 셋째 자리까지 보고하는 문헌이 응답률은 일상적으로 누락한다. 무작위 배정 연구 2편이 최하위권 점수를 받는 것도 정확히 같은 이유다.</w:t>
      </w:r>
    </w:p>
    <w:p>
      <w:pPr>
        <w:spacing w:line="240" w:lineRule="auto" w:after="120" w:before="0"/>
      </w:pPr>
      <w:r>
        <w:rPr>
          <w:rFonts w:ascii="Times New Roman" w:hAnsi="Times New Roman" w:cs="Times New Roman" w:eastAsia="바탕"/>
          <w:b/>
          <w:i w:val="0"/>
          <w:sz w:val="24"/>
        </w:rPr>
        <w:t>측정 세대는 대체가 아니라 누적된다.</w:t>
      </w:r>
      <w:r>
        <w:rPr>
          <w:rFonts w:ascii="Times New Roman" w:hAnsi="Times New Roman" w:cs="Times New Roman" w:eastAsia="바탕"/>
          <w:b w:val="0"/>
          <w:i w:val="0"/>
          <w:sz w:val="24"/>
        </w:rPr>
        <w:t xml:space="preserve"> 센싱이 가장 빠르게 자랐지만 자기보고와 체계적 관찰도 함께 자랐고 22편이 이제 둘 이상을 결합한다. 이 분야의 삼각검증 역량이 산출량보다 빠르게 자라고 있다 — 층위들을 비교할 수 있을 만큼 연구가 충분히 보고한다면, 기회다.</w:t>
      </w:r>
    </w:p>
    <w:p>
      <w:pPr>
        <w:spacing w:line="240" w:lineRule="auto" w:after="120" w:before="0"/>
      </w:pPr>
      <w:r>
        <w:rPr>
          <w:rFonts w:ascii="Times New Roman" w:hAnsi="Times New Roman" w:cs="Times New Roman" w:eastAsia="바탕"/>
          <w:b/>
          <w:i w:val="0"/>
          <w:sz w:val="24"/>
        </w:rPr>
        <w:t>증거 종합 자체에 대한 경고 하나.</w:t>
      </w:r>
      <w:r>
        <w:rPr>
          <w:rFonts w:ascii="Times New Roman" w:hAnsi="Times New Roman" w:cs="Times New Roman" w:eastAsia="바탕"/>
          <w:b w:val="0"/>
          <w:i w:val="0"/>
          <w:sz w:val="24"/>
        </w:rPr>
        <w:t xml:space="preserve"> 자동 전문 추출은 미보고 항목을 "can't tell"로 채점하는 평가 도구와 나쁘게 상호작용한다. 절단된 추출이 16편 중 4편의 품질 등급을 최소 한 단계 낮췄고 그중 셋은 두 단계였으며, 한 검색 경로 전체가 더 약한 문헌을 회수한 것처럼 보이게 만들었다. 이 편의는 </w:t>
      </w:r>
      <w:r>
        <w:rPr>
          <w:rFonts w:ascii="Times New Roman" w:hAnsi="Times New Roman" w:cs="Times New Roman" w:eastAsia="바탕"/>
          <w:b/>
          <w:i w:val="0"/>
          <w:sz w:val="24"/>
        </w:rPr>
        <w:t>한 방향으로만 작동하고 의도적 감사 없이는 보이지 않는다.</w:t>
      </w:r>
      <w:r>
        <w:rPr>
          <w:rFonts w:ascii="Times New Roman" w:hAnsi="Times New Roman" w:cs="Times New Roman" w:eastAsia="바탕"/>
          <w:b w:val="0"/>
          <w:i w:val="0"/>
          <w:sz w:val="24"/>
        </w:rPr>
        <w:t xml:space="preserve"> 기계 추출을 쓰는 리뷰는 추출 한계를 보고하고 평가된 연구가 완전한 전문으로 평가됐는지 확인할 것을 권한다.</w:t>
      </w:r>
    </w:p>
    <w:p>
      <w:pPr>
        <w:spacing w:line="240" w:lineRule="auto" w:after="120" w:before="0"/>
      </w:pPr>
      <w:r>
        <w:rPr>
          <w:rFonts w:ascii="Times New Roman" w:hAnsi="Times New Roman" w:cs="Times New Roman" w:eastAsia="바탕"/>
          <w:b/>
          <w:i w:val="0"/>
          <w:sz w:val="24"/>
        </w:rPr>
        <w:t>색인 메타데이터에 관한 두 번째 경고.</w:t>
      </w:r>
      <w:r>
        <w:rPr>
          <w:rFonts w:ascii="Times New Roman" w:hAnsi="Times New Roman" w:cs="Times New Roman" w:eastAsia="바탕"/>
          <w:b w:val="0"/>
          <w:i w:val="0"/>
          <w:sz w:val="24"/>
        </w:rPr>
        <w:t xml:space="preserve"> 보조 색인으로 회수한 전문 5편 중 2편이 영어로 색인돼 있었으나 한국어와 일본어로 쓰여 있었다. 언어 기준을 문서가 아니라 메타데이터로 집행하는 리뷰는 자기 프로토콜을 소리 없이 위반하게 된다.</w:t>
      </w:r>
    </w:p>
    <w:p>
      <w:pPr>
        <w:spacing w:line="240" w:lineRule="auto" w:after="120" w:before="0"/>
      </w:pPr>
      <w:r>
        <w:rPr>
          <w:rFonts w:ascii="Times New Roman" w:hAnsi="Times New Roman" w:cs="Times New Roman" w:eastAsia="바탕"/>
          <w:b/>
          <w:i w:val="0"/>
          <w:sz w:val="24"/>
        </w:rPr>
        <w:t>세 번째 경고는 우리 자신의 계산에 관한 것이다.</w:t>
      </w:r>
      <w:r>
        <w:rPr>
          <w:rFonts w:ascii="Times New Roman" w:hAnsi="Times New Roman" w:cs="Times New Roman" w:eastAsia="바탕"/>
          <w:b w:val="0"/>
          <w:i w:val="0"/>
          <w:sz w:val="24"/>
        </w:rPr>
        <w:t xml:space="preserve"> 원고를 쓰지 않은 외부 검증자에게 메타분석 구현을 반박 임무로 넘긴 결과, 네 건의 오류가 드러났다(§2.7). 그중 둘이 특히 시사적이다. </w:t>
      </w:r>
      <w:r>
        <w:rPr>
          <w:rFonts w:ascii="Times New Roman" w:hAnsi="Times New Roman" w:cs="Times New Roman" w:eastAsia="바탕"/>
          <w:b/>
          <w:i w:val="0"/>
          <w:sz w:val="24"/>
        </w:rPr>
        <w:t>같은 τ² 추정 함수가 세 파일에 복제돼 있었고 셋 다 이름과 달리 최대우도를 풀고 있었다</w:t>
      </w:r>
      <w:r>
        <w:rPr>
          <w:rFonts w:ascii="Times New Roman" w:hAnsi="Times New Roman" w:cs="Times New Roman" w:eastAsia="바탕"/>
          <w:b w:val="0"/>
          <w:i w:val="0"/>
          <w:sz w:val="24"/>
        </w:rPr>
        <w:t xml:space="preserve"> — 복제가 없었다면 한 곳만 고치면 됐을 문제이고, 복제가 있었기에 세 산출물이 함께 틀렸다. 그리고 </w:t>
      </w:r>
      <w:r>
        <w:rPr>
          <w:rFonts w:ascii="Times New Roman" w:hAnsi="Times New Roman" w:cs="Times New Roman" w:eastAsia="바탕"/>
          <w:b/>
          <w:i w:val="0"/>
          <w:sz w:val="24"/>
        </w:rPr>
        <w:t>추출표가 효과 통계를 `NR`로 기록한 연구에 합성 단계에서 값이 만들어져 들어가 있었다</w:t>
      </w:r>
      <w:r>
        <w:rPr>
          <w:rFonts w:ascii="Times New Roman" w:hAnsi="Times New Roman" w:cs="Times New Roman" w:eastAsia="바탕"/>
          <w:b w:val="0"/>
          <w:i w:val="0"/>
          <w:sz w:val="24"/>
        </w:rPr>
        <w:t xml:space="preserve"> — 추출과 합성이 같은 사람의 손을 거치면 이 경계가 흐려진다. 두 가지 모두 자가 점검으로는 잡히지 않았고, 작성자가 아닌 검증자를 붙였을 때 잡혔다. </w:t>
      </w:r>
      <w:r>
        <w:rPr>
          <w:rFonts w:ascii="Times New Roman" w:hAnsi="Times New Roman" w:cs="Times New Roman" w:eastAsia="바탕"/>
          <w:b/>
          <w:i w:val="0"/>
          <w:sz w:val="24"/>
        </w:rPr>
        <w:t>메타분석을 보고하는 리뷰는 계산 코드를 독립적으로 재실행시키는 절차를 가져야 한다</w:t>
      </w:r>
      <w:r>
        <w:rPr>
          <w:rFonts w:ascii="Times New Roman" w:hAnsi="Times New Roman" w:cs="Times New Roman" w:eastAsia="바탕"/>
          <w:b w:val="0"/>
          <w:i w:val="0"/>
          <w:sz w:val="24"/>
        </w:rPr>
        <w:t>는 것이 우리 경험이다.</w:t>
      </w:r>
    </w:p>
    <w:p>
      <w:pPr>
        <w:spacing w:line="240" w:lineRule="auto" w:after="80" w:before="200"/>
      </w:pPr>
      <w:r>
        <w:rPr>
          <w:rFonts w:ascii="Times New Roman" w:hAnsi="Times New Roman" w:cs="Times New Roman" w:eastAsia="바탕"/>
          <w:b/>
          <w:i w:val="0"/>
          <w:sz w:val="24"/>
        </w:rPr>
        <w:t>4.5 Research agenda</w:t>
      </w:r>
    </w:p>
    <w:p>
      <w:pPr>
        <w:spacing w:line="240" w:lineRule="auto" w:after="40" w:before="0"/>
        <w:ind w:left="360"/>
      </w:pPr>
      <w:r>
        <w:rPr>
          <w:rFonts w:ascii="Times New Roman" w:hAnsi="Times New Roman" w:cs="Times New Roman" w:eastAsia="바탕"/>
          <w:b w:val="0"/>
          <w:i w:val="0"/>
          <w:sz w:val="24"/>
        </w:rPr>
        <w:t xml:space="preserve">• </w:t>
      </w:r>
      <w:r>
        <w:rPr>
          <w:rFonts w:ascii="Times New Roman" w:hAnsi="Times New Roman" w:cs="Times New Roman" w:eastAsia="바탕"/>
          <w:b/>
          <w:i w:val="0"/>
          <w:sz w:val="24"/>
        </w:rPr>
        <w:t>잘 보고된 보행 실험 한 편이면 칸 하나가 통째로 바뀐다.</w:t>
      </w:r>
      <w:r>
        <w:rPr>
          <w:rFonts w:ascii="Times New Roman" w:hAnsi="Times New Roman" w:cs="Times New Roman" w:eastAsia="바탕"/>
          <w:b w:val="0"/>
          <w:i w:val="0"/>
          <w:sz w:val="24"/>
        </w:rPr>
        <w:t xml:space="preserve"> 헤드폰이 아니라 실제 공간의 소리를 조작하고, 무작위 배정하며, 절차·기저 동등성·눈가림을 보고하라. 현재의 합성 추정치는 각각 두 개의 MMAT 기준에서 탈락할 연구들 위에 서 있다.</w:t>
      </w:r>
    </w:p>
    <w:p>
      <w:pPr>
        <w:spacing w:line="240" w:lineRule="auto" w:after="40" w:before="0"/>
        <w:ind w:left="360"/>
      </w:pPr>
      <w:r>
        <w:rPr>
          <w:rFonts w:ascii="Times New Roman" w:hAnsi="Times New Roman" w:cs="Times New Roman" w:eastAsia="바탕"/>
          <w:b w:val="0"/>
          <w:i w:val="0"/>
          <w:sz w:val="24"/>
        </w:rPr>
        <w:t xml:space="preserve">• </w:t>
      </w:r>
      <w:r>
        <w:rPr>
          <w:rFonts w:ascii="Times New Roman" w:hAnsi="Times New Roman" w:cs="Times New Roman" w:eastAsia="바탕"/>
          <w:b/>
          <w:i w:val="0"/>
          <w:sz w:val="24"/>
        </w:rPr>
        <w:t>항공기 소음과 행태는 사실상 비어 있다</w:t>
      </w:r>
      <w:r>
        <w:rPr>
          <w:rFonts w:ascii="Times New Roman" w:hAnsi="Times New Roman" w:cs="Times New Roman" w:eastAsia="바탕"/>
          <w:b w:val="0"/>
          <w:i w:val="0"/>
          <w:sz w:val="24"/>
        </w:rPr>
        <w:t xml:space="preserve"> — 2편이다. 공항 주변 연구는 건강과 짜증도 프레임 안에 머물렀고 사람들이 옥외공간에서 무엇을 하는지 거의 묻지 않았다.</w:t>
      </w:r>
    </w:p>
    <w:p>
      <w:pPr>
        <w:spacing w:line="240" w:lineRule="auto" w:after="40" w:before="0"/>
        <w:ind w:left="360"/>
      </w:pPr>
      <w:r>
        <w:rPr>
          <w:rFonts w:ascii="Times New Roman" w:hAnsi="Times New Roman" w:cs="Times New Roman" w:eastAsia="바탕"/>
          <w:b w:val="0"/>
          <w:i w:val="0"/>
          <w:sz w:val="24"/>
        </w:rPr>
        <w:t xml:space="preserve">• </w:t>
      </w:r>
      <w:r>
        <w:rPr>
          <w:rFonts w:ascii="Times New Roman" w:hAnsi="Times New Roman" w:cs="Times New Roman" w:eastAsia="바탕"/>
          <w:b/>
          <w:i w:val="0"/>
          <w:sz w:val="24"/>
        </w:rPr>
        <w:t>설계 → 음향 산출 → 행태의 사슬을 닫아라.</w:t>
      </w:r>
      <w:r>
        <w:rPr>
          <w:rFonts w:ascii="Times New Roman" w:hAnsi="Times New Roman" w:cs="Times New Roman" w:eastAsia="바탕"/>
          <w:b w:val="0"/>
          <w:i w:val="0"/>
          <w:sz w:val="24"/>
        </w:rPr>
        <w:t xml:space="preserve"> 자연음 근거는 거의 전부 스피커 재생이다. 식재가 실제로 새소리를 만들고 그것이 행태를 바꾼다는 것을 검증한 연구가 없다.</w:t>
      </w:r>
    </w:p>
    <w:p>
      <w:pPr>
        <w:spacing w:line="240" w:lineRule="auto" w:after="40" w:before="0"/>
        <w:ind w:left="360"/>
      </w:pPr>
      <w:r>
        <w:rPr>
          <w:rFonts w:ascii="Times New Roman" w:hAnsi="Times New Roman" w:cs="Times New Roman" w:eastAsia="바탕"/>
          <w:b w:val="0"/>
          <w:i w:val="0"/>
          <w:sz w:val="24"/>
        </w:rPr>
        <w:t xml:space="preserve">• </w:t>
      </w:r>
      <w:r>
        <w:rPr>
          <w:rFonts w:ascii="Times New Roman" w:hAnsi="Times New Roman" w:cs="Times New Roman" w:eastAsia="바탕"/>
          <w:b/>
          <w:i w:val="0"/>
          <w:sz w:val="24"/>
        </w:rPr>
        <w:t>지속성을 측정하라.</w:t>
      </w:r>
      <w:r>
        <w:rPr>
          <w:rFonts w:ascii="Times New Roman" w:hAnsi="Times New Roman" w:cs="Times New Roman" w:eastAsia="바탕"/>
          <w:b w:val="0"/>
          <w:i w:val="0"/>
          <w:sz w:val="24"/>
        </w:rPr>
        <w:t xml:space="preserve"> 거의 모든 개입이 수 시간에서 수 일 동안 이뤄지고 가장 긴 것이 한 계절이다. 개입을 거둔 뒤 행태 변화가 유지되는지 습관화로 소멸하는지 아무도 모른다. 예산 결정이 걸린 곳이다.</w:t>
      </w:r>
    </w:p>
    <w:p>
      <w:pPr>
        <w:spacing w:line="240" w:lineRule="auto" w:after="40" w:before="0"/>
        <w:ind w:left="360"/>
      </w:pPr>
      <w:r>
        <w:rPr>
          <w:rFonts w:ascii="Times New Roman" w:hAnsi="Times New Roman" w:cs="Times New Roman" w:eastAsia="바탕"/>
          <w:b w:val="0"/>
          <w:i w:val="0"/>
          <w:sz w:val="24"/>
        </w:rPr>
        <w:t xml:space="preserve">• </w:t>
      </w:r>
      <w:r>
        <w:rPr>
          <w:rFonts w:ascii="Times New Roman" w:hAnsi="Times New Roman" w:cs="Times New Roman" w:eastAsia="바탕"/>
          <w:b/>
          <w:i w:val="0"/>
          <w:sz w:val="24"/>
        </w:rPr>
        <w:t>역방향 예측 규칙을 만들어라.</w:t>
      </w:r>
      <w:r>
        <w:rPr>
          <w:rFonts w:ascii="Times New Roman" w:hAnsi="Times New Roman" w:cs="Times New Roman" w:eastAsia="바탕"/>
          <w:b w:val="0"/>
          <w:i w:val="0"/>
          <w:sz w:val="24"/>
        </w:rPr>
        <w:t xml:space="preserve"> 공간이용·활동·사회적 행태에서 두 방향이 대등한데도, 어떤 활동을 담는 설계가 어떤 소리를 만들어낼지 예측하는 규칙을 주는 연구는 소수에 그친다.</w:t>
      </w:r>
    </w:p>
    <w:p>
      <w:pPr>
        <w:spacing w:line="240" w:lineRule="auto" w:after="40" w:before="0"/>
        <w:ind w:left="360"/>
      </w:pPr>
      <w:r>
        <w:rPr>
          <w:rFonts w:ascii="Times New Roman" w:hAnsi="Times New Roman" w:cs="Times New Roman" w:eastAsia="바탕"/>
          <w:b w:val="0"/>
          <w:i w:val="0"/>
          <w:sz w:val="24"/>
        </w:rPr>
        <w:t xml:space="preserve">• </w:t>
      </w:r>
      <w:r>
        <w:rPr>
          <w:rFonts w:ascii="Times New Roman" w:hAnsi="Times New Roman" w:cs="Times New Roman" w:eastAsia="바탕"/>
          <w:b/>
          <w:i w:val="0"/>
          <w:sz w:val="24"/>
        </w:rPr>
        <w:t>기본을 보고하라.</w:t>
      </w:r>
      <w:r>
        <w:rPr>
          <w:rFonts w:ascii="Times New Roman" w:hAnsi="Times New Roman" w:cs="Times New Roman" w:eastAsia="바탕"/>
          <w:b w:val="0"/>
          <w:i w:val="0"/>
          <w:sz w:val="24"/>
        </w:rPr>
        <w:t xml:space="preserve"> 적격이었던 상당수 연구가 집단별 </w:t>
      </w:r>
      <w:r>
        <w:rPr>
          <w:rFonts w:ascii="Times New Roman" w:hAnsi="Times New Roman" w:cs="Times New Roman" w:eastAsia="바탕"/>
          <w:b w:val="0"/>
          <w:i/>
          <w:sz w:val="24"/>
        </w:rPr>
        <w:t>n</w:t>
      </w:r>
      <w:r>
        <w:rPr>
          <w:rFonts w:ascii="Times New Roman" w:hAnsi="Times New Roman" w:cs="Times New Roman" w:eastAsia="바탕"/>
          <w:b w:val="0"/>
          <w:i w:val="0"/>
          <w:sz w:val="24"/>
        </w:rPr>
        <w:t>, 표준편차, 또는 분석 단위를 명시하지 않아 어느 풀에도 들어가지 못했다.</w:t>
      </w:r>
    </w:p>
    <w:p>
      <w:pPr>
        <w:spacing w:line="240" w:lineRule="auto" w:after="80" w:before="0"/>
      </w:pPr>
    </w:p>
    <w:p>
      <w:pPr>
        <w:spacing w:line="240" w:lineRule="auto" w:after="80" w:before="200"/>
      </w:pPr>
      <w:r>
        <w:rPr>
          <w:rFonts w:ascii="Times New Roman" w:hAnsi="Times New Roman" w:cs="Times New Roman" w:eastAsia="바탕"/>
          <w:b/>
          <w:i w:val="0"/>
          <w:sz w:val="24"/>
        </w:rPr>
        <w:t>4.6 Limitations</w:t>
      </w:r>
    </w:p>
    <w:p>
      <w:pPr>
        <w:spacing w:line="240" w:lineRule="auto" w:after="120" w:before="0"/>
      </w:pPr>
      <w:r>
        <w:rPr>
          <w:rFonts w:ascii="Times New Roman" w:hAnsi="Times New Roman" w:cs="Times New Roman" w:eastAsia="바탕"/>
          <w:b w:val="0"/>
          <w:i w:val="0"/>
          <w:sz w:val="24"/>
        </w:rPr>
        <w:t xml:space="preserve">코퍼스는 지리적으로 좁고(중국 39%) 젊어서(2020년 이후 71%) 합성 추정치를 문화적으로 일반적인 것으로 읽어서는 안 된다. 등록 시점에 확정한 영어·학술지 제한은 중국어 기여가 상당한 문헌을 배제한다. 세 경로를 통틀어 122편의 전문을 확보하지 못했다(데이터베이스 89, 인용추적 25, 보조색인 8). 초록이 행태 결과를 확인해 준 인용추적 레코드의 회수율은 92%였고, 확보하지 못한 레코드는 압도적으로 제목만으로 판단한 것들이었으며 그중 확보된 것 가운데 적격 판정을 받은 것은 없었다. 스크리닝과 추출은 두 명의 독립 리뷰어가 아니라 한 명이 AI 보조와 검증을 병행해 수행했다. 두 쌍의 논문이 표본을 공유하며 각 쌍에서 한 편만 어느 풀에든 들어갔다. 보고편향은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사전 지정한 문턱 10에 한 번도 도달하지 못해 어느 클러스터에서도 평가할 수 없었으므로, 소규모 연구 효과가 살아 있는 가능성으로 남고 합성 추정치는 상한이다. 등록한 하위그룹 분석도 같은 이유로 수행하지 못했다 — 세 개에서 여섯 개의 추정치로 이뤄진 클러스터는 나눌 수 없다. </w:t>
      </w:r>
      <w:r>
        <w:rPr>
          <w:rFonts w:ascii="Times New Roman" w:hAnsi="Times New Roman" w:cs="Times New Roman" w:eastAsia="바탕"/>
          <w:b/>
          <w:i w:val="0"/>
          <w:sz w:val="24"/>
        </w:rPr>
        <w:t>예측구간이 네 클러스터 모두 0을 포함하므로 어느 유의 결과도 새 연구에 대한 예보로 읽어서는 안 된다.</w:t>
      </w:r>
      <w:r>
        <w:rPr>
          <w:rFonts w:ascii="Times New Roman" w:hAnsi="Times New Roman" w:cs="Times New Roman" w:eastAsia="바탕"/>
          <w:b w:val="0"/>
          <w:i w:val="0"/>
          <w:sz w:val="24"/>
        </w:rPr>
        <w:t xml:space="preserve"> 마지막으로, 사회적 상호작용 클러스터의 유의성은 인용 검색으로 얻은 한 편에 의존하며 데이터베이스 검색만으로는 관측되지 않았을 것이다.</w:t>
      </w:r>
    </w:p>
    <w:p>
      <w:pPr>
        <w:spacing w:line="240" w:lineRule="auto" w:after="100" w:before="240"/>
      </w:pPr>
      <w:r>
        <w:rPr>
          <w:rFonts w:ascii="Times New Roman" w:hAnsi="Times New Roman" w:cs="Times New Roman" w:eastAsia="바탕"/>
          <w:b/>
          <w:i w:val="0"/>
          <w:sz w:val="24"/>
        </w:rPr>
        <w:t>5. Conclusions</w:t>
      </w:r>
    </w:p>
    <w:p>
      <w:pPr>
        <w:spacing w:line="240" w:lineRule="auto" w:after="120" w:before="0"/>
      </w:pPr>
      <w:r>
        <w:rPr>
          <w:rFonts w:ascii="Times New Roman" w:hAnsi="Times New Roman" w:cs="Times New Roman" w:eastAsia="바탕"/>
          <w:b w:val="0"/>
          <w:i w:val="0"/>
          <w:sz w:val="24"/>
        </w:rPr>
        <w:t>소리는 사람들이 도시 옥외공간에서 무엇을 하는지를 바꾼다. 그러나 그 주장을 뒷받침하는 증거는 행태에 따라 고르지 않게 분포하며, 가장 강한 부분과 가장 약한 부분은 이 문헌의 인용 패턴이 시사하는 곳에 있지 않다.</w:t>
      </w:r>
    </w:p>
    <w:p>
      <w:pPr>
        <w:spacing w:line="240" w:lineRule="auto" w:after="120" w:before="0"/>
      </w:pPr>
      <w:r>
        <w:rPr>
          <w:rFonts w:ascii="Times New Roman" w:hAnsi="Times New Roman" w:cs="Times New Roman" w:eastAsia="바탕"/>
          <w:b w:val="0"/>
          <w:i w:val="0"/>
          <w:sz w:val="24"/>
        </w:rPr>
        <w:t xml:space="preserve">98편에 걸쳐 네 개의 메타분석 클러스터가 모두 이론적으로 예측된 방향을 가리키지만, </w:t>
      </w:r>
      <w:r>
        <w:rPr>
          <w:rFonts w:ascii="Times New Roman" w:hAnsi="Times New Roman" w:cs="Times New Roman" w:eastAsia="바탕"/>
          <w:b/>
          <w:i w:val="0"/>
          <w:sz w:val="24"/>
        </w:rPr>
        <w:t>평균 효과가 0을 배제한 것은 둘뿐이고 예측구간이 0을 배제한 것은 하나도 없다.</w:t>
      </w:r>
      <w:r>
        <w:rPr>
          <w:rFonts w:ascii="Times New Roman" w:hAnsi="Times New Roman" w:cs="Times New Roman" w:eastAsia="바탕"/>
          <w:b w:val="0"/>
          <w:i w:val="0"/>
          <w:sz w:val="24"/>
        </w:rPr>
        <w:t xml:space="preserve"> 음환경의 가장 확립된 행태적 귀결은 </w:t>
      </w:r>
      <w:r>
        <w:rPr>
          <w:rFonts w:ascii="Times New Roman" w:hAnsi="Times New Roman" w:cs="Times New Roman" w:eastAsia="바탕"/>
          <w:b/>
          <w:i w:val="0"/>
          <w:sz w:val="24"/>
        </w:rPr>
        <w:t>사회적</w:t>
      </w:r>
      <w:r>
        <w:rPr>
          <w:rFonts w:ascii="Times New Roman" w:hAnsi="Times New Roman" w:cs="Times New Roman" w:eastAsia="바탕"/>
          <w:b w:val="0"/>
          <w:i w:val="0"/>
          <w:sz w:val="24"/>
        </w:rPr>
        <w:t>이다 — 기계 소음은 서로 다른 소음원을 쓴 두 개의 독립적 현장실험에서 낯선 사람 사이의 상호작용 감소와 연관됐다. 가장 자주 인용되는 주장 — 소음이 사람을 빨리 걷게 한다 — 은 전부 저품질로 평가된 세 효과에 기대며, 대체로 공간이 아니라 헤드폰으로 오디오를 조작했고, 상당 부분 하나의 연구 프로그램이 하나의 경로에서 얻은 것이다.</w:t>
      </w:r>
    </w:p>
    <w:p>
      <w:pPr>
        <w:spacing w:line="240" w:lineRule="auto" w:after="120" w:before="0"/>
      </w:pPr>
      <w:r>
        <w:rPr>
          <w:rFonts w:ascii="Times New Roman" w:hAnsi="Times New Roman" w:cs="Times New Roman" w:eastAsia="바탕"/>
          <w:b w:val="0"/>
          <w:i w:val="0"/>
          <w:sz w:val="24"/>
        </w:rPr>
        <w:t>증거의 거의 절반은 역방향으로 흐른다. 사운드스케이프가 활동을 형성하는 만큼 사람들의 활동이 사운드스케이프를 만든다. 소리를 노출로만 다루는 계획 프레임은 이것을 버린다.</w:t>
      </w:r>
    </w:p>
    <w:p>
      <w:pPr>
        <w:spacing w:line="240" w:lineRule="auto" w:after="120" w:before="0"/>
      </w:pPr>
      <w:r>
        <w:rPr>
          <w:rFonts w:ascii="Times New Roman" w:hAnsi="Times New Roman" w:cs="Times New Roman" w:eastAsia="바탕"/>
          <w:b w:val="0"/>
          <w:i w:val="0"/>
          <w:sz w:val="24"/>
        </w:rPr>
        <w:t>실무에 대해 방어 가능한 조치는 좁지만 실재한다. 사람들이 상호작용하도록 의도된 곳에서 운영 소음을 통제하라. 부가음은 유입이 아니라 체류를 늘리는 데 쓰라. 사회적 공간의 입지는 대화가 성립하는지로 판단하라. 그리고 행태로 검정된 적 없는 것을 지각 연구로부터 처방하지 말라.</w:t>
      </w:r>
    </w:p>
    <w:p>
      <w:pPr>
        <w:spacing w:line="240" w:lineRule="auto" w:after="120" w:before="0"/>
      </w:pPr>
      <w:r>
        <w:rPr>
          <w:rFonts w:ascii="Times New Roman" w:hAnsi="Times New Roman" w:cs="Times New Roman" w:eastAsia="바탕"/>
          <w:b w:val="0"/>
          <w:i w:val="0"/>
          <w:sz w:val="24"/>
        </w:rPr>
        <w:t>연구에 대해서는, 가장 가치 있는 다음 연구가 화려하지 않다 — 실제 장소의 소리를 조작하고, 제대로 무작위 배정하며, 방법을 완전하게 보고하는 현장실험 한 편이다. 그 한 편이 반세기의 인용이 움직이지 못한 증거의 칸 하나를 옮길 것이다.</w:t>
      </w:r>
    </w:p>
    <w:p>
      <w:pPr>
        <w:spacing w:line="240" w:lineRule="auto" w:after="100" w:before="240"/>
      </w:pPr>
      <w:r>
        <w:rPr>
          <w:rFonts w:ascii="Times New Roman" w:hAnsi="Times New Roman" w:cs="Times New Roman" w:eastAsia="바탕"/>
          <w:b/>
          <w:i w:val="0"/>
          <w:sz w:val="24"/>
        </w:rPr>
        <w:t>References</w:t>
      </w:r>
    </w:p>
    <w:p>
      <w:pPr>
        <w:spacing w:line="240" w:lineRule="auto" w:after="120" w:before="0"/>
        <w:ind w:left="432"/>
      </w:pPr>
      <w:r>
        <w:rPr>
          <w:rFonts w:ascii="Times New Roman" w:hAnsi="Times New Roman" w:cs="Times New Roman" w:eastAsia="바탕"/>
          <w:b w:val="0"/>
          <w:i w:val="0"/>
          <w:sz w:val="22"/>
        </w:rPr>
        <w:t xml:space="preserve">본문에서 저자·연도로 인용한 포함 연구를 여기 싣는다. 포함 98편 전건 목록은 Supplementary S5에, 전문 단계에서 배제된 문헌과 그 사유는 S6에 있다. 코퍼스 밖 배경 인용(ISO 12913, 선행 사운드스케이프 프레임워크, MMAT·Hedges' </w:t>
      </w:r>
      <w:r>
        <w:rPr>
          <w:rFonts w:ascii="Times New Roman" w:hAnsi="Times New Roman" w:cs="Times New Roman" w:eastAsia="바탕"/>
          <w:b w:val="0"/>
          <w:i/>
          <w:sz w:val="22"/>
        </w:rPr>
        <w:t>g</w:t>
      </w:r>
      <w:r>
        <w:rPr>
          <w:rFonts w:ascii="Times New Roman" w:hAnsi="Times New Roman" w:cs="Times New Roman" w:eastAsia="바탕"/>
          <w:b w:val="0"/>
          <w:i w:val="0"/>
          <w:sz w:val="22"/>
        </w:rPr>
        <w:t>·Chinn 변환·Hartung–Knapp·Higgins–Thompson–Spiegelhalter의 방법론 출처)은 투고 시 추가한다.</w:t>
      </w:r>
    </w:p>
    <w:p>
      <w:pPr>
        <w:spacing w:line="240" w:lineRule="auto" w:after="120" w:before="0"/>
      </w:pPr>
      <w:r>
        <w:rPr>
          <w:rFonts w:ascii="Times New Roman" w:hAnsi="Times New Roman" w:cs="Times New Roman" w:eastAsia="바탕"/>
          <w:b w:val="0"/>
          <w:i w:val="0"/>
          <w:sz w:val="24"/>
        </w:rPr>
        <w:t xml:space="preserve">Aletta, F., Lepore, F., Kostara-Konstantinou, E., Kang, J., &amp; Astolfi, A. (2016). An Experimental Study on the Influence of Soundscapes on People’s Behaviour in an Open Public Space. </w:t>
      </w:r>
      <w:r>
        <w:rPr>
          <w:rFonts w:ascii="Times New Roman" w:hAnsi="Times New Roman" w:cs="Times New Roman" w:eastAsia="바탕"/>
          <w:b w:val="0"/>
          <w:i/>
          <w:sz w:val="24"/>
        </w:rPr>
        <w:t>Applied Sciences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6</w:t>
      </w:r>
      <w:r>
        <w:rPr>
          <w:rFonts w:ascii="Times New Roman" w:hAnsi="Times New Roman" w:cs="Times New Roman" w:eastAsia="바탕"/>
          <w:b w:val="0"/>
          <w:i w:val="0"/>
          <w:sz w:val="24"/>
        </w:rPr>
        <w:t>(10), 276. https://doi.org/10.3390/app6100276</w:t>
      </w:r>
    </w:p>
    <w:p>
      <w:pPr>
        <w:spacing w:line="240" w:lineRule="auto" w:after="120" w:before="0"/>
      </w:pPr>
      <w:r>
        <w:rPr>
          <w:rFonts w:ascii="Times New Roman" w:hAnsi="Times New Roman" w:cs="Times New Roman" w:eastAsia="바탕"/>
          <w:b w:val="0"/>
          <w:i w:val="0"/>
          <w:sz w:val="24"/>
        </w:rPr>
        <w:t xml:space="preserve">Ba, M., Kang, J., &amp; Li, Z. (2020). The effects of sounds and food odour on crowd behaviours in urban public open spaces. </w:t>
      </w:r>
      <w:r>
        <w:rPr>
          <w:rFonts w:ascii="Times New Roman" w:hAnsi="Times New Roman" w:cs="Times New Roman" w:eastAsia="바탕"/>
          <w:b w:val="0"/>
          <w:i/>
          <w:sz w:val="24"/>
        </w:rPr>
        <w:t>Building and Environment</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182</w:t>
      </w:r>
      <w:r>
        <w:rPr>
          <w:rFonts w:ascii="Times New Roman" w:hAnsi="Times New Roman" w:cs="Times New Roman" w:eastAsia="바탕"/>
          <w:b w:val="0"/>
          <w:i w:val="0"/>
          <w:sz w:val="24"/>
        </w:rPr>
        <w:t>, 107104. https://doi.org/10.1016/j.buildenv.2020.107104</w:t>
      </w:r>
    </w:p>
    <w:p>
      <w:pPr>
        <w:spacing w:line="240" w:lineRule="auto" w:after="120" w:before="0"/>
      </w:pPr>
      <w:r>
        <w:rPr>
          <w:rFonts w:ascii="Times New Roman" w:hAnsi="Times New Roman" w:cs="Times New Roman" w:eastAsia="바탕"/>
          <w:b w:val="0"/>
          <w:i w:val="0"/>
          <w:sz w:val="24"/>
        </w:rPr>
        <w:t xml:space="preserve">Ba, M., Li, Z., &amp; Kang, J. (2024). Research on the combined effects of plant odor and traffic noise on crowd behaviors in urban environments. </w:t>
      </w:r>
      <w:r>
        <w:rPr>
          <w:rFonts w:ascii="Times New Roman" w:hAnsi="Times New Roman" w:cs="Times New Roman" w:eastAsia="바탕"/>
          <w:b w:val="0"/>
          <w:i/>
          <w:sz w:val="24"/>
        </w:rPr>
        <w:t>Landscape Architecture Frontiers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12</w:t>
      </w:r>
      <w:r>
        <w:rPr>
          <w:rFonts w:ascii="Times New Roman" w:hAnsi="Times New Roman" w:cs="Times New Roman" w:eastAsia="바탕"/>
          <w:b w:val="0"/>
          <w:i w:val="0"/>
          <w:sz w:val="24"/>
        </w:rPr>
        <w:t>(6), 46-63. https://doi.org/10.15302/j-laf-1-020106</w:t>
      </w:r>
    </w:p>
    <w:p>
      <w:pPr>
        <w:spacing w:line="240" w:lineRule="auto" w:after="120" w:before="0"/>
      </w:pPr>
      <w:r>
        <w:rPr>
          <w:rFonts w:ascii="Times New Roman" w:hAnsi="Times New Roman" w:cs="Times New Roman" w:eastAsia="바탕"/>
          <w:b w:val="0"/>
          <w:i w:val="0"/>
          <w:sz w:val="24"/>
        </w:rPr>
        <w:t xml:space="preserve">Bao, Y., Gao, M., Zhao, C., &amp; Zhou, X. (2023). White Spaces Unveiled: Investigating the Restorative Potential of Environmentally Perceived Characteristics in Urban Parks during Winter. </w:t>
      </w:r>
      <w:r>
        <w:rPr>
          <w:rFonts w:ascii="Times New Roman" w:hAnsi="Times New Roman" w:cs="Times New Roman" w:eastAsia="바탕"/>
          <w:b w:val="0"/>
          <w:i/>
          <w:sz w:val="24"/>
        </w:rPr>
        <w:t>Forests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14</w:t>
      </w:r>
      <w:r>
        <w:rPr>
          <w:rFonts w:ascii="Times New Roman" w:hAnsi="Times New Roman" w:cs="Times New Roman" w:eastAsia="바탕"/>
          <w:b w:val="0"/>
          <w:i w:val="0"/>
          <w:sz w:val="24"/>
        </w:rPr>
        <w:t>(12), 2329. https://doi.org/10.3390/f14122329</w:t>
      </w:r>
    </w:p>
    <w:p>
      <w:pPr>
        <w:spacing w:line="240" w:lineRule="auto" w:after="120" w:before="0"/>
      </w:pPr>
      <w:r>
        <w:rPr>
          <w:rFonts w:ascii="Times New Roman" w:hAnsi="Times New Roman" w:cs="Times New Roman" w:eastAsia="바탕"/>
          <w:b w:val="0"/>
          <w:i w:val="0"/>
          <w:sz w:val="24"/>
        </w:rPr>
        <w:t xml:space="preserve">Berkouk, D., Bouzir, T. A. K., Maffei, L., &amp; Masullo, M. (2020). Examining the Associations between Oases Soundscape Components and Walking Speed: Correlation or Causation?. </w:t>
      </w:r>
      <w:r>
        <w:rPr>
          <w:rFonts w:ascii="Times New Roman" w:hAnsi="Times New Roman" w:cs="Times New Roman" w:eastAsia="바탕"/>
          <w:b w:val="0"/>
          <w:i/>
          <w:sz w:val="24"/>
        </w:rPr>
        <w:t>Sustainability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12</w:t>
      </w:r>
      <w:r>
        <w:rPr>
          <w:rFonts w:ascii="Times New Roman" w:hAnsi="Times New Roman" w:cs="Times New Roman" w:eastAsia="바탕"/>
          <w:b w:val="0"/>
          <w:i w:val="0"/>
          <w:sz w:val="24"/>
        </w:rPr>
        <w:t>(11), 4619. https://doi.org/10.3390/su12114619</w:t>
      </w:r>
    </w:p>
    <w:p>
      <w:pPr>
        <w:spacing w:line="240" w:lineRule="auto" w:after="120" w:before="0"/>
      </w:pPr>
      <w:r>
        <w:rPr>
          <w:rFonts w:ascii="Times New Roman" w:hAnsi="Times New Roman" w:cs="Times New Roman" w:eastAsia="바탕"/>
          <w:b w:val="0"/>
          <w:i w:val="0"/>
          <w:sz w:val="24"/>
        </w:rPr>
        <w:t xml:space="preserve">Burrows, E., O’Mahony, M., &amp; Geraghty, D. (2018). How Urban Parks Offer Opportunities for Physical Activity in Dublin, Ireland. </w:t>
      </w:r>
      <w:r>
        <w:rPr>
          <w:rFonts w:ascii="Times New Roman" w:hAnsi="Times New Roman" w:cs="Times New Roman" w:eastAsia="바탕"/>
          <w:b w:val="0"/>
          <w:i/>
          <w:sz w:val="24"/>
        </w:rPr>
        <w:t>International Journal of Environmental Research and Public Health</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15</w:t>
      </w:r>
      <w:r>
        <w:rPr>
          <w:rFonts w:ascii="Times New Roman" w:hAnsi="Times New Roman" w:cs="Times New Roman" w:eastAsia="바탕"/>
          <w:b w:val="0"/>
          <w:i w:val="0"/>
          <w:sz w:val="24"/>
        </w:rPr>
        <w:t>(4), 815. https://doi.org/10.3390/ijerph15040815</w:t>
      </w:r>
    </w:p>
    <w:p>
      <w:pPr>
        <w:spacing w:line="240" w:lineRule="auto" w:after="120" w:before="0"/>
      </w:pPr>
      <w:r>
        <w:rPr>
          <w:rFonts w:ascii="Times New Roman" w:hAnsi="Times New Roman" w:cs="Times New Roman" w:eastAsia="바탕"/>
          <w:b w:val="0"/>
          <w:i w:val="0"/>
          <w:sz w:val="24"/>
        </w:rPr>
        <w:t xml:space="preserve">Cao, J., &amp; Kang, J. (2021). The influence of companion factors on soundscape evaluations in urban public spaces. </w:t>
      </w:r>
      <w:r>
        <w:rPr>
          <w:rFonts w:ascii="Times New Roman" w:hAnsi="Times New Roman" w:cs="Times New Roman" w:eastAsia="바탕"/>
          <w:b w:val="0"/>
          <w:i/>
          <w:sz w:val="24"/>
        </w:rPr>
        <w:t>Sustainable Cities and Society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69</w:t>
      </w:r>
      <w:r>
        <w:rPr>
          <w:rFonts w:ascii="Times New Roman" w:hAnsi="Times New Roman" w:cs="Times New Roman" w:eastAsia="바탕"/>
          <w:b w:val="0"/>
          <w:i w:val="0"/>
          <w:sz w:val="24"/>
        </w:rPr>
        <w:t>, 102860. https://doi.org/10.1016/j.scs.2021.102860</w:t>
      </w:r>
    </w:p>
    <w:p>
      <w:pPr>
        <w:spacing w:line="240" w:lineRule="auto" w:after="120" w:before="0"/>
      </w:pPr>
      <w:r>
        <w:rPr>
          <w:rFonts w:ascii="Times New Roman" w:hAnsi="Times New Roman" w:cs="Times New Roman" w:eastAsia="바탕"/>
          <w:b w:val="0"/>
          <w:i w:val="0"/>
          <w:sz w:val="24"/>
        </w:rPr>
        <w:t xml:space="preserve">Chen, X., &amp; Kang, J. (2023). Natural sounds can encourage social interactions in urban parks. </w:t>
      </w:r>
      <w:r>
        <w:rPr>
          <w:rFonts w:ascii="Times New Roman" w:hAnsi="Times New Roman" w:cs="Times New Roman" w:eastAsia="바탕"/>
          <w:b w:val="0"/>
          <w:i/>
          <w:sz w:val="24"/>
        </w:rPr>
        <w:t>Landscape and Urban Planning</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239</w:t>
      </w:r>
      <w:r>
        <w:rPr>
          <w:rFonts w:ascii="Times New Roman" w:hAnsi="Times New Roman" w:cs="Times New Roman" w:eastAsia="바탕"/>
          <w:b w:val="0"/>
          <w:i w:val="0"/>
          <w:sz w:val="24"/>
        </w:rPr>
        <w:t>, 104870. https://doi.org/10.1016/j.landurbplan.2023.104870</w:t>
      </w:r>
    </w:p>
    <w:p>
      <w:pPr>
        <w:spacing w:line="240" w:lineRule="auto" w:after="120" w:before="0"/>
      </w:pPr>
      <w:r>
        <w:rPr>
          <w:rFonts w:ascii="Times New Roman" w:hAnsi="Times New Roman" w:cs="Times New Roman" w:eastAsia="바탕"/>
          <w:b w:val="0"/>
          <w:i w:val="0"/>
          <w:sz w:val="24"/>
        </w:rPr>
        <w:t xml:space="preserve">Chen, X., Kang, J., &amp; Wang, M. (2024). The impact of the community's sound environment on social interactions among residents. </w:t>
      </w:r>
      <w:r>
        <w:rPr>
          <w:rFonts w:ascii="Times New Roman" w:hAnsi="Times New Roman" w:cs="Times New Roman" w:eastAsia="바탕"/>
          <w:b w:val="0"/>
          <w:i/>
          <w:sz w:val="24"/>
        </w:rPr>
        <w:t>Building and Environment</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266</w:t>
      </w:r>
      <w:r>
        <w:rPr>
          <w:rFonts w:ascii="Times New Roman" w:hAnsi="Times New Roman" w:cs="Times New Roman" w:eastAsia="바탕"/>
          <w:b w:val="0"/>
          <w:i w:val="0"/>
          <w:sz w:val="24"/>
        </w:rPr>
        <w:t>, 112094. https://doi.org/10.1016/j.buildenv.2024.112094</w:t>
      </w:r>
    </w:p>
    <w:p>
      <w:pPr>
        <w:spacing w:line="240" w:lineRule="auto" w:after="120" w:before="0"/>
      </w:pPr>
      <w:r>
        <w:rPr>
          <w:rFonts w:ascii="Times New Roman" w:hAnsi="Times New Roman" w:cs="Times New Roman" w:eastAsia="바탕"/>
          <w:b w:val="0"/>
          <w:i w:val="0"/>
          <w:sz w:val="24"/>
        </w:rPr>
        <w:t xml:space="preserve">Dzhambov, A. M., Burov, A., Markevych, I., Kostadinov, K. R., Dimitrova, D., Helbich, M., &amp; Nieuwenhuijsen, M. J. (2026). Environmental characteristics and physical activity: A cross-sectional study in Bulgaria's five largest cities. </w:t>
      </w:r>
      <w:r>
        <w:rPr>
          <w:rFonts w:ascii="Times New Roman" w:hAnsi="Times New Roman" w:cs="Times New Roman" w:eastAsia="바탕"/>
          <w:b w:val="0"/>
          <w:i/>
          <w:sz w:val="24"/>
        </w:rPr>
        <w:t>International Journal of Hygiene and Environmental Health</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275</w:t>
      </w:r>
      <w:r>
        <w:rPr>
          <w:rFonts w:ascii="Times New Roman" w:hAnsi="Times New Roman" w:cs="Times New Roman" w:eastAsia="바탕"/>
          <w:b w:val="0"/>
          <w:i w:val="0"/>
          <w:sz w:val="24"/>
        </w:rPr>
        <w:t>, 114816. https://doi.org/10.1016/j.ijheh.2026.114816</w:t>
      </w:r>
    </w:p>
    <w:p>
      <w:pPr>
        <w:spacing w:line="240" w:lineRule="auto" w:after="120" w:before="0"/>
      </w:pPr>
      <w:r>
        <w:rPr>
          <w:rFonts w:ascii="Times New Roman" w:hAnsi="Times New Roman" w:cs="Times New Roman" w:eastAsia="바탕"/>
          <w:b w:val="0"/>
          <w:i w:val="0"/>
          <w:sz w:val="24"/>
        </w:rPr>
        <w:t xml:space="preserve">Franěk, M., van Noorden, L., &amp; Režný, L. (2014). Tempo and walking speed with music in the urban context. </w:t>
      </w:r>
      <w:r>
        <w:rPr>
          <w:rFonts w:ascii="Times New Roman" w:hAnsi="Times New Roman" w:cs="Times New Roman" w:eastAsia="바탕"/>
          <w:b w:val="0"/>
          <w:i/>
          <w:sz w:val="24"/>
        </w:rPr>
        <w:t>Frontiers in Psychology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5</w:t>
      </w:r>
      <w:r>
        <w:rPr>
          <w:rFonts w:ascii="Times New Roman" w:hAnsi="Times New Roman" w:cs="Times New Roman" w:eastAsia="바탕"/>
          <w:b w:val="0"/>
          <w:i w:val="0"/>
          <w:sz w:val="24"/>
        </w:rPr>
        <w:t>. https://doi.org/10.3389/fpsyg.2014.01361</w:t>
      </w:r>
    </w:p>
    <w:p>
      <w:pPr>
        <w:spacing w:line="240" w:lineRule="auto" w:after="120" w:before="0"/>
      </w:pPr>
      <w:r>
        <w:rPr>
          <w:rFonts w:ascii="Times New Roman" w:hAnsi="Times New Roman" w:cs="Times New Roman" w:eastAsia="바탕"/>
          <w:b w:val="0"/>
          <w:i w:val="0"/>
          <w:sz w:val="24"/>
        </w:rPr>
        <w:t xml:space="preserve">Franěk, M., Režný, L., Šefara, D., &amp; Cabal, J. (2018). Effect of Traffic Noise and Relaxations Sounds on Pedestrian Walking Speed. </w:t>
      </w:r>
      <w:r>
        <w:rPr>
          <w:rFonts w:ascii="Times New Roman" w:hAnsi="Times New Roman" w:cs="Times New Roman" w:eastAsia="바탕"/>
          <w:b w:val="0"/>
          <w:i/>
          <w:sz w:val="24"/>
        </w:rPr>
        <w:t>International Journal of Environmental Research and Public Health</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15</w:t>
      </w:r>
      <w:r>
        <w:rPr>
          <w:rFonts w:ascii="Times New Roman" w:hAnsi="Times New Roman" w:cs="Times New Roman" w:eastAsia="바탕"/>
          <w:b w:val="0"/>
          <w:i w:val="0"/>
          <w:sz w:val="24"/>
        </w:rPr>
        <w:t>(4), 752. https://doi.org/10.3390/ijerph15040752</w:t>
      </w:r>
    </w:p>
    <w:p>
      <w:pPr>
        <w:spacing w:line="240" w:lineRule="auto" w:after="120" w:before="0"/>
      </w:pPr>
      <w:r>
        <w:rPr>
          <w:rFonts w:ascii="Times New Roman" w:hAnsi="Times New Roman" w:cs="Times New Roman" w:eastAsia="바탕"/>
          <w:b w:val="0"/>
          <w:i w:val="0"/>
          <w:sz w:val="24"/>
        </w:rPr>
        <w:t xml:space="preserve">Franěk, M., Režný, L., Šefara, D., &amp; Cabal, J. (2019). Effect of birdsongs and traffic noise on pedestrian walking speed during different seasons. </w:t>
      </w:r>
      <w:r>
        <w:rPr>
          <w:rFonts w:ascii="Times New Roman" w:hAnsi="Times New Roman" w:cs="Times New Roman" w:eastAsia="바탕"/>
          <w:b w:val="0"/>
          <w:i/>
          <w:sz w:val="24"/>
        </w:rPr>
        <w:t>PeerJ</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7</w:t>
      </w:r>
      <w:r>
        <w:rPr>
          <w:rFonts w:ascii="Times New Roman" w:hAnsi="Times New Roman" w:cs="Times New Roman" w:eastAsia="바탕"/>
          <w:b w:val="0"/>
          <w:i w:val="0"/>
          <w:sz w:val="24"/>
        </w:rPr>
        <w:t>, e7711. https://doi.org/10.7717/peerj.7711</w:t>
      </w:r>
    </w:p>
    <w:p>
      <w:pPr>
        <w:spacing w:line="240" w:lineRule="auto" w:after="120" w:before="0"/>
      </w:pPr>
      <w:r>
        <w:rPr>
          <w:rFonts w:ascii="Times New Roman" w:hAnsi="Times New Roman" w:cs="Times New Roman" w:eastAsia="바탕"/>
          <w:b w:val="0"/>
          <w:i w:val="0"/>
          <w:sz w:val="24"/>
        </w:rPr>
        <w:t xml:space="preserve">Franěk, M., &amp; Režný, L. (2021). Environmental Features Influence Walking Speed: The Effect of Urban Greenery. </w:t>
      </w:r>
      <w:r>
        <w:rPr>
          <w:rFonts w:ascii="Times New Roman" w:hAnsi="Times New Roman" w:cs="Times New Roman" w:eastAsia="바탕"/>
          <w:b w:val="0"/>
          <w:i/>
          <w:sz w:val="24"/>
        </w:rPr>
        <w:t>Land</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10</w:t>
      </w:r>
      <w:r>
        <w:rPr>
          <w:rFonts w:ascii="Times New Roman" w:hAnsi="Times New Roman" w:cs="Times New Roman" w:eastAsia="바탕"/>
          <w:b w:val="0"/>
          <w:i w:val="0"/>
          <w:sz w:val="24"/>
        </w:rPr>
        <w:t>(5), 459. https://doi.org/10.3390/land10050459</w:t>
      </w:r>
    </w:p>
    <w:p>
      <w:pPr>
        <w:spacing w:line="240" w:lineRule="auto" w:after="120" w:before="0"/>
      </w:pPr>
      <w:r>
        <w:rPr>
          <w:rFonts w:ascii="Times New Roman" w:hAnsi="Times New Roman" w:cs="Times New Roman" w:eastAsia="바탕"/>
          <w:b w:val="0"/>
          <w:i w:val="0"/>
          <w:sz w:val="24"/>
        </w:rPr>
        <w:t xml:space="preserve">Fu, Y., Zhang, N., Gao, Q., Dai, H., Chen, Q., &amp; Gao, W. (2026). Research on the Effect of Rural Composite Environments on the Spatiotemporal Behavior and Perception of the Elderly: A Case Study of Qingdao, China. </w:t>
      </w:r>
      <w:r>
        <w:rPr>
          <w:rFonts w:ascii="Times New Roman" w:hAnsi="Times New Roman" w:cs="Times New Roman" w:eastAsia="바탕"/>
          <w:b w:val="0"/>
          <w:i/>
          <w:sz w:val="24"/>
        </w:rPr>
        <w:t>Buildings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16</w:t>
      </w:r>
      <w:r>
        <w:rPr>
          <w:rFonts w:ascii="Times New Roman" w:hAnsi="Times New Roman" w:cs="Times New Roman" w:eastAsia="바탕"/>
          <w:b w:val="0"/>
          <w:i w:val="0"/>
          <w:sz w:val="24"/>
        </w:rPr>
        <w:t>(10), 1973. https://doi.org/10.3390/buildings16101973</w:t>
      </w:r>
    </w:p>
    <w:p>
      <w:pPr>
        <w:spacing w:line="240" w:lineRule="auto" w:after="120" w:before="0"/>
      </w:pPr>
      <w:r>
        <w:rPr>
          <w:rFonts w:ascii="Times New Roman" w:hAnsi="Times New Roman" w:cs="Times New Roman" w:eastAsia="바탕"/>
          <w:b w:val="0"/>
          <w:i w:val="0"/>
          <w:sz w:val="24"/>
        </w:rPr>
        <w:t xml:space="preserve">Guo, X., Jiang, S. Y., Liu, J., Chen, Z., &amp; Hong, X. C. (2024). Understanding the Role of Visitor Behavior in Soundscape Restorative Experiences in Urban Parks. </w:t>
      </w:r>
      <w:r>
        <w:rPr>
          <w:rFonts w:ascii="Times New Roman" w:hAnsi="Times New Roman" w:cs="Times New Roman" w:eastAsia="바탕"/>
          <w:b w:val="0"/>
          <w:i/>
          <w:sz w:val="24"/>
        </w:rPr>
        <w:t>Forests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15</w:t>
      </w:r>
      <w:r>
        <w:rPr>
          <w:rFonts w:ascii="Times New Roman" w:hAnsi="Times New Roman" w:cs="Times New Roman" w:eastAsia="바탕"/>
          <w:b w:val="0"/>
          <w:i w:val="0"/>
          <w:sz w:val="24"/>
        </w:rPr>
        <w:t>(10), 1751. https://doi.org/10.3390/f15101751</w:t>
      </w:r>
    </w:p>
    <w:p>
      <w:pPr>
        <w:spacing w:line="240" w:lineRule="auto" w:after="120" w:before="0"/>
      </w:pPr>
      <w:r>
        <w:rPr>
          <w:rFonts w:ascii="Times New Roman" w:hAnsi="Times New Roman" w:cs="Times New Roman" w:eastAsia="바탕"/>
          <w:b w:val="0"/>
          <w:i w:val="0"/>
          <w:sz w:val="24"/>
        </w:rPr>
        <w:t xml:space="preserve">Huang, D., Tian, M., &amp; Yuan, L. (2023). Sustainable design of running friendly streets: Environmental exposures predict runnability by Volunteered Geographic Information and multilevel model approaches. </w:t>
      </w:r>
      <w:r>
        <w:rPr>
          <w:rFonts w:ascii="Times New Roman" w:hAnsi="Times New Roman" w:cs="Times New Roman" w:eastAsia="바탕"/>
          <w:b w:val="0"/>
          <w:i/>
          <w:sz w:val="24"/>
        </w:rPr>
        <w:t>Sustainable Cities and Society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89</w:t>
      </w:r>
      <w:r>
        <w:rPr>
          <w:rFonts w:ascii="Times New Roman" w:hAnsi="Times New Roman" w:cs="Times New Roman" w:eastAsia="바탕"/>
          <w:b w:val="0"/>
          <w:i w:val="0"/>
          <w:sz w:val="24"/>
        </w:rPr>
        <w:t>, 104336. https://doi.org/10.1016/j.scs.2022.104336</w:t>
      </w:r>
    </w:p>
    <w:p>
      <w:pPr>
        <w:spacing w:line="240" w:lineRule="auto" w:after="120" w:before="0"/>
      </w:pPr>
      <w:r>
        <w:rPr>
          <w:rFonts w:ascii="Times New Roman" w:hAnsi="Times New Roman" w:cs="Times New Roman" w:eastAsia="바탕"/>
          <w:b w:val="0"/>
          <w:i w:val="0"/>
          <w:sz w:val="24"/>
        </w:rPr>
        <w:t xml:space="preserve">Lai, P., Ou, D., &amp; Zheng, H. (2024). Exploring Acoustic-Visual perception and satisfaction in urban Parks: Based on behavioral analysis. </w:t>
      </w:r>
      <w:r>
        <w:rPr>
          <w:rFonts w:ascii="Times New Roman" w:hAnsi="Times New Roman" w:cs="Times New Roman" w:eastAsia="바탕"/>
          <w:b w:val="0"/>
          <w:i/>
          <w:sz w:val="24"/>
        </w:rPr>
        <w:t>Ecological Indicators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162</w:t>
      </w:r>
      <w:r>
        <w:rPr>
          <w:rFonts w:ascii="Times New Roman" w:hAnsi="Times New Roman" w:cs="Times New Roman" w:eastAsia="바탕"/>
          <w:b w:val="0"/>
          <w:i w:val="0"/>
          <w:sz w:val="24"/>
        </w:rPr>
        <w:t>, 112022. https://doi.org/10.1016/j.ecolind.2024.112022</w:t>
      </w:r>
    </w:p>
    <w:p>
      <w:pPr>
        <w:spacing w:line="240" w:lineRule="auto" w:after="120" w:before="0"/>
      </w:pPr>
      <w:r>
        <w:rPr>
          <w:rFonts w:ascii="Times New Roman" w:hAnsi="Times New Roman" w:cs="Times New Roman" w:eastAsia="바탕"/>
          <w:b w:val="0"/>
          <w:i w:val="0"/>
          <w:sz w:val="24"/>
        </w:rPr>
        <w:t xml:space="preserve">Mansouri, Y., Matallah, M. E., Attar, A., Mahar, W. A., &amp; Attia, S. (2025). The Impact of Soundscape on Pedestrian Comfort, Perception and Walking Experience in Béjaïa, Algeria. </w:t>
      </w:r>
      <w:r>
        <w:rPr>
          <w:rFonts w:ascii="Times New Roman" w:hAnsi="Times New Roman" w:cs="Times New Roman" w:eastAsia="바탕"/>
          <w:b w:val="0"/>
          <w:i/>
          <w:sz w:val="24"/>
        </w:rPr>
        <w:t>Acoustics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7</w:t>
      </w:r>
      <w:r>
        <w:rPr>
          <w:rFonts w:ascii="Times New Roman" w:hAnsi="Times New Roman" w:cs="Times New Roman" w:eastAsia="바탕"/>
          <w:b w:val="0"/>
          <w:i w:val="0"/>
          <w:sz w:val="24"/>
        </w:rPr>
        <w:t>(4), 64. https://doi.org/10.3390/acoustics7040064</w:t>
      </w:r>
    </w:p>
    <w:p>
      <w:pPr>
        <w:spacing w:line="240" w:lineRule="auto" w:after="120" w:before="0"/>
      </w:pPr>
      <w:r>
        <w:rPr>
          <w:rFonts w:ascii="Times New Roman" w:hAnsi="Times New Roman" w:cs="Times New Roman" w:eastAsia="바탕"/>
          <w:b w:val="0"/>
          <w:i w:val="0"/>
          <w:sz w:val="24"/>
        </w:rPr>
        <w:t xml:space="preserve">Mathews, K. E., &amp; Canon, L. K. (1975). Environmental noise level as a determinant of helping behavior. </w:t>
      </w:r>
      <w:r>
        <w:rPr>
          <w:rFonts w:ascii="Times New Roman" w:hAnsi="Times New Roman" w:cs="Times New Roman" w:eastAsia="바탕"/>
          <w:b w:val="0"/>
          <w:i/>
          <w:sz w:val="24"/>
        </w:rPr>
        <w:t>Journal of Personality and Social Psychology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32</w:t>
      </w:r>
      <w:r>
        <w:rPr>
          <w:rFonts w:ascii="Times New Roman" w:hAnsi="Times New Roman" w:cs="Times New Roman" w:eastAsia="바탕"/>
          <w:b w:val="0"/>
          <w:i w:val="0"/>
          <w:sz w:val="24"/>
        </w:rPr>
        <w:t>(4), 571-577. https://doi.org/10.1037/0022-3514.32.4.571</w:t>
      </w:r>
    </w:p>
    <w:p>
      <w:pPr>
        <w:spacing w:line="240" w:lineRule="auto" w:after="120" w:before="0"/>
      </w:pPr>
      <w:r>
        <w:rPr>
          <w:rFonts w:ascii="Times New Roman" w:hAnsi="Times New Roman" w:cs="Times New Roman" w:eastAsia="바탕"/>
          <w:b w:val="0"/>
          <w:i w:val="0"/>
          <w:sz w:val="24"/>
        </w:rPr>
        <w:t xml:space="preserve">Montes González, D., Barrigón Morillas, J. M., &amp; Rey-Gozalo, G. (2023). Effects of noise on pedestrians in urban environments where road traffic is the main source of sound. </w:t>
      </w:r>
      <w:r>
        <w:rPr>
          <w:rFonts w:ascii="Times New Roman" w:hAnsi="Times New Roman" w:cs="Times New Roman" w:eastAsia="바탕"/>
          <w:b w:val="0"/>
          <w:i/>
          <w:sz w:val="24"/>
        </w:rPr>
        <w:t>Science of The Total Environment</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857</w:t>
      </w:r>
      <w:r>
        <w:rPr>
          <w:rFonts w:ascii="Times New Roman" w:hAnsi="Times New Roman" w:cs="Times New Roman" w:eastAsia="바탕"/>
          <w:b w:val="0"/>
          <w:i w:val="0"/>
          <w:sz w:val="24"/>
        </w:rPr>
        <w:t>, 159406. https://doi.org/10.1016/j.scitotenv.2022.159406</w:t>
      </w:r>
    </w:p>
    <w:p>
      <w:pPr>
        <w:spacing w:line="240" w:lineRule="auto" w:after="120" w:before="0"/>
      </w:pPr>
      <w:r>
        <w:rPr>
          <w:rFonts w:ascii="Times New Roman" w:hAnsi="Times New Roman" w:cs="Times New Roman" w:eastAsia="바탕"/>
          <w:b w:val="0"/>
          <w:i w:val="0"/>
          <w:sz w:val="24"/>
        </w:rPr>
        <w:t xml:space="preserve">Moser, G. (1988). Urban stress and helping behavior: Effects of environmental overload and noise on behavior. </w:t>
      </w:r>
      <w:r>
        <w:rPr>
          <w:rFonts w:ascii="Times New Roman" w:hAnsi="Times New Roman" w:cs="Times New Roman" w:eastAsia="바탕"/>
          <w:b w:val="0"/>
          <w:i/>
          <w:sz w:val="24"/>
        </w:rPr>
        <w:t>Journal of Environmental Psychology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8</w:t>
      </w:r>
      <w:r>
        <w:rPr>
          <w:rFonts w:ascii="Times New Roman" w:hAnsi="Times New Roman" w:cs="Times New Roman" w:eastAsia="바탕"/>
          <w:b w:val="0"/>
          <w:i w:val="0"/>
          <w:sz w:val="24"/>
        </w:rPr>
        <w:t>(4), 287-298. https://doi.org/10.1016/s0272-4944(88)80035-5</w:t>
      </w:r>
    </w:p>
    <w:p>
      <w:pPr>
        <w:spacing w:line="240" w:lineRule="auto" w:after="120" w:before="0"/>
      </w:pPr>
      <w:r>
        <w:rPr>
          <w:rFonts w:ascii="Times New Roman" w:hAnsi="Times New Roman" w:cs="Times New Roman" w:eastAsia="바탕"/>
          <w:b w:val="0"/>
          <w:i w:val="0"/>
          <w:sz w:val="24"/>
        </w:rPr>
        <w:t xml:space="preserve">Routhier, F., Lettre, J., Pigeon, C., Martel, V., Binet, R., Vézina, V., Collomb d'Eyrames, O., Waygood, E. O., Mostafavi, M. A., &amp; Morales, E. (2024). Three pedestrian phasing with audible pedestrian signals configurations: Experience of blind or visually impaired persons in Quebec City (Canada). </w:t>
      </w:r>
      <w:r>
        <w:rPr>
          <w:rFonts w:ascii="Times New Roman" w:hAnsi="Times New Roman" w:cs="Times New Roman" w:eastAsia="바탕"/>
          <w:b w:val="0"/>
          <w:i/>
          <w:sz w:val="24"/>
        </w:rPr>
        <w:t>Journal of Transport &amp;amp; Health</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39</w:t>
      </w:r>
      <w:r>
        <w:rPr>
          <w:rFonts w:ascii="Times New Roman" w:hAnsi="Times New Roman" w:cs="Times New Roman" w:eastAsia="바탕"/>
          <w:b w:val="0"/>
          <w:i w:val="0"/>
          <w:sz w:val="24"/>
        </w:rPr>
        <w:t>, 101938. https://doi.org/10.1016/j.jth.2024.101938</w:t>
      </w:r>
    </w:p>
    <w:p>
      <w:pPr>
        <w:spacing w:line="240" w:lineRule="auto" w:after="120" w:before="0"/>
      </w:pPr>
      <w:r>
        <w:rPr>
          <w:rFonts w:ascii="Times New Roman" w:hAnsi="Times New Roman" w:cs="Times New Roman" w:eastAsia="바탕"/>
          <w:b w:val="0"/>
          <w:i w:val="0"/>
          <w:sz w:val="24"/>
        </w:rPr>
        <w:t xml:space="preserve">Schrapel, M., Happe, J., &amp; Rohs, M. (2022). EnvironZen: Immersive Soundscapes via Augmented Footstep Sounds in Urban Areas. </w:t>
      </w:r>
      <w:r>
        <w:rPr>
          <w:rFonts w:ascii="Times New Roman" w:hAnsi="Times New Roman" w:cs="Times New Roman" w:eastAsia="바탕"/>
          <w:b w:val="0"/>
          <w:i/>
          <w:sz w:val="24"/>
        </w:rPr>
        <w:t>i-com</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21</w:t>
      </w:r>
      <w:r>
        <w:rPr>
          <w:rFonts w:ascii="Times New Roman" w:hAnsi="Times New Roman" w:cs="Times New Roman" w:eastAsia="바탕"/>
          <w:b w:val="0"/>
          <w:i w:val="0"/>
          <w:sz w:val="24"/>
        </w:rPr>
        <w:t>(2), 219-237. https://doi.org/10.1515/icom-2022-0020</w:t>
      </w:r>
    </w:p>
    <w:p>
      <w:pPr>
        <w:spacing w:line="240" w:lineRule="auto" w:after="120" w:before="0"/>
      </w:pPr>
      <w:r>
        <w:rPr>
          <w:rFonts w:ascii="Times New Roman" w:hAnsi="Times New Roman" w:cs="Times New Roman" w:eastAsia="바탕"/>
          <w:b w:val="0"/>
          <w:i w:val="0"/>
          <w:sz w:val="24"/>
        </w:rPr>
        <w:t xml:space="preserve">Steele, D., Bild, E., Tarlao, C., &amp; Guastavino, C. (2019). Soundtracking the Public Space: Outcomes of the Musikiosk Soundscape Intervention. </w:t>
      </w:r>
      <w:r>
        <w:rPr>
          <w:rFonts w:ascii="Times New Roman" w:hAnsi="Times New Roman" w:cs="Times New Roman" w:eastAsia="바탕"/>
          <w:b w:val="0"/>
          <w:i/>
          <w:sz w:val="24"/>
        </w:rPr>
        <w:t>International Journal of Environmental Research and Public Health</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16</w:t>
      </w:r>
      <w:r>
        <w:rPr>
          <w:rFonts w:ascii="Times New Roman" w:hAnsi="Times New Roman" w:cs="Times New Roman" w:eastAsia="바탕"/>
          <w:b w:val="0"/>
          <w:i w:val="0"/>
          <w:sz w:val="24"/>
        </w:rPr>
        <w:t>(10), 1865. https://doi.org/10.3390/ijerph16101865</w:t>
      </w:r>
    </w:p>
    <w:p>
      <w:pPr>
        <w:spacing w:line="240" w:lineRule="auto" w:after="120" w:before="0"/>
      </w:pPr>
      <w:r>
        <w:rPr>
          <w:rFonts w:ascii="Times New Roman" w:hAnsi="Times New Roman" w:cs="Times New Roman" w:eastAsia="바탕"/>
          <w:b w:val="0"/>
          <w:i w:val="0"/>
          <w:sz w:val="24"/>
        </w:rPr>
        <w:t xml:space="preserve">Sun, Y., Farah, H., &amp; Feng, Y. (2026). Perception and response of cyclists interacting with autonomous electric vehicles - a virtual reality study. </w:t>
      </w:r>
      <w:r>
        <w:rPr>
          <w:rFonts w:ascii="Times New Roman" w:hAnsi="Times New Roman" w:cs="Times New Roman" w:eastAsia="바탕"/>
          <w:b w:val="0"/>
          <w:i/>
          <w:sz w:val="24"/>
        </w:rPr>
        <w:t>Transportation Research Part F: Traffic Psychology and Behaviour</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121</w:t>
      </w:r>
      <w:r>
        <w:rPr>
          <w:rFonts w:ascii="Times New Roman" w:hAnsi="Times New Roman" w:cs="Times New Roman" w:eastAsia="바탕"/>
          <w:b w:val="0"/>
          <w:i w:val="0"/>
          <w:sz w:val="24"/>
        </w:rPr>
        <w:t>, 103707. https://doi.org/10.1016/j.trf.2026.103707</w:t>
      </w:r>
    </w:p>
    <w:p>
      <w:pPr>
        <w:spacing w:line="240" w:lineRule="auto" w:after="120" w:before="0"/>
      </w:pPr>
      <w:r>
        <w:rPr>
          <w:rFonts w:ascii="Times New Roman" w:hAnsi="Times New Roman" w:cs="Times New Roman" w:eastAsia="바탕"/>
          <w:b w:val="0"/>
          <w:i w:val="0"/>
          <w:sz w:val="24"/>
        </w:rPr>
        <w:t xml:space="preserve">Zhou, L., Yu, W., Zhang, Y., Zhou, W., &amp; Wu, T. (2026). Effect of soundscapes and crowd density on economic behavior in commercial streets. </w:t>
      </w:r>
      <w:r>
        <w:rPr>
          <w:rFonts w:ascii="Times New Roman" w:hAnsi="Times New Roman" w:cs="Times New Roman" w:eastAsia="바탕"/>
          <w:b w:val="0"/>
          <w:i/>
          <w:sz w:val="24"/>
        </w:rPr>
        <w:t>Applied Acoustics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242</w:t>
      </w:r>
      <w:r>
        <w:rPr>
          <w:rFonts w:ascii="Times New Roman" w:hAnsi="Times New Roman" w:cs="Times New Roman" w:eastAsia="바탕"/>
          <w:b w:val="0"/>
          <w:i w:val="0"/>
          <w:sz w:val="24"/>
        </w:rPr>
        <w:t>, 111101. https://doi.org/10.1016/j.apacoust.2025.111101</w:t>
      </w:r>
    </w:p>
    <w:p>
      <w:pPr>
        <w:spacing w:line="240" w:lineRule="auto" w:after="100" w:before="240"/>
      </w:pPr>
      <w:r>
        <w:rPr>
          <w:rFonts w:ascii="Times New Roman" w:hAnsi="Times New Roman" w:cs="Times New Roman" w:eastAsia="바탕"/>
          <w:b/>
          <w:i w:val="0"/>
          <w:sz w:val="24"/>
        </w:rPr>
        <w:t>Supplementary material</w:t>
      </w:r>
    </w:p>
    <w:tbl>
      <w:tblPr>
        <w:tblStyle w:val="TableGrid"/>
        <w:tblW w:type="auto" w:w="0"/>
        <w:jc w:val="center"/>
        <w:tblLook w:firstColumn="1" w:firstRow="1" w:lastColumn="0" w:lastRow="0" w:noHBand="0" w:noVBand="1" w:val="04A0"/>
      </w:tblPr>
      <w:tblGrid>
        <w:gridCol w:w="2923"/>
        <w:gridCol w:w="2923"/>
        <w:gridCol w:w="2923"/>
      </w:tblGrid>
      <w:tr>
        <w:tc>
          <w:tcPr>
            <w:tcW w:type="dxa" w:w="2923"/>
          </w:tcPr>
          <w:p>
            <w:pPr>
              <w:spacing w:line="240" w:lineRule="auto" w:after="0"/>
            </w:pPr>
            <w:r/>
            <w:r>
              <w:rPr>
                <w:rFonts w:ascii="Times New Roman" w:hAnsi="Times New Roman" w:cs="Times New Roman" w:eastAsia="바탕"/>
                <w:b/>
                <w:i w:val="0"/>
                <w:sz w:val="22"/>
              </w:rPr>
              <w:t>ID</w:t>
            </w:r>
          </w:p>
        </w:tc>
        <w:tc>
          <w:tcPr>
            <w:tcW w:type="dxa" w:w="2923"/>
          </w:tcPr>
          <w:p>
            <w:pPr>
              <w:spacing w:line="240" w:lineRule="auto" w:after="0"/>
            </w:pPr>
            <w:r/>
            <w:r>
              <w:rPr>
                <w:rFonts w:ascii="Times New Roman" w:hAnsi="Times New Roman" w:cs="Times New Roman" w:eastAsia="바탕"/>
                <w:b/>
                <w:i w:val="0"/>
                <w:sz w:val="22"/>
              </w:rPr>
              <w:t>Title</w:t>
            </w:r>
          </w:p>
        </w:tc>
        <w:tc>
          <w:tcPr>
            <w:tcW w:type="dxa" w:w="2923"/>
          </w:tcPr>
          <w:p>
            <w:pPr>
              <w:spacing w:line="240" w:lineRule="auto" w:after="0"/>
            </w:pPr>
            <w:r/>
            <w:r>
              <w:rPr>
                <w:rFonts w:ascii="Times New Roman" w:hAnsi="Times New Roman" w:cs="Times New Roman" w:eastAsia="바탕"/>
                <w:b/>
                <w:i w:val="0"/>
                <w:sz w:val="22"/>
              </w:rPr>
              <w:t>Source file</w:t>
            </w:r>
          </w:p>
        </w:tc>
      </w:tr>
      <w:tr>
        <w:tc>
          <w:tcPr>
            <w:tcW w:type="dxa" w:w="2923"/>
          </w:tcPr>
          <w:p>
            <w:pPr>
              <w:spacing w:line="240" w:lineRule="auto" w:after="0"/>
            </w:pPr>
            <w:r/>
            <w:r>
              <w:rPr>
                <w:rFonts w:ascii="Times New Roman" w:hAnsi="Times New Roman" w:cs="Times New Roman" w:eastAsia="바탕"/>
                <w:b/>
                <w:i w:val="0"/>
                <w:sz w:val="22"/>
              </w:rPr>
              <w:t>S1</w:t>
            </w:r>
          </w:p>
        </w:tc>
        <w:tc>
          <w:tcPr>
            <w:tcW w:type="dxa" w:w="2923"/>
          </w:tcPr>
          <w:p>
            <w:pPr>
              <w:spacing w:line="240" w:lineRule="auto" w:after="0"/>
            </w:pPr>
            <w:r/>
            <w:r>
              <w:rPr>
                <w:rFonts w:ascii="Times New Roman" w:hAnsi="Times New Roman" w:cs="Times New Roman" w:eastAsia="바탕"/>
                <w:b w:val="0"/>
                <w:i w:val="0"/>
                <w:sz w:val="22"/>
              </w:rPr>
              <w:t>Protocol deviation log (28 departures, with effect on results)</w:t>
            </w:r>
          </w:p>
        </w:tc>
        <w:tc>
          <w:tcPr>
            <w:tcW w:type="dxa" w:w="2923"/>
          </w:tcPr>
          <w:p>
            <w:pPr>
              <w:spacing w:line="240" w:lineRule="auto" w:after="0"/>
            </w:pPr>
            <w:r/>
            <w:r>
              <w:rPr>
                <w:rFonts w:ascii="Times New Roman" w:hAnsi="Times New Roman" w:cs="Times New Roman" w:eastAsia="바탕"/>
                <w:b w:val="0"/>
                <w:i w:val="0"/>
                <w:sz w:val="22"/>
              </w:rPr>
              <w:t>deviation_log.md</w:t>
            </w:r>
          </w:p>
        </w:tc>
      </w:tr>
      <w:tr>
        <w:tc>
          <w:tcPr>
            <w:tcW w:type="dxa" w:w="2923"/>
          </w:tcPr>
          <w:p>
            <w:pPr>
              <w:spacing w:line="240" w:lineRule="auto" w:after="0"/>
            </w:pPr>
            <w:r/>
            <w:r>
              <w:rPr>
                <w:rFonts w:ascii="Times New Roman" w:hAnsi="Times New Roman" w:cs="Times New Roman" w:eastAsia="바탕"/>
                <w:b/>
                <w:i w:val="0"/>
                <w:sz w:val="22"/>
              </w:rPr>
              <w:t>S2</w:t>
            </w:r>
          </w:p>
        </w:tc>
        <w:tc>
          <w:tcPr>
            <w:tcW w:type="dxa" w:w="2923"/>
          </w:tcPr>
          <w:p>
            <w:pPr>
              <w:spacing w:line="240" w:lineRule="auto" w:after="0"/>
            </w:pPr>
            <w:r/>
            <w:r>
              <w:rPr>
                <w:rFonts w:ascii="Times New Roman" w:hAnsi="Times New Roman" w:cs="Times New Roman" w:eastAsia="바탕"/>
                <w:b w:val="0"/>
                <w:i w:val="0"/>
                <w:sz w:val="22"/>
              </w:rPr>
              <w:t>Pre-specified analysis rules (fixed before any effect was computed)</w:t>
            </w:r>
          </w:p>
        </w:tc>
        <w:tc>
          <w:tcPr>
            <w:tcW w:type="dxa" w:w="2923"/>
          </w:tcPr>
          <w:p>
            <w:pPr>
              <w:spacing w:line="240" w:lineRule="auto" w:after="0"/>
            </w:pPr>
            <w:r/>
            <w:r>
              <w:rPr>
                <w:rFonts w:ascii="Times New Roman" w:hAnsi="Times New Roman" w:cs="Times New Roman" w:eastAsia="바탕"/>
                <w:b w:val="0"/>
                <w:i w:val="0"/>
                <w:sz w:val="22"/>
              </w:rPr>
              <w:t>analysis_rules.md</w:t>
            </w:r>
          </w:p>
        </w:tc>
      </w:tr>
      <w:tr>
        <w:tc>
          <w:tcPr>
            <w:tcW w:type="dxa" w:w="2923"/>
          </w:tcPr>
          <w:p>
            <w:pPr>
              <w:spacing w:line="240" w:lineRule="auto" w:after="0"/>
            </w:pPr>
            <w:r/>
            <w:r>
              <w:rPr>
                <w:rFonts w:ascii="Times New Roman" w:hAnsi="Times New Roman" w:cs="Times New Roman" w:eastAsia="바탕"/>
                <w:b/>
                <w:i w:val="0"/>
                <w:sz w:val="22"/>
              </w:rPr>
              <w:t>S3</w:t>
            </w:r>
          </w:p>
        </w:tc>
        <w:tc>
          <w:tcPr>
            <w:tcW w:type="dxa" w:w="2923"/>
          </w:tcPr>
          <w:p>
            <w:pPr>
              <w:spacing w:line="240" w:lineRule="auto" w:after="0"/>
            </w:pPr>
            <w:r/>
            <w:r>
              <w:rPr>
                <w:rFonts w:ascii="Times New Roman" w:hAnsi="Times New Roman" w:cs="Times New Roman" w:eastAsia="바탕"/>
                <w:b w:val="0"/>
                <w:i w:val="0"/>
                <w:sz w:val="22"/>
              </w:rPr>
              <w:t>Full search strings for the three databases and the supplementary index</w:t>
            </w:r>
          </w:p>
        </w:tc>
        <w:tc>
          <w:tcPr>
            <w:tcW w:type="dxa" w:w="2923"/>
          </w:tcPr>
          <w:p>
            <w:pPr>
              <w:spacing w:line="240" w:lineRule="auto" w:after="0"/>
            </w:pPr>
            <w:r/>
            <w:r>
              <w:rPr>
                <w:rFonts w:ascii="Times New Roman" w:hAnsi="Times New Roman" w:cs="Times New Roman" w:eastAsia="바탕"/>
                <w:b w:val="0"/>
                <w:i w:val="0"/>
                <w:sz w:val="22"/>
              </w:rPr>
              <w:t>search_strings.md</w:t>
            </w:r>
          </w:p>
        </w:tc>
      </w:tr>
      <w:tr>
        <w:tc>
          <w:tcPr>
            <w:tcW w:type="dxa" w:w="2923"/>
          </w:tcPr>
          <w:p>
            <w:pPr>
              <w:spacing w:line="240" w:lineRule="auto" w:after="0"/>
            </w:pPr>
            <w:r/>
            <w:r>
              <w:rPr>
                <w:rFonts w:ascii="Times New Roman" w:hAnsi="Times New Roman" w:cs="Times New Roman" w:eastAsia="바탕"/>
                <w:b/>
                <w:i w:val="0"/>
                <w:sz w:val="22"/>
              </w:rPr>
              <w:t>S4</w:t>
            </w:r>
          </w:p>
        </w:tc>
        <w:tc>
          <w:tcPr>
            <w:tcW w:type="dxa" w:w="2923"/>
          </w:tcPr>
          <w:p>
            <w:pPr>
              <w:spacing w:line="240" w:lineRule="auto" w:after="0"/>
            </w:pPr>
            <w:r/>
            <w:r>
              <w:rPr>
                <w:rFonts w:ascii="Times New Roman" w:hAnsi="Times New Roman" w:cs="Times New Roman" w:eastAsia="바탕"/>
                <w:b w:val="0"/>
                <w:i w:val="0"/>
                <w:sz w:val="22"/>
              </w:rPr>
              <w:t>PRISMA 2020 flow with all three identification routes; PRISMA checklist</w:t>
            </w:r>
          </w:p>
        </w:tc>
        <w:tc>
          <w:tcPr>
            <w:tcW w:type="dxa" w:w="2923"/>
          </w:tcPr>
          <w:p>
            <w:pPr>
              <w:spacing w:line="240" w:lineRule="auto" w:after="0"/>
            </w:pPr>
            <w:r/>
            <w:r>
              <w:rPr>
                <w:rFonts w:ascii="Times New Roman" w:hAnsi="Times New Roman" w:cs="Times New Roman" w:eastAsia="바탕"/>
                <w:b w:val="0"/>
                <w:i w:val="0"/>
                <w:sz w:val="22"/>
              </w:rPr>
              <w:t>prisma_flow.md</w:t>
            </w:r>
          </w:p>
        </w:tc>
      </w:tr>
      <w:tr>
        <w:tc>
          <w:tcPr>
            <w:tcW w:type="dxa" w:w="2923"/>
          </w:tcPr>
          <w:p>
            <w:pPr>
              <w:spacing w:line="240" w:lineRule="auto" w:after="0"/>
            </w:pPr>
            <w:r/>
            <w:r>
              <w:rPr>
                <w:rFonts w:ascii="Times New Roman" w:hAnsi="Times New Roman" w:cs="Times New Roman" w:eastAsia="바탕"/>
                <w:b/>
                <w:i w:val="0"/>
                <w:sz w:val="22"/>
              </w:rPr>
              <w:t>S5</w:t>
            </w:r>
          </w:p>
        </w:tc>
        <w:tc>
          <w:tcPr>
            <w:tcW w:type="dxa" w:w="2923"/>
          </w:tcPr>
          <w:p>
            <w:pPr>
              <w:spacing w:line="240" w:lineRule="auto" w:after="0"/>
            </w:pPr>
            <w:r/>
            <w:r>
              <w:rPr>
                <w:rFonts w:ascii="Times New Roman" w:hAnsi="Times New Roman" w:cs="Times New Roman" w:eastAsia="바탕"/>
                <w:b w:val="0"/>
                <w:i w:val="0"/>
                <w:sz w:val="22"/>
              </w:rPr>
              <w:t>All 98 included studies — identifiers, route, year, journal, title</w:t>
            </w:r>
          </w:p>
        </w:tc>
        <w:tc>
          <w:tcPr>
            <w:tcW w:type="dxa" w:w="2923"/>
          </w:tcPr>
          <w:p>
            <w:pPr>
              <w:spacing w:line="240" w:lineRule="auto" w:after="0"/>
            </w:pPr>
            <w:r/>
            <w:r>
              <w:rPr>
                <w:rFonts w:ascii="Times New Roman" w:hAnsi="Times New Roman" w:cs="Times New Roman" w:eastAsia="바탕"/>
                <w:b w:val="0"/>
                <w:i w:val="0"/>
                <w:sz w:val="22"/>
              </w:rPr>
              <w:t>references_all_included.md</w:t>
            </w:r>
          </w:p>
        </w:tc>
      </w:tr>
      <w:tr>
        <w:tc>
          <w:tcPr>
            <w:tcW w:type="dxa" w:w="2923"/>
          </w:tcPr>
          <w:p>
            <w:pPr>
              <w:spacing w:line="240" w:lineRule="auto" w:after="0"/>
            </w:pPr>
            <w:r/>
            <w:r>
              <w:rPr>
                <w:rFonts w:ascii="Times New Roman" w:hAnsi="Times New Roman" w:cs="Times New Roman" w:eastAsia="바탕"/>
                <w:b/>
                <w:i w:val="0"/>
                <w:sz w:val="22"/>
              </w:rPr>
              <w:t>S6</w:t>
            </w:r>
          </w:p>
        </w:tc>
        <w:tc>
          <w:tcPr>
            <w:tcW w:type="dxa" w:w="2923"/>
          </w:tcPr>
          <w:p>
            <w:pPr>
              <w:spacing w:line="240" w:lineRule="auto" w:after="0"/>
            </w:pPr>
            <w:r/>
            <w:r>
              <w:rPr>
                <w:rFonts w:ascii="Times New Roman" w:hAnsi="Times New Roman" w:cs="Times New Roman" w:eastAsia="바탕"/>
                <w:b w:val="0"/>
                <w:i w:val="0"/>
                <w:sz w:val="22"/>
              </w:rPr>
              <w:t>Reports excluded at full text, with reason codes</w:t>
            </w:r>
          </w:p>
        </w:tc>
        <w:tc>
          <w:tcPr>
            <w:tcW w:type="dxa" w:w="2923"/>
          </w:tcPr>
          <w:p>
            <w:pPr>
              <w:spacing w:line="240" w:lineRule="auto" w:after="0"/>
            </w:pPr>
            <w:r/>
            <w:r>
              <w:rPr>
                <w:rFonts w:ascii="Times New Roman" w:hAnsi="Times New Roman" w:cs="Times New Roman" w:eastAsia="바탕"/>
                <w:b w:val="0"/>
                <w:i w:val="0"/>
                <w:sz w:val="22"/>
              </w:rPr>
              <w:t>ft_verdicts_v2.csv</w:t>
            </w:r>
            <w:r>
              <w:rPr>
                <w:rFonts w:ascii="Times New Roman" w:hAnsi="Times New Roman" w:cs="Times New Roman" w:eastAsia="바탕"/>
                <w:b w:val="0"/>
                <w:i w:val="0"/>
                <w:sz w:val="22"/>
              </w:rPr>
              <w:t xml:space="preserve">, </w:t>
            </w:r>
            <w:r>
              <w:rPr>
                <w:rFonts w:ascii="Times New Roman" w:hAnsi="Times New Roman" w:cs="Times New Roman" w:eastAsia="바탕"/>
                <w:b w:val="0"/>
                <w:i w:val="0"/>
                <w:sz w:val="22"/>
              </w:rPr>
              <w:t>ct_screen_final.csv</w:t>
            </w:r>
          </w:p>
        </w:tc>
      </w:tr>
      <w:tr>
        <w:tc>
          <w:tcPr>
            <w:tcW w:type="dxa" w:w="2923"/>
          </w:tcPr>
          <w:p>
            <w:pPr>
              <w:spacing w:line="240" w:lineRule="auto" w:after="0"/>
            </w:pPr>
            <w:r/>
            <w:r>
              <w:rPr>
                <w:rFonts w:ascii="Times New Roman" w:hAnsi="Times New Roman" w:cs="Times New Roman" w:eastAsia="바탕"/>
                <w:b/>
                <w:i w:val="0"/>
                <w:sz w:val="22"/>
              </w:rPr>
              <w:t>S7</w:t>
            </w:r>
          </w:p>
        </w:tc>
        <w:tc>
          <w:tcPr>
            <w:tcW w:type="dxa" w:w="2923"/>
          </w:tcPr>
          <w:p>
            <w:pPr>
              <w:spacing w:line="240" w:lineRule="auto" w:after="0"/>
            </w:pPr>
            <w:r/>
            <w:r>
              <w:rPr>
                <w:rFonts w:ascii="Times New Roman" w:hAnsi="Times New Roman" w:cs="Times New Roman" w:eastAsia="바탕"/>
                <w:b w:val="0"/>
                <w:i w:val="0"/>
                <w:sz w:val="22"/>
              </w:rPr>
              <w:t>Meta-analytic input tables (per-effect values, variance, source location)</w:t>
            </w:r>
          </w:p>
        </w:tc>
        <w:tc>
          <w:tcPr>
            <w:tcW w:type="dxa" w:w="2923"/>
          </w:tcPr>
          <w:p>
            <w:pPr>
              <w:spacing w:line="240" w:lineRule="auto" w:after="0"/>
            </w:pPr>
            <w:r/>
            <w:r>
              <w:rPr>
                <w:rFonts w:ascii="Times New Roman" w:hAnsi="Times New Roman" w:cs="Times New Roman" w:eastAsia="바탕"/>
                <w:b w:val="0"/>
                <w:i w:val="0"/>
                <w:sz w:val="22"/>
              </w:rPr>
              <w:t>ma/ma_*_input.csv</w:t>
            </w:r>
          </w:p>
        </w:tc>
      </w:tr>
      <w:tr>
        <w:tc>
          <w:tcPr>
            <w:tcW w:type="dxa" w:w="2923"/>
          </w:tcPr>
          <w:p>
            <w:pPr>
              <w:spacing w:line="240" w:lineRule="auto" w:after="0"/>
            </w:pPr>
            <w:r/>
            <w:r>
              <w:rPr>
                <w:rFonts w:ascii="Times New Roman" w:hAnsi="Times New Roman" w:cs="Times New Roman" w:eastAsia="바탕"/>
                <w:b/>
                <w:i w:val="0"/>
                <w:sz w:val="22"/>
              </w:rPr>
              <w:t>S8</w:t>
            </w:r>
          </w:p>
        </w:tc>
        <w:tc>
          <w:tcPr>
            <w:tcW w:type="dxa" w:w="2923"/>
          </w:tcPr>
          <w:p>
            <w:pPr>
              <w:spacing w:line="240" w:lineRule="auto" w:after="0"/>
            </w:pPr>
            <w:r/>
            <w:r>
              <w:rPr>
                <w:rFonts w:ascii="Times New Roman" w:hAnsi="Times New Roman" w:cs="Times New Roman" w:eastAsia="바탕"/>
                <w:b w:val="0"/>
                <w:i w:val="0"/>
                <w:sz w:val="22"/>
              </w:rPr>
              <w:t>Sensitivity analyses (eight axes, full leave-one-out)</w:t>
            </w:r>
          </w:p>
        </w:tc>
        <w:tc>
          <w:tcPr>
            <w:tcW w:type="dxa" w:w="2923"/>
          </w:tcPr>
          <w:p>
            <w:pPr>
              <w:spacing w:line="240" w:lineRule="auto" w:after="0"/>
            </w:pPr>
            <w:r/>
            <w:r>
              <w:rPr>
                <w:rFonts w:ascii="Times New Roman" w:hAnsi="Times New Roman" w:cs="Times New Roman" w:eastAsia="바탕"/>
                <w:b w:val="0"/>
                <w:i w:val="0"/>
                <w:sz w:val="22"/>
              </w:rPr>
              <w:t>ma/ma_sensitivity_v2.md</w:t>
            </w:r>
          </w:p>
        </w:tc>
      </w:tr>
      <w:tr>
        <w:tc>
          <w:tcPr>
            <w:tcW w:type="dxa" w:w="2923"/>
          </w:tcPr>
          <w:p>
            <w:pPr>
              <w:spacing w:line="240" w:lineRule="auto" w:after="0"/>
            </w:pPr>
            <w:r/>
            <w:r>
              <w:rPr>
                <w:rFonts w:ascii="Times New Roman" w:hAnsi="Times New Roman" w:cs="Times New Roman" w:eastAsia="바탕"/>
                <w:b/>
                <w:i w:val="0"/>
                <w:sz w:val="22"/>
              </w:rPr>
              <w:t>S9</w:t>
            </w:r>
          </w:p>
        </w:tc>
        <w:tc>
          <w:tcPr>
            <w:tcW w:type="dxa" w:w="2923"/>
          </w:tcPr>
          <w:p>
            <w:pPr>
              <w:spacing w:line="240" w:lineRule="auto" w:after="0"/>
            </w:pPr>
            <w:r/>
            <w:r>
              <w:rPr>
                <w:rFonts w:ascii="Times New Roman" w:hAnsi="Times New Roman" w:cs="Times New Roman" w:eastAsia="바탕"/>
                <w:b w:val="0"/>
                <w:i w:val="0"/>
                <w:sz w:val="22"/>
              </w:rPr>
              <w:t>Prediction intervals, reporting-bias assessment, subgroup feasibility</w:t>
            </w:r>
          </w:p>
        </w:tc>
        <w:tc>
          <w:tcPr>
            <w:tcW w:type="dxa" w:w="2923"/>
          </w:tcPr>
          <w:p>
            <w:pPr>
              <w:spacing w:line="240" w:lineRule="auto" w:after="0"/>
            </w:pPr>
            <w:r/>
            <w:r>
              <w:rPr>
                <w:rFonts w:ascii="Times New Roman" w:hAnsi="Times New Roman" w:cs="Times New Roman" w:eastAsia="바탕"/>
                <w:b w:val="0"/>
                <w:i w:val="0"/>
                <w:sz w:val="22"/>
              </w:rPr>
              <w:t>ma/ma_supplementary.md</w:t>
            </w:r>
          </w:p>
        </w:tc>
      </w:tr>
      <w:tr>
        <w:tc>
          <w:tcPr>
            <w:tcW w:type="dxa" w:w="2923"/>
          </w:tcPr>
          <w:p>
            <w:pPr>
              <w:spacing w:line="240" w:lineRule="auto" w:after="0"/>
            </w:pPr>
            <w:r/>
            <w:r>
              <w:rPr>
                <w:rFonts w:ascii="Times New Roman" w:hAnsi="Times New Roman" w:cs="Times New Roman" w:eastAsia="바탕"/>
                <w:b/>
                <w:i w:val="0"/>
                <w:sz w:val="22"/>
              </w:rPr>
              <w:t>S10</w:t>
            </w:r>
          </w:p>
        </w:tc>
        <w:tc>
          <w:tcPr>
            <w:tcW w:type="dxa" w:w="2923"/>
          </w:tcPr>
          <w:p>
            <w:pPr>
              <w:spacing w:line="240" w:lineRule="auto" w:after="0"/>
            </w:pPr>
            <w:r/>
            <w:r>
              <w:rPr>
                <w:rFonts w:ascii="Times New Roman" w:hAnsi="Times New Roman" w:cs="Times New Roman" w:eastAsia="바탕"/>
                <w:b w:val="0"/>
                <w:i w:val="0"/>
                <w:sz w:val="22"/>
              </w:rPr>
              <w:t>MMAT 2018 item-level appraisals for all 102 analysed studies</w:t>
            </w:r>
          </w:p>
        </w:tc>
        <w:tc>
          <w:tcPr>
            <w:tcW w:type="dxa" w:w="2923"/>
          </w:tcPr>
          <w:p>
            <w:pPr>
              <w:spacing w:line="240" w:lineRule="auto" w:after="0"/>
            </w:pPr>
            <w:r/>
            <w:r>
              <w:rPr>
                <w:rFonts w:ascii="Times New Roman" w:hAnsi="Times New Roman" w:cs="Times New Roman" w:eastAsia="바탕"/>
                <w:b w:val="0"/>
                <w:i w:val="0"/>
                <w:sz w:val="22"/>
              </w:rPr>
              <w:t>quality_detail_v2.csv</w:t>
            </w:r>
          </w:p>
        </w:tc>
      </w:tr>
      <w:tr>
        <w:tc>
          <w:tcPr>
            <w:tcW w:type="dxa" w:w="2923"/>
          </w:tcPr>
          <w:p>
            <w:pPr>
              <w:spacing w:line="240" w:lineRule="auto" w:after="0"/>
            </w:pPr>
            <w:r/>
            <w:r>
              <w:rPr>
                <w:rFonts w:ascii="Times New Roman" w:hAnsi="Times New Roman" w:cs="Times New Roman" w:eastAsia="바탕"/>
                <w:b/>
                <w:i w:val="0"/>
                <w:sz w:val="22"/>
              </w:rPr>
              <w:t>S11</w:t>
            </w:r>
          </w:p>
        </w:tc>
        <w:tc>
          <w:tcPr>
            <w:tcW w:type="dxa" w:w="2923"/>
          </w:tcPr>
          <w:p>
            <w:pPr>
              <w:spacing w:line="240" w:lineRule="auto" w:after="0"/>
            </w:pPr>
            <w:r/>
            <w:r>
              <w:rPr>
                <w:rFonts w:ascii="Times New Roman" w:hAnsi="Times New Roman" w:cs="Times New Roman" w:eastAsia="바탕"/>
                <w:b w:val="0"/>
                <w:i w:val="0"/>
                <w:sz w:val="22"/>
              </w:rPr>
              <w:t>Study characteristics table (Table 1, extended)</w:t>
            </w:r>
          </w:p>
        </w:tc>
        <w:tc>
          <w:tcPr>
            <w:tcW w:type="dxa" w:w="2923"/>
          </w:tcPr>
          <w:p>
            <w:pPr>
              <w:spacing w:line="240" w:lineRule="auto" w:after="0"/>
            </w:pPr>
            <w:r/>
            <w:r>
              <w:rPr>
                <w:rFonts w:ascii="Times New Roman" w:hAnsi="Times New Roman" w:cs="Times New Roman" w:eastAsia="바탕"/>
                <w:b w:val="0"/>
                <w:i w:val="0"/>
                <w:sz w:val="22"/>
              </w:rPr>
              <w:t>table1_v2.csv</w:t>
            </w:r>
          </w:p>
        </w:tc>
      </w:tr>
      <w:tr>
        <w:tc>
          <w:tcPr>
            <w:tcW w:type="dxa" w:w="2923"/>
          </w:tcPr>
          <w:p>
            <w:pPr>
              <w:spacing w:line="240" w:lineRule="auto" w:after="0"/>
            </w:pPr>
            <w:r/>
            <w:r>
              <w:rPr>
                <w:rFonts w:ascii="Times New Roman" w:hAnsi="Times New Roman" w:cs="Times New Roman" w:eastAsia="바탕"/>
                <w:b/>
                <w:i w:val="0"/>
                <w:sz w:val="22"/>
              </w:rPr>
              <w:t>S12</w:t>
            </w:r>
          </w:p>
        </w:tc>
        <w:tc>
          <w:tcPr>
            <w:tcW w:type="dxa" w:w="2923"/>
          </w:tcPr>
          <w:p>
            <w:pPr>
              <w:spacing w:line="240" w:lineRule="auto" w:after="0"/>
            </w:pPr>
            <w:r/>
            <w:r>
              <w:rPr>
                <w:rFonts w:ascii="Times New Roman" w:hAnsi="Times New Roman" w:cs="Times New Roman" w:eastAsia="바탕"/>
                <w:b w:val="0"/>
                <w:i w:val="0"/>
                <w:sz w:val="22"/>
              </w:rPr>
              <w:t>Truncation audit — effect of extraction limits on quality appraisal</w:t>
            </w:r>
          </w:p>
        </w:tc>
        <w:tc>
          <w:tcPr>
            <w:tcW w:type="dxa" w:w="2923"/>
          </w:tcPr>
          <w:p>
            <w:pPr>
              <w:spacing w:line="240" w:lineRule="auto" w:after="0"/>
            </w:pPr>
            <w:r/>
            <w:r>
              <w:rPr>
                <w:rFonts w:ascii="Times New Roman" w:hAnsi="Times New Roman" w:cs="Times New Roman" w:eastAsia="바탕"/>
                <w:b w:val="0"/>
                <w:i w:val="0"/>
                <w:sz w:val="22"/>
              </w:rPr>
              <w:t>quality_truncation_effect.md</w:t>
            </w:r>
          </w:p>
        </w:tc>
      </w:tr>
      <w:tr>
        <w:tc>
          <w:tcPr>
            <w:tcW w:type="dxa" w:w="2923"/>
          </w:tcPr>
          <w:p>
            <w:pPr>
              <w:spacing w:line="240" w:lineRule="auto" w:after="0"/>
            </w:pPr>
            <w:r/>
            <w:r>
              <w:rPr>
                <w:rFonts w:ascii="Times New Roman" w:hAnsi="Times New Roman" w:cs="Times New Roman" w:eastAsia="바탕"/>
                <w:b/>
                <w:i w:val="0"/>
                <w:sz w:val="22"/>
              </w:rPr>
              <w:t>S13</w:t>
            </w:r>
          </w:p>
        </w:tc>
        <w:tc>
          <w:tcPr>
            <w:tcW w:type="dxa" w:w="2923"/>
          </w:tcPr>
          <w:p>
            <w:pPr>
              <w:spacing w:line="240" w:lineRule="auto" w:after="0"/>
            </w:pPr>
            <w:r/>
            <w:r>
              <w:rPr>
                <w:rFonts w:ascii="Times New Roman" w:hAnsi="Times New Roman" w:cs="Times New Roman" w:eastAsia="바탕"/>
                <w:b w:val="0"/>
                <w:i w:val="0"/>
                <w:sz w:val="22"/>
              </w:rPr>
              <w:t>Evidence map counts (domain × source, direction × domain, generation × period)</w:t>
            </w:r>
          </w:p>
        </w:tc>
        <w:tc>
          <w:tcPr>
            <w:tcW w:type="dxa" w:w="2923"/>
          </w:tcPr>
          <w:p>
            <w:pPr>
              <w:spacing w:line="240" w:lineRule="auto" w:after="0"/>
            </w:pPr>
            <w:r/>
            <w:r>
              <w:rPr>
                <w:rFonts w:ascii="Times New Roman" w:hAnsi="Times New Roman" w:cs="Times New Roman" w:eastAsia="바탕"/>
                <w:b w:val="0"/>
                <w:i w:val="0"/>
                <w:sz w:val="22"/>
              </w:rPr>
              <w:t>evidence_map_v2.md</w:t>
            </w:r>
          </w:p>
        </w:tc>
      </w:tr>
      <w:tr>
        <w:tc>
          <w:tcPr>
            <w:tcW w:type="dxa" w:w="2923"/>
          </w:tcPr>
          <w:p>
            <w:pPr>
              <w:spacing w:line="240" w:lineRule="auto" w:after="0"/>
            </w:pPr>
            <w:r/>
            <w:r>
              <w:rPr>
                <w:rFonts w:ascii="Times New Roman" w:hAnsi="Times New Roman" w:cs="Times New Roman" w:eastAsia="바탕"/>
                <w:b/>
                <w:i w:val="0"/>
                <w:sz w:val="22"/>
              </w:rPr>
              <w:t>S14</w:t>
            </w:r>
          </w:p>
        </w:tc>
        <w:tc>
          <w:tcPr>
            <w:tcW w:type="dxa" w:w="2923"/>
          </w:tcPr>
          <w:p>
            <w:pPr>
              <w:spacing w:line="240" w:lineRule="auto" w:after="0"/>
            </w:pPr>
            <w:r/>
            <w:r>
              <w:rPr>
                <w:rFonts w:ascii="Times New Roman" w:hAnsi="Times New Roman" w:cs="Times New Roman" w:eastAsia="바탕"/>
                <w:b w:val="0"/>
                <w:i w:val="0"/>
                <w:sz w:val="22"/>
              </w:rPr>
              <w:t>Planning-lever matrix with confidence grading (Table 3, extended)</w:t>
            </w:r>
          </w:p>
        </w:tc>
        <w:tc>
          <w:tcPr>
            <w:tcW w:type="dxa" w:w="2923"/>
          </w:tcPr>
          <w:p>
            <w:pPr>
              <w:spacing w:line="240" w:lineRule="auto" w:after="0"/>
            </w:pPr>
            <w:r/>
            <w:r>
              <w:rPr>
                <w:rFonts w:ascii="Times New Roman" w:hAnsi="Times New Roman" w:cs="Times New Roman" w:eastAsia="바탕"/>
                <w:b w:val="0"/>
                <w:i w:val="0"/>
                <w:sz w:val="22"/>
              </w:rPr>
              <w:t>design_implications_v2.md</w:t>
            </w:r>
          </w:p>
        </w:tc>
      </w:tr>
    </w:tbl>
    <w:p>
      <w:pPr>
        <w:spacing w:line="240" w:lineRule="auto" w:after="0" w:before="0"/>
      </w:pPr>
    </w:p>
    <w:p>
      <w:r>
        <w:br w:type="page"/>
      </w:r>
    </w:p>
    <w:p>
      <w:pPr>
        <w:spacing w:line="240" w:lineRule="auto" w:after="160" w:before="0"/>
      </w:pPr>
      <w:r>
        <w:rPr>
          <w:rFonts w:ascii="Times New Roman" w:hAnsi="Times New Roman" w:cs="Times New Roman" w:eastAsia="바탕"/>
          <w:b/>
          <w:i w:val="0"/>
          <w:sz w:val="24"/>
        </w:rPr>
        <w:t>Figures</w:t>
      </w:r>
    </w:p>
    <w:p>
      <w:pPr>
        <w:spacing w:before="240" w:after="60"/>
        <w:jc w:val="center"/>
      </w:pPr>
      <w:r>
        <w:drawing>
          <wp:inline xmlns:a="http://schemas.openxmlformats.org/drawingml/2006/main" xmlns:pic="http://schemas.openxmlformats.org/drawingml/2006/picture">
            <wp:extent cx="5120640" cy="5166182"/>
            <wp:docPr id="1" name="Picture 1"/>
            <wp:cNvGraphicFramePr>
              <a:graphicFrameLocks noChangeAspect="1"/>
            </wp:cNvGraphicFramePr>
            <a:graphic>
              <a:graphicData uri="http://schemas.openxmlformats.org/drawingml/2006/picture">
                <pic:pic>
                  <pic:nvPicPr>
                    <pic:cNvPr id="0" name="Fig1_PRISMA.png"/>
                    <pic:cNvPicPr/>
                  </pic:nvPicPr>
                  <pic:blipFill>
                    <a:blip r:embed="rId9"/>
                    <a:stretch>
                      <a:fillRect/>
                    </a:stretch>
                  </pic:blipFill>
                  <pic:spPr>
                    <a:xfrm>
                      <a:off x="0" y="0"/>
                      <a:ext cx="5120640" cy="5166182"/>
                    </a:xfrm>
                    <a:prstGeom prst="rect"/>
                  </pic:spPr>
                </pic:pic>
              </a:graphicData>
            </a:graphic>
          </wp:inline>
        </w:drawing>
      </w:r>
    </w:p>
    <w:p>
      <w:pPr>
        <w:spacing w:line="240" w:lineRule="auto" w:after="200" w:before="0"/>
      </w:pPr>
      <w:r>
        <w:rPr>
          <w:rFonts w:ascii="Times New Roman" w:hAnsi="Times New Roman" w:cs="Times New Roman" w:eastAsia="바탕"/>
          <w:b/>
          <w:i w:val="0"/>
          <w:sz w:val="22"/>
        </w:rPr>
        <w:t xml:space="preserve">Fig. 1. </w:t>
      </w:r>
      <w:r>
        <w:rPr>
          <w:rFonts w:ascii="Times New Roman" w:hAnsi="Times New Roman" w:cs="Times New Roman" w:eastAsia="바탕"/>
          <w:b w:val="0"/>
          <w:i w:val="0"/>
          <w:sz w:val="22"/>
        </w:rPr>
        <w:t>PRISMA 2020 flow diagram covering all three registered identification routes: database searching, citation tracking of every included study, and a supplementary index. The dominant exclusion reason in the database branch is animal or wildlife research (479 records), reflecting the terminological overlap between soundscape ecology and human soundscape research. In the supplementary branch, 147 of 314 exclusions were non-empirical items such as book reviews and editorials, which is why absence from the three databases is weak evidence that a study was missed.</w:t>
      </w:r>
    </w:p>
    <w:p>
      <w:pPr>
        <w:spacing w:before="240" w:after="60"/>
        <w:jc w:val="center"/>
      </w:pPr>
      <w:r>
        <w:drawing>
          <wp:inline xmlns:a="http://schemas.openxmlformats.org/drawingml/2006/main" xmlns:pic="http://schemas.openxmlformats.org/drawingml/2006/picture">
            <wp:extent cx="5120640" cy="5391573"/>
            <wp:docPr id="2" name="Picture 2"/>
            <wp:cNvGraphicFramePr>
              <a:graphicFrameLocks noChangeAspect="1"/>
            </wp:cNvGraphicFramePr>
            <a:graphic>
              <a:graphicData uri="http://schemas.openxmlformats.org/drawingml/2006/picture">
                <pic:pic>
                  <pic:nvPicPr>
                    <pic:cNvPr id="0" name="Fig2_Forest.png"/>
                    <pic:cNvPicPr/>
                  </pic:nvPicPr>
                  <pic:blipFill>
                    <a:blip r:embed="rId10"/>
                    <a:stretch>
                      <a:fillRect/>
                    </a:stretch>
                  </pic:blipFill>
                  <pic:spPr>
                    <a:xfrm>
                      <a:off x="0" y="0"/>
                      <a:ext cx="5120640" cy="5391573"/>
                    </a:xfrm>
                    <a:prstGeom prst="rect"/>
                  </pic:spPr>
                </pic:pic>
              </a:graphicData>
            </a:graphic>
          </wp:inline>
        </w:drawing>
      </w:r>
    </w:p>
    <w:p>
      <w:pPr>
        <w:spacing w:line="240" w:lineRule="auto" w:after="200" w:before="0"/>
      </w:pPr>
      <w:r>
        <w:rPr>
          <w:rFonts w:ascii="Times New Roman" w:hAnsi="Times New Roman" w:cs="Times New Roman" w:eastAsia="바탕"/>
          <w:b/>
          <w:i w:val="0"/>
          <w:sz w:val="22"/>
        </w:rPr>
        <w:t xml:space="preserve">Fig. 2. </w:t>
      </w:r>
      <w:r>
        <w:rPr>
          <w:rFonts w:ascii="Times New Roman" w:hAnsi="Times New Roman" w:cs="Times New Roman" w:eastAsia="바탕"/>
          <w:b w:val="0"/>
          <w:i w:val="0"/>
          <w:sz w:val="22"/>
        </w:rPr>
        <w:t>Pooled estimates for four behavioural clusters, from random-effects REML with the Hartung–Knapp adjustment. Squares are individual effects, sized by inverse variance; diamonds are pooled estimates; triangles mark studies retrieved by citation searching. Only social interaction (p = 0.020) and the perception–behaviour correlation (p = 0.006) exclude zero, and both do so for the mean effect only — the 95% prediction interval includes zero in all four clusters.</w:t>
      </w:r>
    </w:p>
    <w:p>
      <w:pPr>
        <w:spacing w:before="240" w:after="60"/>
        <w:jc w:val="center"/>
      </w:pPr>
      <w:r>
        <w:drawing>
          <wp:inline xmlns:a="http://schemas.openxmlformats.org/drawingml/2006/main" xmlns:pic="http://schemas.openxmlformats.org/drawingml/2006/picture">
            <wp:extent cx="5120640" cy="2371179"/>
            <wp:docPr id="3" name="Picture 3"/>
            <wp:cNvGraphicFramePr>
              <a:graphicFrameLocks noChangeAspect="1"/>
            </wp:cNvGraphicFramePr>
            <a:graphic>
              <a:graphicData uri="http://schemas.openxmlformats.org/drawingml/2006/picture">
                <pic:pic>
                  <pic:nvPicPr>
                    <pic:cNvPr id="0" name="Fig3_EvidenceMap.png"/>
                    <pic:cNvPicPr/>
                  </pic:nvPicPr>
                  <pic:blipFill>
                    <a:blip r:embed="rId11"/>
                    <a:stretch>
                      <a:fillRect/>
                    </a:stretch>
                  </pic:blipFill>
                  <pic:spPr>
                    <a:xfrm>
                      <a:off x="0" y="0"/>
                      <a:ext cx="5120640" cy="2371179"/>
                    </a:xfrm>
                    <a:prstGeom prst="rect"/>
                  </pic:spPr>
                </pic:pic>
              </a:graphicData>
            </a:graphic>
          </wp:inline>
        </w:drawing>
      </w:r>
    </w:p>
    <w:p>
      <w:pPr>
        <w:spacing w:line="240" w:lineRule="auto" w:after="200" w:before="0"/>
      </w:pPr>
      <w:r>
        <w:rPr>
          <w:rFonts w:ascii="Times New Roman" w:hAnsi="Times New Roman" w:cs="Times New Roman" w:eastAsia="바탕"/>
          <w:b/>
          <w:i w:val="0"/>
          <w:sz w:val="22"/>
        </w:rPr>
        <w:t xml:space="preserve">Fig. 3. </w:t>
      </w:r>
      <w:r>
        <w:rPr>
          <w:rFonts w:ascii="Times New Roman" w:hAnsi="Times New Roman" w:cs="Times New Roman" w:eastAsia="바탕"/>
          <w:b w:val="0"/>
          <w:i w:val="0"/>
          <w:sz w:val="22"/>
        </w:rPr>
        <w:t>Evidence map of behavioural domain by sound source. Cells count studies, and a study contributes to every cell it covers. Every combination is populated except aircraft noise, which appears in 4 domain-level records from 2 studies — the clearest gap given the size of the aircraft-noise health literature.</w:t>
      </w:r>
    </w:p>
    <w:p>
      <w:pPr>
        <w:spacing w:before="240" w:after="60"/>
        <w:jc w:val="center"/>
      </w:pPr>
      <w:r>
        <w:drawing>
          <wp:inline xmlns:a="http://schemas.openxmlformats.org/drawingml/2006/main" xmlns:pic="http://schemas.openxmlformats.org/drawingml/2006/picture">
            <wp:extent cx="5120640" cy="1951927"/>
            <wp:docPr id="4" name="Picture 4"/>
            <wp:cNvGraphicFramePr>
              <a:graphicFrameLocks noChangeAspect="1"/>
            </wp:cNvGraphicFramePr>
            <a:graphic>
              <a:graphicData uri="http://schemas.openxmlformats.org/drawingml/2006/picture">
                <pic:pic>
                  <pic:nvPicPr>
                    <pic:cNvPr id="0" name="Fig4_Direction.png"/>
                    <pic:cNvPicPr/>
                  </pic:nvPicPr>
                  <pic:blipFill>
                    <a:blip r:embed="rId12"/>
                    <a:stretch>
                      <a:fillRect/>
                    </a:stretch>
                  </pic:blipFill>
                  <pic:spPr>
                    <a:xfrm>
                      <a:off x="0" y="0"/>
                      <a:ext cx="5120640" cy="1951927"/>
                    </a:xfrm>
                    <a:prstGeom prst="rect"/>
                  </pic:spPr>
                </pic:pic>
              </a:graphicData>
            </a:graphic>
          </wp:inline>
        </w:drawing>
      </w:r>
    </w:p>
    <w:p>
      <w:pPr>
        <w:spacing w:line="240" w:lineRule="auto" w:after="200" w:before="0"/>
      </w:pPr>
      <w:r>
        <w:rPr>
          <w:rFonts w:ascii="Times New Roman" w:hAnsi="Times New Roman" w:cs="Times New Roman" w:eastAsia="바탕"/>
          <w:b/>
          <w:i w:val="0"/>
          <w:sz w:val="22"/>
        </w:rPr>
        <w:t xml:space="preserve">Fig. 4. </w:t>
      </w:r>
      <w:r>
        <w:rPr>
          <w:rFonts w:ascii="Times New Roman" w:hAnsi="Times New Roman" w:cs="Times New Roman" w:eastAsia="바탕"/>
          <w:b w:val="0"/>
          <w:i w:val="0"/>
          <w:sz w:val="22"/>
        </w:rPr>
        <w:t>Direction of the studied relationship, by behavioural domain. The unit is the study × behavioural-domain record. 74 of 187 directional records (40%) run in reverse. Movement and staying are dominated by forward designs, whereas space use, activity and social behaviour approach parity between the two directions — the empirical basis for a bidirectional framing.</w:t>
      </w:r>
    </w:p>
    <w:p>
      <w:pPr>
        <w:spacing w:before="240" w:after="60"/>
        <w:jc w:val="center"/>
      </w:pPr>
      <w:r>
        <w:drawing>
          <wp:inline xmlns:a="http://schemas.openxmlformats.org/drawingml/2006/main" xmlns:pic="http://schemas.openxmlformats.org/drawingml/2006/picture">
            <wp:extent cx="5120640" cy="1947869"/>
            <wp:docPr id="5" name="Picture 5"/>
            <wp:cNvGraphicFramePr>
              <a:graphicFrameLocks noChangeAspect="1"/>
            </wp:cNvGraphicFramePr>
            <a:graphic>
              <a:graphicData uri="http://schemas.openxmlformats.org/drawingml/2006/picture">
                <pic:pic>
                  <pic:nvPicPr>
                    <pic:cNvPr id="0" name="Fig5_Methods.png"/>
                    <pic:cNvPicPr/>
                  </pic:nvPicPr>
                  <pic:blipFill>
                    <a:blip r:embed="rId13"/>
                    <a:stretch>
                      <a:fillRect/>
                    </a:stretch>
                  </pic:blipFill>
                  <pic:spPr>
                    <a:xfrm>
                      <a:off x="0" y="0"/>
                      <a:ext cx="5120640" cy="1947869"/>
                    </a:xfrm>
                    <a:prstGeom prst="rect"/>
                  </pic:spPr>
                </pic:pic>
              </a:graphicData>
            </a:graphic>
          </wp:inline>
        </w:drawing>
      </w:r>
    </w:p>
    <w:p>
      <w:pPr>
        <w:spacing w:line="240" w:lineRule="auto" w:after="200" w:before="0"/>
      </w:pPr>
      <w:r>
        <w:rPr>
          <w:rFonts w:ascii="Times New Roman" w:hAnsi="Times New Roman" w:cs="Times New Roman" w:eastAsia="바탕"/>
          <w:b/>
          <w:i w:val="0"/>
          <w:sz w:val="22"/>
        </w:rPr>
        <w:t xml:space="preserve">Fig. 5. </w:t>
      </w:r>
      <w:r>
        <w:rPr>
          <w:rFonts w:ascii="Times New Roman" w:hAnsi="Times New Roman" w:cs="Times New Roman" w:eastAsia="바탕"/>
          <w:b w:val="0"/>
          <w:i w:val="0"/>
          <w:sz w:val="22"/>
        </w:rPr>
        <w:t>Behavioural measurement methods over time. Sensing, GPS, video and big-data measurement grew from 4 studies in 2010–2019 to 20 from 2020, while self-report grew from 14 to 39 and systematic observation from 11 to 28. Generations accumulate rather than replace one another; 22 studies use two or more concurrently and therefore appear in more than one series.</w:t>
      </w:r>
    </w:p>
    <w:p>
      <w:pPr>
        <w:spacing w:before="240" w:after="60"/>
        <w:jc w:val="center"/>
      </w:pPr>
      <w:r>
        <w:drawing>
          <wp:inline xmlns:a="http://schemas.openxmlformats.org/drawingml/2006/main" xmlns:pic="http://schemas.openxmlformats.org/drawingml/2006/picture">
            <wp:extent cx="5120640" cy="4833393"/>
            <wp:docPr id="6" name="Picture 6"/>
            <wp:cNvGraphicFramePr>
              <a:graphicFrameLocks noChangeAspect="1"/>
            </wp:cNvGraphicFramePr>
            <a:graphic>
              <a:graphicData uri="http://schemas.openxmlformats.org/drawingml/2006/picture">
                <pic:pic>
                  <pic:nvPicPr>
                    <pic:cNvPr id="0" name="Fig6_Framework.png"/>
                    <pic:cNvPicPr/>
                  </pic:nvPicPr>
                  <pic:blipFill>
                    <a:blip r:embed="rId14"/>
                    <a:stretch>
                      <a:fillRect/>
                    </a:stretch>
                  </pic:blipFill>
                  <pic:spPr>
                    <a:xfrm>
                      <a:off x="0" y="0"/>
                      <a:ext cx="5120640" cy="4833393"/>
                    </a:xfrm>
                    <a:prstGeom prst="rect"/>
                  </pic:spPr>
                </pic:pic>
              </a:graphicData>
            </a:graphic>
          </wp:inline>
        </w:drawing>
      </w:r>
    </w:p>
    <w:p>
      <w:pPr>
        <w:spacing w:line="240" w:lineRule="auto" w:after="200" w:before="0"/>
      </w:pPr>
      <w:r>
        <w:rPr>
          <w:rFonts w:ascii="Times New Roman" w:hAnsi="Times New Roman" w:cs="Times New Roman" w:eastAsia="바탕"/>
          <w:b/>
          <w:i w:val="0"/>
          <w:sz w:val="22"/>
        </w:rPr>
        <w:t xml:space="preserve">Fig. 6. </w:t>
      </w:r>
      <w:r>
        <w:rPr>
          <w:rFonts w:ascii="Times New Roman" w:hAnsi="Times New Roman" w:cs="Times New Roman" w:eastAsia="바탕"/>
          <w:b w:val="0"/>
          <w:i w:val="0"/>
          <w:sz w:val="22"/>
        </w:rPr>
        <w:t>Conceptual framework. The loop is bidirectional by construction: the forward path runs acoustic environment → appraisal → behaviour, the reverse path runs activity → sound production → acoustic environment. Behaviour is unfolded as an engagement gradient and each band carries the quantitative evidence attached to it. The framework's diagnostic value is visible in the leftmost band — the avoidance and walking-speed evidence, the most frequently cited claim in this literature, comes entirely from studies that MMAT rates low.</w:t>
      </w:r>
    </w:p>
    <w:p>
      <w:pPr>
        <w:spacing w:before="240" w:after="60"/>
        <w:jc w:val="center"/>
      </w:pPr>
      <w:r>
        <w:drawing>
          <wp:inline xmlns:a="http://schemas.openxmlformats.org/drawingml/2006/main" xmlns:pic="http://schemas.openxmlformats.org/drawingml/2006/picture">
            <wp:extent cx="5120640" cy="5034129"/>
            <wp:docPr id="7" name="Picture 7"/>
            <wp:cNvGraphicFramePr>
              <a:graphicFrameLocks noChangeAspect="1"/>
            </wp:cNvGraphicFramePr>
            <a:graphic>
              <a:graphicData uri="http://schemas.openxmlformats.org/drawingml/2006/picture">
                <pic:pic>
                  <pic:nvPicPr>
                    <pic:cNvPr id="0" name="Fig7_GeoTime.png"/>
                    <pic:cNvPicPr/>
                  </pic:nvPicPr>
                  <pic:blipFill>
                    <a:blip r:embed="rId15"/>
                    <a:stretch>
                      <a:fillRect/>
                    </a:stretch>
                  </pic:blipFill>
                  <pic:spPr>
                    <a:xfrm>
                      <a:off x="0" y="0"/>
                      <a:ext cx="5120640" cy="5034129"/>
                    </a:xfrm>
                    <a:prstGeom prst="rect"/>
                  </pic:spPr>
                </pic:pic>
              </a:graphicData>
            </a:graphic>
          </wp:inline>
        </w:drawing>
      </w:r>
    </w:p>
    <w:p>
      <w:pPr>
        <w:spacing w:line="240" w:lineRule="auto" w:after="200" w:before="0"/>
      </w:pPr>
      <w:r>
        <w:rPr>
          <w:rFonts w:ascii="Times New Roman" w:hAnsi="Times New Roman" w:cs="Times New Roman" w:eastAsia="바탕"/>
          <w:b/>
          <w:i w:val="0"/>
          <w:sz w:val="22"/>
        </w:rPr>
        <w:t xml:space="preserve">Fig. 7. </w:t>
      </w:r>
      <w:r>
        <w:rPr>
          <w:rFonts w:ascii="Times New Roman" w:hAnsi="Times New Roman" w:cs="Times New Roman" w:eastAsia="바탕"/>
          <w:b w:val="0"/>
          <w:i w:val="0"/>
          <w:sz w:val="22"/>
        </w:rPr>
        <w:t>Geographic and temporal distribution of the 98 included studies. (a) 38 studies (39%) were conducted in China. (b) 70 studies (71%) appeared in 2020 or later, and reverse-direction studies appear only from the mid-2010s, so the bidirectional evidence base is younger still than the corpus as a whole.</w:t>
      </w:r>
    </w:p>
    <w:p>
      <w:pPr>
        <w:spacing w:before="240" w:after="60"/>
        <w:jc w:val="center"/>
      </w:pPr>
      <w:r>
        <w:drawing>
          <wp:inline xmlns:a="http://schemas.openxmlformats.org/drawingml/2006/main" xmlns:pic="http://schemas.openxmlformats.org/drawingml/2006/picture">
            <wp:extent cx="5120640" cy="4422890"/>
            <wp:docPr id="8" name="Picture 8"/>
            <wp:cNvGraphicFramePr>
              <a:graphicFrameLocks noChangeAspect="1"/>
            </wp:cNvGraphicFramePr>
            <a:graphic>
              <a:graphicData uri="http://schemas.openxmlformats.org/drawingml/2006/picture">
                <pic:pic>
                  <pic:nvPicPr>
                    <pic:cNvPr id="0" name="Fig8_Quality.png"/>
                    <pic:cNvPicPr/>
                  </pic:nvPicPr>
                  <pic:blipFill>
                    <a:blip r:embed="rId16"/>
                    <a:stretch>
                      <a:fillRect/>
                    </a:stretch>
                  </pic:blipFill>
                  <pic:spPr>
                    <a:xfrm>
                      <a:off x="0" y="0"/>
                      <a:ext cx="5120640" cy="4422890"/>
                    </a:xfrm>
                    <a:prstGeom prst="rect"/>
                  </pic:spPr>
                </pic:pic>
              </a:graphicData>
            </a:graphic>
          </wp:inline>
        </w:drawing>
      </w:r>
    </w:p>
    <w:p>
      <w:pPr>
        <w:spacing w:line="240" w:lineRule="auto" w:after="200" w:before="0"/>
      </w:pPr>
      <w:r>
        <w:rPr>
          <w:rFonts w:ascii="Times New Roman" w:hAnsi="Times New Roman" w:cs="Times New Roman" w:eastAsia="바탕"/>
          <w:b/>
          <w:i w:val="0"/>
          <w:sz w:val="22"/>
        </w:rPr>
        <w:t xml:space="preserve">Fig. 8. </w:t>
      </w:r>
      <w:r>
        <w:rPr>
          <w:rFonts w:ascii="Times New Roman" w:hAnsi="Times New Roman" w:cs="Times New Roman" w:eastAsia="바탕"/>
          <w:b w:val="0"/>
          <w:i w:val="0"/>
          <w:sz w:val="22"/>
        </w:rPr>
        <w:t>MMAT 2018 appraisal. Two findings drive the Discussion. First, the two randomised studies score among the lowest rather than the highest: their reports omit the randomisation procedure, baseline comparability and blinding entirely, so the design cannot be credited. Second, the largest deficits are deficits of reporting — sample representativeness (item 4.2, clearly met in 10 of 51), low non-response bias (4.4, 16 of 51) and control of confounding (3.4, 9 of 22) fail mostly because the information is absent, not because the studies are known to be biased.</w:t>
      </w:r>
    </w:p>
    <w:sectPr w:rsidR="00FC693F" w:rsidRPr="0006063C" w:rsidSect="00034616">
      <w:pgSz w:w="11909" w:h="16834"/>
      <w:pgMar w:top="1440" w:right="1440" w:bottom="1440" w:left="1699"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Times New Roman" w:hAnsi="Times New Roman" w:cs="Times New Roman" w:eastAsia="바탕"/>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