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Selesa, 06 Februari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Institut Teknologi 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Membahas batasan proyek yang akan dibangun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Membahas batasan apa yang akan dibangun dan menentukan topik apa yang akan dibangun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Menentukan judul dan client yang akan menjadi narasumber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Menentukan judul PA yang akan dibangun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siapa yang menjadi client untuk diwawancarai dan menyusun daftar pertanyaan yang akan disampaikan pada saat wawancara.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jc w:val="left"/>
        <w:rPr/>
      </w:pPr>
      <w:r w:rsidDel="00000000" w:rsidR="00000000" w:rsidRPr="00000000">
        <w:rPr>
          <w:rtl w:val="0"/>
        </w:rPr>
        <w:t xml:space="preserve">Sitoluama, 07 Februari 2024</w:t>
      </w:r>
    </w:p>
    <w:p w:rsidR="00000000" w:rsidDel="00000000" w:rsidP="00000000" w:rsidRDefault="00000000" w:rsidRPr="00000000" w14:paraId="0000001A">
      <w:pPr>
        <w:ind w:left="5760" w:firstLine="720"/>
        <w:jc w:val="left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/EdjdsbO2mOT27l6m0YQt4Vyg==">CgMxLjAyCGguZ2pkZ3hzOAByITFRcm1ScUtGQ3hqeXRReGxnRVotNk1weVg2eEYzRlRHeQ==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