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CL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 (DO)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40"/>
        <w:gridCol w:w="2234"/>
        <w:gridCol w:w="996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 REQUISITOS GENERALES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Instalación sin  materiales nocivos (por ejemplo, asbestos)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5.2 ESTRUCTURA DE SOPORTE (BASTIDOR) Y CERRAMIENTO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999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9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91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999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5.2.2.1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5.2.2.2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5.3 ESCALONES, PLACA, BANDA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5.3.2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 xml:space="preserve">5.3.3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5.3.4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5.3.6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5.4 UNIDAD DE ESTACIONAMIENTO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Parada de la maquina por dos contactores independientes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Condiciones de rearme adecuadas de los dos contactores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Operación segura del dispositivo de maniobra manual del freno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5.4.2.1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sobre velocidad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5.4.2.2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inversión no intencionada de la dirección de marcha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5.4.2.3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Irrupción   de   la   alimentación eléctrica del freno por al menos dos     dispositivos eléctricos independientes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5.4.2.4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 de  control  para  la liberación del freno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5.4.2.5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de freno auxiliar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5.4.2.6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Cumplimiento de las distancias de frenado en  condiciones  de funcionamiento sin carga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5.5 BALAUSTRADA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vertical del pasamanos en la sección  inclinada no menor que 0,90 m y no mayor que 1,10 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1F3B4B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5.5.2.2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Angulo de  inclinación    del panelado interior de al menos 25° con la horizontal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anti subida instalado en al    panelado exterior de   acuerdo    con   la   norma NCh3344/1, apartado 5.5.2.2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Dispositivos antideslizantes ubicados a nivel del pasamanos en la cubierta de la balaustrada e instalados entre la escalera mecánica/rampa móvil y muros adyacentes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5.5.3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Deflectores de faldilla instalados para minimizar la posibilidad de atrapamiento entre las faldillas y los escalones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5.6 PASAMANOS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  de   un   dispositivo de control de la velocidad del pasamanos o de un dispositivo de detección del movimiento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5.6.2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Distancia horizontal aceptable entre pasamanos, perfiles de protección y guías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Entrada del pasamanos protegida con una cubierta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en la entrada del pasamanos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5.6.3.2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Cabeza de balaustrada de acuerdo con NCh3344/1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5.7 RELLANOS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5.7.1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Asegurar la pisada en los rellanos  (Placa de peine y placa de suelo)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5.7.2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Encaje correcto de los peines 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5.7.3 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colocado en el conjunto del peine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5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52130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7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4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D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spos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t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vo de detec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ión para la oscilación del escalón o placa 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5.8 CUARTOS DE MAQUINARIA, ESTACIONES DE ACCIONAMIENTO Y DE RETORNO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6"/>
        <w:gridCol w:w="2691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5.8.1 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Protección de acceso a partes móviles o rotativas 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5.8.2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Área para estar de pie suficiente 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5.8.3 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Elementos para la elevación adecuados en caso de cuadro de control desmontable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Toma de corriente para iluminación en los cuartos de maquinaria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Intensidad luminosa de 200 lux en las áreas de trabajo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existente en las estaciones de accionamiento y de retorno (área del técnico)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compatible en las estaciones de accionamiento y de retorno (área del técnico)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5.11 INSTALACIONES Y APARATOS ELECTRICOS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41"/>
        <w:gridCol w:w="2380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choque eléctrico: Protección  suficiente de partes eléctricas activas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5.11.1.3,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5.11.1.4,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2647" w:type="dxa"/>
            <w:tcBorders>
              <w:top w:val="nil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 choque eléctrico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la conexión de la unidad por ausencia  de interruptor principal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conexión de la unidad por un interruptor principal inadecuado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5.11.3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Descarga electrostática relacionada con pasamanos, banda de escalones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5.12 PROTECCION CONTRA FALLOS ELECTRICOS-MANIOBRA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41"/>
        <w:gridCol w:w="2380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1C38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 de  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el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133844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de maniobra de inspección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5.13 INTERFACES CON EL EDIFICIO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41"/>
        <w:gridCol w:w="2380"/>
      </w:tblGrid>
      <w:tr>
        <w:trPr>
          <w:tblHeader w:val="true"/>
          <w:trHeight w:val="344" w:hRule="atLeast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5.13.1.1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libre sobre los escalones de la escalera mecánica o placas o banda del rampa móvil en cualquier punto, no menor que a 2,30 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Espacio suficiente entre el pasamanos y los interfaces con el edificio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Medidas preventivas adecuadas contra obstáculos del edificio que puedan causar lesiones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5.13.1.4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 libre suficiente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630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5.13.1.5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Acceso libre  desde los rellanos o salidas intermedias de escaleras mecánicas o rampas móviles consecutivos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5.13.1.6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adecuada  ante calda desde los rellanos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5.13.1.7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adecuada   en   la línea de intersección del peine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Cuartos  de   maquinaria  fuera del bastidor bajo llave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adecuada en los cuartos de máquinas y áreas de trabajo tuera del bastidor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  de     emergencia adecuada para una evacuación segura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5.13.2.4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Áreas de trabajo adecuadas en los cuartos  de máquinas fuera del bastidor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5.13.2.5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y  ancho  de  acceso  a los cuartos de maquinaria adecuadas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5.13.2.6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libre  adecuada  en  los cuartos de máquinas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Adecuada  alimentación eléctrica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5.14 SEÑALES DE SEGURIDAD PARA LOS USUARIOS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51"/>
        <w:gridCol w:w="2483"/>
        <w:gridCol w:w="997"/>
        <w:gridCol w:w="1057"/>
        <w:gridCol w:w="1056"/>
        <w:gridCol w:w="842"/>
        <w:gridCol w:w="2299"/>
      </w:tblGrid>
      <w:tr>
        <w:trPr>
          <w:tblHeader w:val="true"/>
          <w:trHeight w:val="344" w:hRule="atLeast"/>
          <w:cantSplit w:val="true"/>
        </w:trPr>
        <w:tc>
          <w:tcPr>
            <w:tcW w:w="423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4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5.14</w:t>
            </w:r>
          </w:p>
        </w:tc>
        <w:tc>
          <w:tcPr>
            <w:tcW w:w="2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Instalar  un  conjunto  completo de señales de seguridad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5.15 UTILIZACION DE CARROS DE COMPRA Y DE CARROS DE EQUIPAJE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720"/>
        <w:gridCol w:w="924"/>
        <w:gridCol w:w="1072"/>
        <w:gridCol w:w="1073"/>
        <w:gridCol w:w="541"/>
        <w:gridCol w:w="2380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 el interruptor  de  parada para situaciones de emergencia (área del usuario)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val="es-ES"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2720" w:type="dxa"/>
            <w:tcBorders>
              <w:top w:val="nil"/>
              <w:left w:val="single" w:sz="8" w:space="0" w:color="2B4B5B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Barreras adecuadas para impedir el acceso de carros de compra y de carros de equipaje a la instalación de la  escalera mecánica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2B4F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val="es-ES"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5.15.2</w:t>
            </w:r>
          </w:p>
        </w:tc>
        <w:tc>
          <w:tcPr>
            <w:tcW w:w="2720" w:type="dxa"/>
            <w:tcBorders>
              <w:top w:val="nil"/>
              <w:left w:val="single" w:sz="8" w:space="0" w:color="183848"/>
              <w:bottom w:val="single" w:sz="8" w:space="0" w:color="000000"/>
              <w:right w:val="single" w:sz="8" w:space="0" w:color="1334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Carritos en uso compatibles con la instalación de andén móvil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val="es-ES"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val="es-ES" w:bidi="ar-SA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LibreOffice/7.4.7.2$Linux_X86_64 LibreOffice_project/40$Build-2</Application>
  <AppVersion>15.0000</AppVersion>
  <Pages>10</Pages>
  <Words>1589</Words>
  <Characters>11864</Characters>
  <CharactersWithSpaces>12910</CharactersWithSpaces>
  <Paragraphs>705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2024-07-12T15:51:17Z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