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2047"/>
        </w:sectPr>
        <w:pStyle w:val="Normal"/>
        <w:spacing w:before="60" w:after="60"/>
        <w:ind w:hanging="0"/>
        <w:rPr>
          <w:rFonts w:cs="Arial"/>
          <w:b/>
          <w:b/>
        </w:rPr>
      </w:pPr>
      <w:r>
        <w:rPr/>
      </w:r>
    </w:p>
    <w:tbl>
      <w:tblPr>
        <w:tblStyle w:val="Tablaconcuadrcula"/>
        <w:tblW w:w="1474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
        <w:gridCol w:w="4533"/>
        <w:gridCol w:w="854"/>
        <w:gridCol w:w="495"/>
        <w:gridCol w:w="497"/>
        <w:gridCol w:w="992"/>
        <w:gridCol w:w="568"/>
        <w:gridCol w:w="566"/>
        <w:gridCol w:w="5244"/>
      </w:tblGrid>
      <w:tr>
        <w:trPr>
          <w:tblHeader w:val="true"/>
          <w:trHeight w:val="490" w:hRule="atLeast"/>
        </w:trPr>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52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trPr>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c>
          <w:tcPr>
            <w:tcW w:w="85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sz w:val="17"/>
                <w:szCs w:val="17"/>
                <w:lang w:val="es-ES"/>
              </w:rPr>
            </w:pPr>
            <w:r>
              <w:rPr>
                <w:rFonts w:eastAsia="Times New Roman" w:cs="Arial"/>
                <w:kern w:val="0"/>
                <w:sz w:val="17"/>
                <w:szCs w:val="17"/>
                <w:lang w:val="es-ES" w:bidi="ar-SA"/>
              </w:rPr>
            </w:r>
          </w:p>
        </w:tc>
        <w:tc>
          <w:tcPr>
            <w:tcW w:w="4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52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411" w:hRule="atLeast"/>
        </w:trPr>
        <w:tc>
          <w:tcPr>
            <w:tcW w:w="992" w:type="dxa"/>
            <w:tcBorders>
              <w:top w:val="single" w:sz="4" w:space="0" w:color="1F497D"/>
              <w:left w:val="single" w:sz="4" w:space="0" w:color="1F497D"/>
              <w:bottom w:val="single" w:sz="4" w:space="0" w:color="1F497D"/>
              <w:right w:val="single" w:sz="4" w:space="0" w:color="1F497D"/>
            </w:tcBorders>
          </w:tcPr>
          <w:p>
            <w:pPr>
              <w:pStyle w:val="ListParagraph"/>
              <w:widowControl/>
              <w:numPr>
                <w:ilvl w:val="0"/>
                <w:numId w:val="2"/>
              </w:numPr>
              <w:spacing w:before="0" w:after="0"/>
              <w:contextualSpacing/>
              <w:rPr>
                <w:rFonts w:ascii="Calibri" w:hAnsi="Calibri" w:cs="Arial" w:asciiTheme="minorHAnsi" w:hAnsiTheme="minorHAnsi"/>
                <w:b/>
                <w:b/>
              </w:rPr>
            </w:pPr>
            <w:r>
              <w:rPr>
                <w:rFonts w:eastAsia="Times New Roman" w:cs="Arial" w:ascii="Calibri" w:hAnsi="Calibri"/>
                <w:b/>
                <w:kern w:val="0"/>
                <w:sz w:val="20"/>
                <w:szCs w:val="20"/>
                <w:lang w:bidi="ar-SA"/>
              </w:rPr>
            </w:r>
          </w:p>
        </w:tc>
        <w:tc>
          <w:tcPr>
            <w:tcW w:w="13749"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numPr>
                <w:ilvl w:val="0"/>
                <w:numId w:val="2"/>
              </w:numPr>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w:t>
            </w:r>
          </w:p>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rPr>
                <w:sz w:val="18"/>
              </w:rPr>
            </w:pPr>
            <w:r>
              <w:rPr>
                <w:rFonts w:eastAsia="Times New Roman" w:cs="Times New Roman"/>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w:t>
            </w:r>
          </w:p>
        </w:tc>
        <w:tc>
          <w:tcPr>
            <w:tcW w:w="45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rPr>
                <w:rFonts w:ascii="Calibri" w:hAnsi="Calibri" w:cs="Arial" w:asciiTheme="minorHAnsi" w:hAnsiTheme="minorHAnsi"/>
                <w:lang w:val="es-ES"/>
              </w:rPr>
            </w:pPr>
            <w:r>
              <w:rPr>
                <w:rFonts w:eastAsia="Times New Roman" w:cs="Arial" w:ascii="Calibri" w:hAnsi="Calibri"/>
                <w:kern w:val="0"/>
                <w:sz w:val="20"/>
                <w:szCs w:val="20"/>
                <w:lang w:val="es-ES" w:bidi="ar-SA"/>
              </w:rPr>
            </w:r>
          </w:p>
          <w:p>
            <w:pPr>
              <w:pStyle w:val="Normal"/>
              <w:widowControl/>
              <w:rPr>
                <w:rFonts w:ascii="Calibri" w:hAnsi="Calibri" w:cs="Arial" w:asciiTheme="minorHAnsi" w:hAnsiTheme="minorHAnsi"/>
                <w:lang w:val="es-ES"/>
              </w:rPr>
            </w:pPr>
            <w:r>
              <w:rPr>
                <w:rFonts w:eastAsia="Times New Roman" w:cs="Arial" w:ascii="Calibri" w:hAnsi="Calibri"/>
                <w:kern w:val="0"/>
                <w:sz w:val="20"/>
                <w:szCs w:val="20"/>
                <w:lang w:val="es-ES" w:bidi="ar-SA"/>
              </w:rPr>
            </w:r>
          </w:p>
          <w:p>
            <w:pPr>
              <w:pStyle w:val="Normal"/>
              <w:widowControl/>
              <w:rPr>
                <w:rFonts w:ascii="Calibri" w:hAnsi="Calibri" w:cs="Arial" w:asciiTheme="minorHAnsi" w:hAnsiTheme="minorHAnsi"/>
                <w:lang w:val="es-ES"/>
              </w:rPr>
            </w:pPr>
            <w:r>
              <w:rPr>
                <w:rFonts w:eastAsia="Times New Roman" w:cs="Arial" w:ascii="Calibri" w:hAnsi="Calibri"/>
                <w:kern w:val="0"/>
                <w:sz w:val="20"/>
                <w:szCs w:val="20"/>
                <w:lang w:val="es-ES" w:bidi="ar-SA"/>
              </w:rPr>
            </w:r>
          </w:p>
          <w:p>
            <w:pPr>
              <w:pStyle w:val="Normal"/>
              <w:widowControl/>
              <w:rPr>
                <w:rFonts w:ascii="Calibri" w:hAnsi="Calibri" w:cs="Arial" w:asciiTheme="minorHAnsi" w:hAnsiTheme="minorHAnsi"/>
                <w:lang w:val="es-ES"/>
              </w:rPr>
            </w:pPr>
            <w:r>
              <w:rPr>
                <w:rFonts w:eastAsia="Times New Roman" w:cs="Arial" w:ascii="Calibri" w:hAnsi="Calibri"/>
                <w:kern w:val="0"/>
                <w:sz w:val="20"/>
                <w:szCs w:val="20"/>
                <w:lang w:val="es-ES" w:bidi="ar-SA"/>
              </w:rPr>
            </w:r>
          </w:p>
          <w:p>
            <w:pPr>
              <w:pStyle w:val="Normal"/>
              <w:widowControl/>
              <w:rPr>
                <w:rFonts w:ascii="Calibri" w:hAnsi="Calibri" w:cs="Arial" w:asciiTheme="minorHAnsi" w:hAnsiTheme="minorHAnsi"/>
                <w:lang w:val="es-ES"/>
              </w:rPr>
            </w:pPr>
            <w:r>
              <w:rPr>
                <w:rFonts w:eastAsia="Times New Roman" w:cs="Arial" w:ascii="Calibri" w:hAnsi="Calibri"/>
                <w:kern w:val="0"/>
                <w:sz w:val="20"/>
                <w:szCs w:val="20"/>
                <w:lang w:val="es-ES" w:bidi="ar-SA"/>
              </w:rPr>
            </w:r>
          </w:p>
          <w:p>
            <w:pPr>
              <w:pStyle w:val="Normal"/>
              <w:widowControl/>
              <w:spacing w:before="60" w:after="60"/>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rPr>
                <w:b/>
                <w:b/>
              </w:rPr>
            </w:pPr>
            <w:r>
              <w:rPr>
                <w:rFonts w:eastAsia="Times New Roman" w:cs="Times New Roman"/>
                <w:b/>
                <w:kern w:val="0"/>
                <w:sz w:val="20"/>
                <w:szCs w:val="20"/>
                <w:lang w:bidi="ar-SA"/>
              </w:rPr>
            </w:r>
          </w:p>
        </w:tc>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w:t>
            </w:r>
          </w:p>
        </w:tc>
        <w:tc>
          <w:tcPr>
            <w:tcW w:w="45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8"/>
              </w:rPr>
            </w:pPr>
            <w:r>
              <w:rPr>
                <w:rFonts w:eastAsia="Times New Roman" w:cs="Times New Roman"/>
                <w:b/>
                <w:kern w:val="0"/>
                <w:sz w:val="18"/>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w:t>
            </w:r>
          </w:p>
        </w:tc>
        <w:tc>
          <w:tcPr>
            <w:tcW w:w="45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45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w:t>
            </w:r>
          </w:p>
        </w:tc>
        <w:tc>
          <w:tcPr>
            <w:tcW w:w="4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244"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4596"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92"/>
        <w:gridCol w:w="4532"/>
        <w:gridCol w:w="850"/>
        <w:gridCol w:w="496"/>
        <w:gridCol w:w="496"/>
        <w:gridCol w:w="993"/>
        <w:gridCol w:w="569"/>
        <w:gridCol w:w="565"/>
        <w:gridCol w:w="5101"/>
      </w:tblGrid>
      <w:tr>
        <w:trPr>
          <w:tblHeader w:val="true"/>
          <w:trHeight w:val="340" w:hRule="atLeast"/>
        </w:trPr>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CÓDIGO</w:t>
            </w:r>
          </w:p>
        </w:tc>
        <w:tc>
          <w:tcPr>
            <w:tcW w:w="45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510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trPr>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NO</w:t>
            </w:r>
          </w:p>
        </w:tc>
        <w:tc>
          <w:tcPr>
            <w:tcW w:w="99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510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383" w:hRule="atLeast"/>
        </w:trPr>
        <w:tc>
          <w:tcPr>
            <w:tcW w:w="992" w:type="dxa"/>
            <w:tcBorders>
              <w:top w:val="single" w:sz="4" w:space="0" w:color="1F497D"/>
              <w:left w:val="single" w:sz="4" w:space="0" w:color="1F497D"/>
              <w:bottom w:val="single" w:sz="4" w:space="0" w:color="1F497D"/>
              <w:right w:val="single" w:sz="4" w:space="0" w:color="1F497D"/>
            </w:tcBorders>
          </w:tcPr>
          <w:p>
            <w:pPr>
              <w:pStyle w:val="Normal"/>
              <w:widowControl/>
              <w:spacing w:before="0" w:after="0"/>
              <w:ind w:hanging="0"/>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6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pt-BR"/>
              </w:rPr>
            </w:pPr>
            <w:r>
              <w:rPr>
                <w:rFonts w:eastAsia="Times New Roman" w:cs="Arial" w:ascii="Calibri" w:hAnsi="Calibri"/>
                <w:kern w:val="0"/>
                <w:sz w:val="20"/>
                <w:szCs w:val="20"/>
                <w:lang w:val="pt-BR"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pt-BR"/>
              </w:rPr>
            </w:pPr>
            <w:r>
              <w:rPr>
                <w:rFonts w:eastAsia="Times New Roman" w:cs="Arial" w:ascii="Calibri" w:hAnsi="Calibri"/>
                <w:kern w:val="0"/>
                <w:sz w:val="20"/>
                <w:szCs w:val="20"/>
                <w:lang w:val="pt-BR"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color w:val="000000"/>
                <w:sz w:val="24"/>
                <w:szCs w:val="24"/>
                <w:lang w:val="es-CL" w:eastAsia="es-CL"/>
              </w:rPr>
            </w:pPr>
            <w:r>
              <w:rPr>
                <w:rFonts w:eastAsia="Times New Roman" w:cs="Arial" w:ascii="Calibri" w:hAnsi="Calibri"/>
                <w:b/>
                <w:color w:val="000000"/>
                <w:kern w:val="0"/>
                <w:sz w:val="24"/>
                <w:szCs w:val="24"/>
                <w:lang w:val="es-CL" w:eastAsia="es-CL"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569"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4601"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1"/>
        <w:gridCol w:w="4538"/>
        <w:gridCol w:w="850"/>
        <w:gridCol w:w="496"/>
        <w:gridCol w:w="497"/>
        <w:gridCol w:w="991"/>
        <w:gridCol w:w="580"/>
        <w:gridCol w:w="554"/>
        <w:gridCol w:w="5102"/>
      </w:tblGrid>
      <w:tr>
        <w:trPr>
          <w:tblHeader w:val="true"/>
          <w:trHeight w:val="394" w:hRule="atLeast"/>
        </w:trPr>
        <w:tc>
          <w:tcPr>
            <w:tcW w:w="99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51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trPr>
        <w:tc>
          <w:tcPr>
            <w:tcW w:w="99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NO</w:t>
            </w:r>
          </w:p>
        </w:tc>
        <w:tc>
          <w:tcPr>
            <w:tcW w:w="99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5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51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304" w:hRule="atLeast"/>
        </w:trPr>
        <w:tc>
          <w:tcPr>
            <w:tcW w:w="14599"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color w:val="000000"/>
                <w:sz w:val="24"/>
                <w:szCs w:val="24"/>
                <w:lang w:val="es-CL" w:eastAsia="es-CL"/>
              </w:rPr>
            </w:pPr>
            <w:r>
              <w:rPr>
                <w:rFonts w:eastAsia="Times New Roman" w:cs="Arial" w:ascii="Calibri" w:hAnsi="Calibri"/>
                <w:b/>
                <w:color w:val="000000"/>
                <w:kern w:val="0"/>
                <w:sz w:val="24"/>
                <w:szCs w:val="24"/>
                <w:lang w:val="es-CL" w:eastAsia="es-CL"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szCs w:val="16"/>
              </w:rPr>
            </w:pPr>
            <w:r>
              <w:rPr>
                <w:rFonts w:eastAsia="Times New Roman" w:cs="Times New Roman"/>
                <w:kern w:val="0"/>
                <w:sz w:val="16"/>
                <w:szCs w:val="16"/>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5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4601"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
        <w:gridCol w:w="4537"/>
        <w:gridCol w:w="850"/>
        <w:gridCol w:w="496"/>
        <w:gridCol w:w="497"/>
        <w:gridCol w:w="991"/>
        <w:gridCol w:w="568"/>
        <w:gridCol w:w="566"/>
        <w:gridCol w:w="5102"/>
      </w:tblGrid>
      <w:tr>
        <w:trPr>
          <w:tblHeader w:val="true"/>
          <w:trHeight w:val="415" w:hRule="atLeast"/>
        </w:trPr>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spacing w:before="0" w:after="0"/>
              <w:ind w:hanging="0"/>
              <w:jc w:val="left"/>
              <w:rPr>
                <w:rFonts w:cs="Arial"/>
                <w:b/>
                <w:b/>
                <w:sz w:val="17"/>
                <w:szCs w:val="17"/>
                <w:lang w:val="es-ES"/>
              </w:rPr>
            </w:pPr>
            <w:r>
              <w:rPr>
                <w:rFonts w:eastAsia="Times New Roman" w:cs="Arial"/>
                <w:b/>
                <w:kern w:val="0"/>
                <w:sz w:val="17"/>
                <w:szCs w:val="17"/>
                <w:lang w:val="es-ES" w:bidi="ar-SA"/>
              </w:rPr>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51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trPr>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49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NO</w:t>
            </w:r>
          </w:p>
        </w:tc>
        <w:tc>
          <w:tcPr>
            <w:tcW w:w="99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51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427" w:hRule="atLeast"/>
        </w:trPr>
        <w:tc>
          <w:tcPr>
            <w:tcW w:w="992" w:type="dxa"/>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rPr>
                <w:rFonts w:ascii="Calibri" w:hAnsi="Calibri" w:cs="Arial" w:asciiTheme="minorHAnsi" w:hAnsiTheme="minorHAnsi"/>
                <w:b/>
                <w:b/>
              </w:rPr>
            </w:pPr>
            <w:r>
              <w:rPr>
                <w:rFonts w:eastAsia="Times New Roman" w:cs="Arial" w:ascii="Calibri" w:hAnsi="Calibri"/>
                <w:b/>
                <w:kern w:val="0"/>
                <w:sz w:val="20"/>
                <w:szCs w:val="20"/>
                <w:lang w:bidi="ar-SA"/>
              </w:rPr>
            </w:r>
          </w:p>
        </w:tc>
        <w:tc>
          <w:tcPr>
            <w:tcW w:w="13607"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w:t>
            </w:r>
          </w:p>
        </w:tc>
        <w:tc>
          <w:tcPr>
            <w:tcW w:w="45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color w:val="000000"/>
                <w:sz w:val="24"/>
                <w:szCs w:val="24"/>
                <w:lang w:val="es-CL" w:eastAsia="es-CL"/>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w:t>
            </w:r>
          </w:p>
        </w:tc>
        <w:tc>
          <w:tcPr>
            <w:tcW w:w="45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w:t>
            </w:r>
          </w:p>
        </w:tc>
        <w:tc>
          <w:tcPr>
            <w:tcW w:w="45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w:t>
            </w:r>
          </w:p>
        </w:tc>
        <w:tc>
          <w:tcPr>
            <w:tcW w:w="45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w:t>
            </w:r>
          </w:p>
        </w:tc>
        <w:tc>
          <w:tcPr>
            <w:tcW w:w="45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w:t>
            </w:r>
          </w:p>
        </w:tc>
        <w:tc>
          <w:tcPr>
            <w:tcW w:w="45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45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45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4596"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92"/>
        <w:gridCol w:w="4532"/>
        <w:gridCol w:w="850"/>
        <w:gridCol w:w="496"/>
        <w:gridCol w:w="496"/>
        <w:gridCol w:w="993"/>
        <w:gridCol w:w="566"/>
        <w:gridCol w:w="568"/>
        <w:gridCol w:w="5101"/>
      </w:tblGrid>
      <w:tr>
        <w:trPr>
          <w:tblHeader w:val="true"/>
          <w:trHeight w:val="261" w:hRule="atLeast"/>
        </w:trPr>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510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trPr>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9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510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413" w:hRule="atLeast"/>
        </w:trPr>
        <w:tc>
          <w:tcPr>
            <w:tcW w:w="992" w:type="dxa"/>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rPr>
                <w:rFonts w:ascii="Calibri" w:hAnsi="Calibri" w:eastAsia="Calibri" w:cs="Calibri"/>
                <w:b/>
                <w:b/>
              </w:rPr>
            </w:pPr>
            <w:r>
              <w:rPr>
                <w:rFonts w:eastAsia="Calibri" w:cs="Calibri" w:ascii="Calibri" w:hAnsi="Calibri"/>
                <w:b/>
                <w:kern w:val="0"/>
                <w:sz w:val="20"/>
                <w:szCs w:val="20"/>
                <w:lang w:bidi="ar-SA"/>
              </w:rPr>
            </w:r>
          </w:p>
        </w:tc>
        <w:tc>
          <w:tcPr>
            <w:tcW w:w="136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pacing w:before="0" w:after="0"/>
              <w:ind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b/>
                <w:b/>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Arial"/>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cs="Arial"/>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cs="Arial"/>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tc>
          <w:tcPr>
            <w:tcW w:w="9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w:t>
            </w:r>
          </w:p>
        </w:tc>
        <w:tc>
          <w:tcPr>
            <w:tcW w:w="45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tc>
          <w:tcPr>
            <w:tcW w:w="9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Calibri" w:asciiTheme="minorHAnsi" w:cstheme="minorHAnsi" w:hAnsiTheme="minorHAnsi"/>
                <w:i/>
                <w:i/>
                <w:sz w:val="18"/>
                <w:szCs w:val="18"/>
                <w:lang w:val="es-ES"/>
              </w:rPr>
            </w:pPr>
            <w:r>
              <w:rPr>
                <w:rFonts w:eastAsia="Times New Roman" w:cs="Calibri" w:cstheme="minorHAnsi" w:ascii="Calibri" w:hAnsi="Calibri"/>
                <w:i/>
                <w:kern w:val="0"/>
                <w:sz w:val="18"/>
                <w:szCs w:val="18"/>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w:t>
            </w:r>
          </w:p>
        </w:tc>
        <w:tc>
          <w:tcPr>
            <w:tcW w:w="45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56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1"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4601"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1"/>
        <w:gridCol w:w="4538"/>
        <w:gridCol w:w="850"/>
        <w:gridCol w:w="496"/>
        <w:gridCol w:w="497"/>
        <w:gridCol w:w="991"/>
        <w:gridCol w:w="568"/>
        <w:gridCol w:w="566"/>
        <w:gridCol w:w="5102"/>
      </w:tblGrid>
      <w:tr>
        <w:trPr>
          <w:tblHeader w:val="true"/>
          <w:trHeight w:val="365" w:hRule="atLeast"/>
        </w:trPr>
        <w:tc>
          <w:tcPr>
            <w:tcW w:w="99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CUMPLE</w:t>
            </w:r>
          </w:p>
        </w:tc>
        <w:tc>
          <w:tcPr>
            <w:tcW w:w="99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51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trPr>
        <w:tc>
          <w:tcPr>
            <w:tcW w:w="99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NO</w:t>
            </w:r>
          </w:p>
        </w:tc>
        <w:tc>
          <w:tcPr>
            <w:tcW w:w="99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51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415" w:hRule="atLeast"/>
        </w:trPr>
        <w:tc>
          <w:tcPr>
            <w:tcW w:w="991" w:type="dxa"/>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608"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numPr>
                <w:ilvl w:val="0"/>
                <w:numId w:val="3"/>
              </w:numPr>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numPr>
                <w:ilvl w:val="0"/>
                <w:numId w:val="3"/>
              </w:numPr>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rHeight w:val="483" w:hRule="atLeast"/>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rHeight w:val="484" w:hRule="atLeast"/>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pt-BR"/>
              </w:rPr>
            </w:pPr>
            <w:r>
              <w:rPr>
                <w:rFonts w:eastAsia="Times New Roman" w:cs="Arial" w:ascii="Calibri" w:hAnsi="Calibri"/>
                <w:kern w:val="0"/>
                <w:sz w:val="20"/>
                <w:szCs w:val="20"/>
                <w:lang w:val="pt-BR"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pt-BR"/>
              </w:rPr>
            </w:pPr>
            <w:r>
              <w:rPr>
                <w:rFonts w:eastAsia="Times New Roman" w:cs="Arial" w:ascii="Calibri" w:hAnsi="Calibri"/>
                <w:i/>
                <w:kern w:val="0"/>
                <w:sz w:val="20"/>
                <w:szCs w:val="20"/>
                <w:lang w:val="pt-BR"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tc>
          <w:tcPr>
            <w:tcW w:w="99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4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tc>
          <w:tcPr>
            <w:tcW w:w="99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4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56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10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4317"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3"/>
        <w:gridCol w:w="4536"/>
        <w:gridCol w:w="850"/>
        <w:gridCol w:w="496"/>
        <w:gridCol w:w="496"/>
        <w:gridCol w:w="992"/>
        <w:gridCol w:w="567"/>
        <w:gridCol w:w="567"/>
        <w:gridCol w:w="4818"/>
      </w:tblGrid>
      <w:tr>
        <w:trPr>
          <w:tblHeader w:val="true"/>
          <w:trHeight w:val="339" w:hRule="atLeast"/>
        </w:trPr>
        <w:tc>
          <w:tcPr>
            <w:tcW w:w="99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trPr>
        <w:tc>
          <w:tcPr>
            <w:tcW w:w="99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NO</w:t>
            </w:r>
          </w:p>
        </w:tc>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349" w:hRule="atLeast"/>
        </w:trPr>
        <w:tc>
          <w:tcPr>
            <w:tcW w:w="993" w:type="dxa"/>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45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45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45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45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4317"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0"/>
        <w:gridCol w:w="4539"/>
        <w:gridCol w:w="850"/>
        <w:gridCol w:w="496"/>
        <w:gridCol w:w="496"/>
        <w:gridCol w:w="992"/>
        <w:gridCol w:w="567"/>
        <w:gridCol w:w="567"/>
        <w:gridCol w:w="4818"/>
      </w:tblGrid>
      <w:tr>
        <w:trPr>
          <w:tblHeader w:val="true"/>
          <w:trHeight w:val="348" w:hRule="atLeast"/>
        </w:trPr>
        <w:tc>
          <w:tcPr>
            <w:tcW w:w="9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trPr>
        <w:tc>
          <w:tcPr>
            <w:tcW w:w="9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381" w:hRule="atLeast"/>
        </w:trPr>
        <w:tc>
          <w:tcPr>
            <w:tcW w:w="990" w:type="dxa"/>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w:t>
            </w:r>
          </w:p>
        </w:tc>
        <w:tc>
          <w:tcPr>
            <w:tcW w:w="4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w:t>
            </w:r>
          </w:p>
        </w:tc>
        <w:tc>
          <w:tcPr>
            <w:tcW w:w="4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w:t>
            </w:r>
          </w:p>
        </w:tc>
        <w:tc>
          <w:tcPr>
            <w:tcW w:w="4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w:t>
            </w:r>
          </w:p>
        </w:tc>
        <w:tc>
          <w:tcPr>
            <w:tcW w:w="4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4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4317"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3"/>
        <w:gridCol w:w="4534"/>
        <w:gridCol w:w="852"/>
        <w:gridCol w:w="496"/>
        <w:gridCol w:w="496"/>
        <w:gridCol w:w="992"/>
        <w:gridCol w:w="567"/>
        <w:gridCol w:w="567"/>
        <w:gridCol w:w="4818"/>
      </w:tblGrid>
      <w:tr>
        <w:trPr>
          <w:tblHeader w:val="true"/>
          <w:trHeight w:val="425" w:hRule="atLeast"/>
        </w:trPr>
        <w:tc>
          <w:tcPr>
            <w:tcW w:w="99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CUMPLE</w:t>
            </w:r>
          </w:p>
        </w:tc>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trPr>
        <w:tc>
          <w:tcPr>
            <w:tcW w:w="99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375" w:hRule="atLeast"/>
        </w:trPr>
        <w:tc>
          <w:tcPr>
            <w:tcW w:w="993" w:type="dxa"/>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jc w:val="left"/>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trPr>
        <w:tc>
          <w:tcPr>
            <w:tcW w:w="993"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spacing w:before="0" w:after="0"/>
              <w:ind w:hanging="0"/>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spacing w:before="0" w:after="0"/>
              <w:ind w:hanging="0"/>
              <w:rPr>
                <w:rFonts w:ascii="Calibri" w:hAnsi="Calibri"/>
                <w:i/>
                <w:i/>
                <w:color w:val="000000"/>
                <w:sz w:val="18"/>
                <w:szCs w:val="18"/>
                <w:lang w:val="es-CL" w:eastAsia="es-CL"/>
              </w:rPr>
            </w:pPr>
            <w:r>
              <w:fldChar w:fldCharType="begin">
                <w:ffData>
                  <w:name w:val=""/>
                  <w:enabled/>
                  <w:calcOnExit w:val="0"/>
                  <w:checkBox>
                    <w:sizeAuto/>
                  </w:checkBox>
                </w:ffData>
              </w:fldChar>
            </w:r>
            <w:r>
              <w:rPr>
                <w:sz w:val="20"/>
                <w:kern w:val="0"/>
                <w:szCs w:val="20"/>
                <w:rFonts w:eastAsia="Times New Roman" w:cs="Times New Roman"/>
                <w:lang w:bidi="ar-SA"/>
              </w:rPr>
              <w:instrText xml:space="preserve"> FORMCHECKBOX </w:instrText>
            </w:r>
            <w:r>
              <w:rPr>
                <w:sz w:val="20"/>
                <w:kern w:val="0"/>
                <w:szCs w:val="20"/>
                <w:rFonts w:eastAsia="Times New Roman" w:cs="Times New Roman"/>
                <w:lang w:bidi="ar-SA"/>
              </w:rPr>
              <w:fldChar w:fldCharType="separate"/>
            </w:r>
            <w:bookmarkStart w:id="0" w:name="__Fieldmark__18009_3320713316"/>
            <w:bookmarkStart w:id="1" w:name="__Fieldmark__18009_3320713316"/>
            <w:bookmarkEnd w:id="1"/>
            <w:r>
              <w:rPr>
                <w:rFonts w:eastAsia="Times New Roman" w:cs="Times New Roman"/>
                <w:kern w:val="0"/>
                <w:sz w:val="20"/>
                <w:szCs w:val="20"/>
                <w:lang w:bidi="ar-SA"/>
              </w:rPr>
            </w:r>
            <w:r>
              <w:rPr>
                <w:sz w:val="20"/>
                <w:kern w:val="0"/>
                <w:szCs w:val="20"/>
                <w:rFonts w:eastAsia="Times New Roman" w:cs="Times New Roman"/>
                <w:lang w:bidi="ar-SA"/>
              </w:rPr>
              <w:fldChar w:fldCharType="end"/>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2" w:name="__Fieldmark__18018_3320713316"/>
            <w:bookmarkStart w:id="3" w:name="__Fieldmark__18018_3320713316"/>
            <w:bookmarkEnd w:id="3"/>
            <w:r>
              <w:rPr>
                <w:rFonts w:eastAsia="Times New Roman" w:cs="Arial"/>
                <w:kern w:val="0"/>
                <w:sz w:val="20"/>
                <w:szCs w:val="20"/>
                <w:lang w:val="es-ES" w:bidi="ar-SA"/>
              </w:rPr>
            </w:r>
            <w:r>
              <w:rPr>
                <w:sz w:val="20"/>
                <w:kern w:val="0"/>
                <w:szCs w:val="20"/>
                <w:rFonts w:eastAsia="Times New Roman" w:cs="Arial"/>
                <w:lang w:val="es-ES" w:bidi="ar-SA"/>
              </w:rPr>
              <w:fldChar w:fldCharType="end"/>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INSPECCIÓN</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9.2.5</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9.2.5.1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9.2.7</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9.2.7.1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9.2.10</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9.2.10.1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trPr>
        <w:tc>
          <w:tcPr>
            <w:tcW w:w="993"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pacing w:before="0" w:after="0"/>
              <w:ind w:hanging="0"/>
              <w:jc w:val="left"/>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9.3 – ASCENSORES CON MÁQUINAS EN FOSO.  </w:t>
            </w:r>
          </w:p>
          <w:p>
            <w:pPr>
              <w:pStyle w:val="Normal"/>
              <w:widowControl w:val="false"/>
              <w:spacing w:before="0" w:after="0"/>
              <w:ind w:hanging="0"/>
              <w:jc w:val="left"/>
              <w:rPr>
                <w:rFonts w:ascii="Calibri" w:hAnsi="Calibri" w:cs="Arial" w:asciiTheme="minorHAnsi" w:hAnsiTheme="minorHAnsi"/>
                <w:b/>
                <w:b/>
                <w:lang w:val="es-ES"/>
              </w:rPr>
            </w:pPr>
            <w:r>
              <w:fldChar w:fldCharType="begin">
                <w:ffData>
                  <w:name w:val=""/>
                  <w:enabled/>
                  <w:calcOnExit w:val="0"/>
                  <w:checkBox>
                    <w:sizeAuto/>
                  </w:checkBox>
                </w:ffData>
              </w:fldChar>
            </w:r>
            <w:r>
              <w:rPr>
                <w:sz w:val="20"/>
                <w:kern w:val="0"/>
                <w:szCs w:val="20"/>
                <w:rFonts w:eastAsia="Times New Roman" w:cs="Times New Roman"/>
                <w:lang w:bidi="ar-SA"/>
              </w:rPr>
              <w:instrText xml:space="preserve"> FORMCHECKBOX </w:instrText>
            </w:r>
            <w:r>
              <w:rPr>
                <w:sz w:val="20"/>
                <w:kern w:val="0"/>
                <w:szCs w:val="20"/>
                <w:rFonts w:eastAsia="Times New Roman" w:cs="Times New Roman"/>
                <w:lang w:bidi="ar-SA"/>
              </w:rPr>
              <w:fldChar w:fldCharType="separate"/>
            </w:r>
            <w:bookmarkStart w:id="4" w:name="__Fieldmark__18113_3320713316"/>
            <w:bookmarkStart w:id="5" w:name="__Fieldmark__18113_3320713316"/>
            <w:bookmarkEnd w:id="5"/>
            <w:r>
              <w:rPr>
                <w:rFonts w:eastAsia="Times New Roman" w:cs="Times New Roman"/>
                <w:kern w:val="0"/>
                <w:sz w:val="20"/>
                <w:szCs w:val="20"/>
                <w:lang w:bidi="ar-SA"/>
              </w:rPr>
            </w:r>
            <w:r>
              <w:rPr>
                <w:sz w:val="20"/>
                <w:kern w:val="0"/>
                <w:szCs w:val="20"/>
                <w:rFonts w:eastAsia="Times New Roman" w:cs="Times New Roman"/>
                <w:lang w:bidi="ar-SA"/>
              </w:rPr>
              <w:fldChar w:fldCharType="end"/>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6" w:name="__Fieldmark__18122_3320713316"/>
            <w:bookmarkStart w:id="7" w:name="__Fieldmark__18122_3320713316"/>
            <w:bookmarkEnd w:id="7"/>
            <w:r>
              <w:rPr>
                <w:rFonts w:eastAsia="Times New Roman" w:cs="Arial"/>
                <w:kern w:val="0"/>
                <w:sz w:val="20"/>
                <w:szCs w:val="20"/>
                <w:lang w:val="es-ES" w:bidi="ar-SA"/>
              </w:rPr>
            </w:r>
            <w:r>
              <w:rPr>
                <w:sz w:val="20"/>
                <w:kern w:val="0"/>
                <w:szCs w:val="20"/>
                <w:rFonts w:eastAsia="Times New Roman" w:cs="Arial"/>
                <w:lang w:val="es-ES" w:bidi="ar-SA"/>
              </w:rPr>
              <w:fldChar w:fldCharType="end"/>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INSPECCIÓN</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9.3.1</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9.3.2</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9.3.6</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9.3.6.1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9.3.8</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9.3.8.1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trPr>
        <w:tc>
          <w:tcPr>
            <w:tcW w:w="993"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pacing w:before="0" w:after="0"/>
              <w:ind w:hanging="0"/>
              <w:jc w:val="left"/>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9.4 – MAQUINARIA FUERA DE LA CAJA DE ELEVADORES.  </w:t>
            </w:r>
          </w:p>
          <w:p>
            <w:pPr>
              <w:pStyle w:val="Normal"/>
              <w:widowControl w:val="false"/>
              <w:spacing w:before="0" w:after="0"/>
              <w:ind w:hanging="0"/>
              <w:jc w:val="left"/>
              <w:rPr>
                <w:rFonts w:ascii="Calibri" w:hAnsi="Calibri" w:cs="Arial" w:asciiTheme="minorHAnsi" w:hAnsiTheme="minorHAnsi"/>
              </w:rPr>
            </w:pPr>
            <w:r>
              <w:fldChar w:fldCharType="begin">
                <w:ffData>
                  <w:name w:val=""/>
                  <w:enabled/>
                  <w:calcOnExit w:val="0"/>
                  <w:checkBox>
                    <w:sizeAuto/>
                  </w:checkBox>
                </w:ffData>
              </w:fldChar>
            </w:r>
            <w:r>
              <w:rPr>
                <w:sz w:val="20"/>
                <w:kern w:val="0"/>
                <w:szCs w:val="20"/>
                <w:rFonts w:eastAsia="Times New Roman" w:cs="Times New Roman"/>
                <w:lang w:bidi="ar-SA"/>
              </w:rPr>
              <w:instrText xml:space="preserve"> FORMCHECKBOX </w:instrText>
            </w:r>
            <w:r>
              <w:rPr>
                <w:sz w:val="20"/>
                <w:kern w:val="0"/>
                <w:szCs w:val="20"/>
                <w:rFonts w:eastAsia="Times New Roman" w:cs="Times New Roman"/>
                <w:lang w:bidi="ar-SA"/>
              </w:rPr>
              <w:fldChar w:fldCharType="separate"/>
            </w:r>
            <w:bookmarkStart w:id="8" w:name="__Fieldmark__18222_3320713316"/>
            <w:bookmarkStart w:id="9" w:name="__Fieldmark__18222_3320713316"/>
            <w:bookmarkEnd w:id="9"/>
            <w:r>
              <w:rPr>
                <w:rFonts w:eastAsia="Times New Roman" w:cs="Times New Roman"/>
                <w:kern w:val="0"/>
                <w:sz w:val="20"/>
                <w:szCs w:val="20"/>
                <w:lang w:bidi="ar-SA"/>
              </w:rPr>
            </w:r>
            <w:r>
              <w:rPr>
                <w:sz w:val="20"/>
                <w:kern w:val="0"/>
                <w:szCs w:val="20"/>
                <w:rFonts w:eastAsia="Times New Roman" w:cs="Times New Roman"/>
                <w:lang w:bidi="ar-SA"/>
              </w:rPr>
              <w:fldChar w:fldCharType="end"/>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10" w:name="__Fieldmark__18229_3320713316"/>
            <w:bookmarkStart w:id="11" w:name="__Fieldmark__18229_3320713316"/>
            <w:bookmarkEnd w:id="11"/>
            <w:r>
              <w:rPr>
                <w:rFonts w:eastAsia="Times New Roman" w:cs="Arial"/>
                <w:kern w:val="0"/>
                <w:sz w:val="20"/>
                <w:szCs w:val="20"/>
                <w:lang w:val="es-ES" w:bidi="ar-SA"/>
              </w:rPr>
            </w:r>
            <w:r>
              <w:rPr>
                <w:sz w:val="20"/>
                <w:kern w:val="0"/>
                <w:szCs w:val="20"/>
                <w:rFonts w:eastAsia="Times New Roman" w:cs="Arial"/>
                <w:lang w:val="es-ES" w:bidi="ar-SA"/>
              </w:rPr>
              <w:fldChar w:fldCharType="end"/>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INSPECCIÓN</w:t>
            </w:r>
          </w:p>
        </w:tc>
      </w:tr>
      <w:tr>
        <w:trPr/>
        <w:tc>
          <w:tcPr>
            <w:tcW w:w="99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w:t>
            </w:r>
          </w:p>
        </w:tc>
        <w:tc>
          <w:tcPr>
            <w:tcW w:w="45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9.4.1.5</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9.4.1.6</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9.4.1.7</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tc>
          <w:tcPr>
            <w:tcW w:w="99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9.4.1.8</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9.4.2</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b/>
                <w:b/>
              </w:rPr>
            </w:pPr>
            <w:r>
              <w:rPr>
                <w:rFonts w:eastAsia="Times New Roman" w:cs="Times New Roman"/>
                <w:b/>
                <w:kern w:val="0"/>
                <w:sz w:val="20"/>
                <w:szCs w:val="20"/>
                <w:lang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9.4.3</w:t>
            </w:r>
          </w:p>
        </w:tc>
        <w:tc>
          <w:tcPr>
            <w:tcW w:w="4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2"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9.4.3.1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4317"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0"/>
        <w:gridCol w:w="4539"/>
        <w:gridCol w:w="850"/>
        <w:gridCol w:w="496"/>
        <w:gridCol w:w="496"/>
        <w:gridCol w:w="992"/>
        <w:gridCol w:w="567"/>
        <w:gridCol w:w="567"/>
        <w:gridCol w:w="4818"/>
      </w:tblGrid>
      <w:tr>
        <w:trPr>
          <w:tblHeader w:val="true"/>
          <w:trHeight w:val="330" w:hRule="atLeast"/>
        </w:trPr>
        <w:tc>
          <w:tcPr>
            <w:tcW w:w="9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trPr>
        <w:tc>
          <w:tcPr>
            <w:tcW w:w="9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NO</w:t>
            </w:r>
          </w:p>
        </w:tc>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299" w:hRule="atLeast"/>
        </w:trPr>
        <w:tc>
          <w:tcPr>
            <w:tcW w:w="990" w:type="dxa"/>
            <w:tcBorders>
              <w:top w:val="single" w:sz="4" w:space="0" w:color="1F497D"/>
              <w:left w:val="single" w:sz="4" w:space="0" w:color="1F497D"/>
              <w:bottom w:val="single" w:sz="4" w:space="0" w:color="1F497D"/>
              <w:right w:val="single" w:sz="4" w:space="0" w:color="1F497D"/>
            </w:tcBorders>
          </w:tcPr>
          <w:p>
            <w:pPr>
              <w:pStyle w:val="Normal"/>
              <w:widowControl/>
              <w:spacing w:before="0" w:after="0"/>
              <w:ind w:hanging="0"/>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w:t>
            </w:r>
          </w:p>
        </w:tc>
        <w:tc>
          <w:tcPr>
            <w:tcW w:w="4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DI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kern w:val="0"/>
                <w:sz w:val="20"/>
                <w:szCs w:val="20"/>
                <w:lang w:val="es-ES" w:bidi="ar-SA"/>
              </w:rPr>
            </w:r>
          </w:p>
        </w:tc>
        <w:tc>
          <w:tcPr>
            <w:tcW w:w="4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i/>
                <w:kern w:val="0"/>
                <w:sz w:val="20"/>
                <w:szCs w:val="20"/>
                <w:lang w:val="es-ES" w:bidi="ar-SA"/>
              </w:rPr>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 FU</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w:t>
            </w:r>
          </w:p>
        </w:tc>
        <w:tc>
          <w:tcPr>
            <w:tcW w:w="4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4317"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3"/>
        <w:gridCol w:w="4536"/>
        <w:gridCol w:w="850"/>
        <w:gridCol w:w="496"/>
        <w:gridCol w:w="496"/>
        <w:gridCol w:w="992"/>
        <w:gridCol w:w="567"/>
        <w:gridCol w:w="567"/>
        <w:gridCol w:w="4818"/>
      </w:tblGrid>
      <w:tr>
        <w:trPr>
          <w:tblHeader w:val="true"/>
          <w:trHeight w:val="416" w:hRule="atLeast"/>
        </w:trPr>
        <w:tc>
          <w:tcPr>
            <w:tcW w:w="99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4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13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trPr>
        <w:tc>
          <w:tcPr>
            <w:tcW w:w="99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4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rPr>
                <w:rFonts w:cs="Arial"/>
                <w:b/>
                <w:b/>
                <w:sz w:val="17"/>
                <w:szCs w:val="17"/>
                <w:lang w:val="es-ES"/>
              </w:rPr>
            </w:pPr>
            <w:r>
              <w:rPr>
                <w:rFonts w:eastAsia="Times New Roman" w:cs="Arial"/>
                <w:b/>
                <w:kern w:val="0"/>
                <w:sz w:val="17"/>
                <w:szCs w:val="17"/>
                <w:lang w:val="es-ES" w:bidi="ar-SA"/>
              </w:rPr>
              <w:t>NO</w:t>
            </w:r>
          </w:p>
        </w:tc>
        <w:tc>
          <w:tcPr>
            <w:tcW w:w="9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48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pacing w:before="0" w:after="0"/>
              <w:ind w:hanging="0"/>
              <w:jc w:val="center"/>
              <w:rPr>
                <w:rFonts w:cs="Arial"/>
                <w:b/>
                <w:b/>
                <w:sz w:val="18"/>
                <w:lang w:val="es-ES"/>
              </w:rPr>
            </w:pPr>
            <w:r>
              <w:rPr>
                <w:rFonts w:eastAsia="Times New Roman" w:cs="Arial"/>
                <w:b/>
                <w:kern w:val="0"/>
                <w:sz w:val="18"/>
                <w:szCs w:val="20"/>
                <w:lang w:val="es-ES" w:bidi="ar-SA"/>
              </w:rPr>
            </w:r>
          </w:p>
        </w:tc>
      </w:tr>
      <w:tr>
        <w:trPr>
          <w:trHeight w:val="349" w:hRule="atLeast"/>
        </w:trPr>
        <w:tc>
          <w:tcPr>
            <w:tcW w:w="993" w:type="dxa"/>
            <w:tcBorders>
              <w:top w:val="single" w:sz="4" w:space="0" w:color="1F497D"/>
              <w:left w:val="single" w:sz="4" w:space="0" w:color="1F497D"/>
              <w:bottom w:val="single" w:sz="4" w:space="0" w:color="1F497D"/>
              <w:right w:val="single" w:sz="4" w:space="0" w:color="1F497D"/>
            </w:tcBorders>
          </w:tcPr>
          <w:p>
            <w:pPr>
              <w:pStyle w:val="Normal"/>
              <w:widowControl w:val="false"/>
              <w:spacing w:before="0" w:after="0"/>
              <w:ind w:hanging="0"/>
              <w:rPr>
                <w:rFonts w:ascii="Calibri" w:hAnsi="Calibri" w:cs="Arial" w:asciiTheme="minorHAnsi" w:hAnsiTheme="minorHAnsi"/>
                <w:b/>
                <w:b/>
                <w:lang w:val="es-ES"/>
              </w:rPr>
            </w:pPr>
            <w:r>
              <w:rPr>
                <w:rFonts w:eastAsia="Times New Roman" w:cs="Arial" w:ascii="Calibri" w:hAnsi="Calibri"/>
                <w:b/>
                <w:kern w:val="0"/>
                <w:sz w:val="20"/>
                <w:szCs w:val="20"/>
                <w:lang w:val="es-ES" w:bidi="ar-SA"/>
              </w:rPr>
            </w:r>
          </w:p>
        </w:tc>
        <w:tc>
          <w:tcPr>
            <w:tcW w:w="1332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45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DO</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c>
          <w:tcPr>
            <w:tcW w:w="9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45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sz w:val="16"/>
              </w:rPr>
            </w:pPr>
            <w:r>
              <w:rPr>
                <w:rFonts w:eastAsia="Times New Roman" w:cs="Times New Roman"/>
                <w:kern w:val="0"/>
                <w:sz w:val="16"/>
                <w:szCs w:val="20"/>
                <w:lang w:bidi="ar-SA"/>
              </w:rPr>
              <w:t>VI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60" w:after="60"/>
              <w:ind w:hanging="0"/>
              <w:jc w:val="center"/>
              <w:rPr>
                <w:b/>
                <w:b/>
              </w:rPr>
            </w:pPr>
            <w:r>
              <w:rPr>
                <w:rFonts w:eastAsia="Times New Roman" w:cs="Times New Roman"/>
                <w:b/>
                <w:kern w:val="0"/>
                <w:sz w:val="20"/>
                <w:szCs w:val="20"/>
                <w:lang w:bidi="ar-SA"/>
              </w:rPr>
            </w:r>
          </w:p>
        </w:tc>
        <w:tc>
          <w:tcPr>
            <w:tcW w:w="9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5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5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818" w:type="dxa"/>
            <w:tcBorders>
              <w:top w:val="single" w:sz="4" w:space="0" w:color="1F497D"/>
              <w:left w:val="single" w:sz="4" w:space="0" w:color="1F497D"/>
              <w:bottom w:val="single" w:sz="4" w:space="0" w:color="1F497D"/>
              <w:right w:val="single" w:sz="4" w:space="0" w:color="1F497D"/>
            </w:tcBorders>
            <w:vAlign w:val="center"/>
          </w:tcPr>
          <w:p>
            <w:pPr>
              <w:pStyle w:val="Normal"/>
              <w:widowControl/>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footerReference w:type="default" r:id="rId2"/>
      <w:type w:val="nextPage"/>
      <w:pgSz w:orient="landscape" w:w="16838" w:h="11906"/>
      <w:pgMar w:left="1418" w:right="1293" w:gutter="0" w:header="0" w:top="907" w:footer="607" w:bottom="1701"/>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33970193"/>
    </w:sdtPr>
    <w:sdtContent>
      <w:p>
        <w:pPr>
          <w:pStyle w:val="Footer"/>
          <w:ind w:hanging="0"/>
          <w:jc w:val="center"/>
          <w:rPr>
            <w:rFonts w:cs="Arial"/>
            <w:b/>
            <w:b/>
            <w:szCs w:val="16"/>
            <w:lang w:val="es-ES"/>
          </w:rPr>
        </w:pPr>
        <w:r>
          <w:rPr>
            <w:rFonts w:cs="Arial"/>
            <w:b/>
            <w:szCs w:val="16"/>
            <w:lang w:val="es-ES"/>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LibreOffice/7.4.7.2$Linux_X86_64 LibreOffice_project/40$Build-2</Application>
  <AppVersion>15.0000</AppVersion>
  <Pages>23</Pages>
  <Words>7428</Words>
  <Characters>39404</Characters>
  <CharactersWithSpaces>45227</CharactersWithSpaces>
  <Paragraphs>1775</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2024-07-01T14:28:28Z</dcterms:modified>
  <cp:revision>6</cp:revision>
  <dc:subject/>
  <dc:title>ESTATUTO SOCIAL</dc:title>
</cp:coreProperties>
</file>

<file path=docProps/custom.xml><?xml version="1.0" encoding="utf-8"?>
<Properties xmlns="http://schemas.openxmlformats.org/officeDocument/2006/custom-properties" xmlns:vt="http://schemas.openxmlformats.org/officeDocument/2006/docPropsVTypes"/>
</file>