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60" w:after="60"/>
        <w:ind w:hanging="0"/>
        <w:rPr>
          <w:rFonts w:cs="Arial"/>
          <w:b/>
          <w:b/>
        </w:rPr>
      </w:pPr>
      <w:r>
        <w:rPr>
          <w:rFonts w:cs="Arial"/>
          <w:b/>
        </w:rPr>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734"/>
        <w:gridCol w:w="3233"/>
        <w:gridCol w:w="716"/>
        <w:gridCol w:w="534"/>
        <w:gridCol w:w="544"/>
        <w:gridCol w:w="823"/>
        <w:gridCol w:w="452"/>
        <w:gridCol w:w="538"/>
        <w:gridCol w:w="3779"/>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2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53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2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2"/>
              </w:numPr>
              <w:suppressAutoHyphens w:val="true"/>
              <w:spacing w:before="0" w:after="0"/>
              <w:contextualSpacing/>
              <w:rPr>
                <w:rFonts w:ascii="Calibri" w:hAnsi="Calibri" w:cs="Arial" w:asciiTheme="minorHAnsi" w:hAnsiTheme="minorHAnsi"/>
                <w:b/>
                <w:b/>
              </w:rPr>
            </w:pPr>
            <w:r>
              <w:rPr>
                <w:rFonts w:cs="Arial" w:ascii="Calibri" w:hAnsi="Calibri"/>
                <w:b/>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2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5"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734"/>
        <w:gridCol w:w="3420"/>
        <w:gridCol w:w="613"/>
        <w:gridCol w:w="450"/>
        <w:gridCol w:w="559"/>
        <w:gridCol w:w="808"/>
        <w:gridCol w:w="452"/>
        <w:gridCol w:w="538"/>
        <w:gridCol w:w="3779"/>
      </w:tblGrid>
      <w:tr>
        <w:trPr>
          <w:tblHeader w:val="true"/>
          <w:trHeight w:val="34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0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5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0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100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99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265"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5"/>
        <w:gridCol w:w="3420"/>
        <w:gridCol w:w="720"/>
        <w:gridCol w:w="449"/>
        <w:gridCol w:w="496"/>
        <w:gridCol w:w="839"/>
        <w:gridCol w:w="452"/>
        <w:gridCol w:w="464"/>
        <w:gridCol w:w="3778"/>
      </w:tblGrid>
      <w:tr>
        <w:trPr>
          <w:tblHeader w:val="true"/>
          <w:trHeight w:val="394"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263"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45"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420"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91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250"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4"/>
        <w:gridCol w:w="3420"/>
        <w:gridCol w:w="720"/>
        <w:gridCol w:w="450"/>
        <w:gridCol w:w="495"/>
        <w:gridCol w:w="842"/>
        <w:gridCol w:w="450"/>
        <w:gridCol w:w="464"/>
        <w:gridCol w:w="3763"/>
      </w:tblGrid>
      <w:tr>
        <w:trPr>
          <w:tblHeader w:val="true"/>
          <w:trHeight w:val="415" w:hRule="atLeast"/>
          <w:cantSplit w:val="true"/>
        </w:trPr>
        <w:tc>
          <w:tcPr>
            <w:tcW w:w="6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4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6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4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4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6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60"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5"/>
        <w:gridCol w:w="3314"/>
        <w:gridCol w:w="721"/>
        <w:gridCol w:w="451"/>
        <w:gridCol w:w="540"/>
        <w:gridCol w:w="809"/>
        <w:gridCol w:w="451"/>
        <w:gridCol w:w="450"/>
        <w:gridCol w:w="3777"/>
      </w:tblGrid>
      <w:tr>
        <w:trPr>
          <w:tblHeader w:val="true"/>
          <w:trHeight w:val="261"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1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9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538"/>
        <w:gridCol w:w="3422"/>
        <w:gridCol w:w="721"/>
        <w:gridCol w:w="449"/>
        <w:gridCol w:w="511"/>
        <w:gridCol w:w="748"/>
        <w:gridCol w:w="452"/>
        <w:gridCol w:w="554"/>
        <w:gridCol w:w="3778"/>
      </w:tblGrid>
      <w:tr>
        <w:trPr>
          <w:trHeight w:val="365" w:hRule="atLeast"/>
          <w:cantSplit w:val="true"/>
        </w:trPr>
        <w:tc>
          <w:tcPr>
            <w:tcW w:w="53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748"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006"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53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48"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5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538"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35"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4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538"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422"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538"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2"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53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4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96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4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1006"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555"/>
        <w:gridCol w:w="3419"/>
        <w:gridCol w:w="632"/>
        <w:gridCol w:w="538"/>
        <w:gridCol w:w="540"/>
        <w:gridCol w:w="722"/>
        <w:gridCol w:w="540"/>
        <w:gridCol w:w="449"/>
        <w:gridCol w:w="3778"/>
      </w:tblGrid>
      <w:tr>
        <w:trPr>
          <w:tblHeader w:val="true"/>
          <w:trHeight w:val="339" w:hRule="atLeast"/>
          <w:cantSplit w:val="true"/>
        </w:trPr>
        <w:tc>
          <w:tcPr>
            <w:tcW w:w="5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2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5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2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5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8"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2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989"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30"/>
        <w:gridCol w:w="3344"/>
        <w:gridCol w:w="632"/>
        <w:gridCol w:w="538"/>
        <w:gridCol w:w="540"/>
        <w:gridCol w:w="797"/>
        <w:gridCol w:w="449"/>
        <w:gridCol w:w="465"/>
        <w:gridCol w:w="3778"/>
      </w:tblGrid>
      <w:tr>
        <w:trPr>
          <w:tblHeader w:val="true"/>
          <w:trHeight w:val="348" w:hRule="atLeast"/>
          <w:cantSplit w:val="true"/>
        </w:trPr>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9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79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30"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79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91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287"/>
        <w:gridCol w:w="630"/>
        <w:gridCol w:w="538"/>
        <w:gridCol w:w="542"/>
        <w:gridCol w:w="855"/>
        <w:gridCol w:w="450"/>
        <w:gridCol w:w="405"/>
        <w:gridCol w:w="3777"/>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87"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5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7"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br/>
              <w:t>9.3 – ASCENSORES CON MÁQUINAS EN FOSO.</w:t>
            </w:r>
          </w:p>
          <w:p>
            <w:pPr>
              <w:pStyle w:val="Normal"/>
              <w:widowControl w:val="false"/>
              <w:suppressAutoHyphens w:val="true"/>
              <w:spacing w:before="0" w:after="0"/>
              <w:ind w:hanging="0"/>
              <w:jc w:val="left"/>
              <w:rPr/>
            </w:pPr>
            <w:r>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287"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080" w:type="dxa"/>
            <w:gridSpan w:val="2"/>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 xml:space="preserve">9.4 – MAQUINARIA FUERA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287"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7"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28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80"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855"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7"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3"/>
        <w:gridCol w:w="3331"/>
        <w:gridCol w:w="632"/>
        <w:gridCol w:w="538"/>
        <w:gridCol w:w="586"/>
        <w:gridCol w:w="839"/>
        <w:gridCol w:w="452"/>
        <w:gridCol w:w="450"/>
        <w:gridCol w:w="3702"/>
      </w:tblGrid>
      <w:tr>
        <w:trPr>
          <w:tblHeader w:val="true"/>
          <w:trHeight w:val="330" w:hRule="atLeast"/>
          <w:cantSplit w:val="true"/>
        </w:trPr>
        <w:tc>
          <w:tcPr>
            <w:tcW w:w="64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12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2"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4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8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4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4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33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4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4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4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124"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902"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0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643"/>
        <w:gridCol w:w="3331"/>
        <w:gridCol w:w="632"/>
        <w:gridCol w:w="538"/>
        <w:gridCol w:w="540"/>
        <w:gridCol w:w="810"/>
        <w:gridCol w:w="452"/>
        <w:gridCol w:w="449"/>
        <w:gridCol w:w="3778"/>
      </w:tblGrid>
      <w:tr>
        <w:trPr>
          <w:tblHeader w:val="true"/>
          <w:trHeight w:val="416" w:hRule="atLeast"/>
          <w:cantSplit w:val="true"/>
        </w:trPr>
        <w:tc>
          <w:tcPr>
            <w:tcW w:w="64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2"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2"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2"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43"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30"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6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2"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1078"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901" w:type="dxa"/>
            <w:gridSpan w:val="2"/>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tru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Application>LibreOffice/7.4.7.2$Linux_X86_64 LibreOffice_project/40$Build-2</Application>
  <AppVersion>15.0000</AppVersion>
  <Pages>28</Pages>
  <Words>7608</Words>
  <Characters>45970</Characters>
  <CharactersWithSpaces>51714</CharactersWithSpaces>
  <Paragraphs>2039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2024-07-08T15:08:28Z</dcterms:modified>
  <cp:revision>14</cp:revision>
  <dc:subject/>
  <dc:title>ESTATUTO SOCIAL</dc:title>
</cp:coreProperties>
</file>

<file path=docProps/custom.xml><?xml version="1.0" encoding="utf-8"?>
<Properties xmlns="http://schemas.openxmlformats.org/officeDocument/2006/custom-properties" xmlns:vt="http://schemas.openxmlformats.org/officeDocument/2006/docPropsVTypes"/>
</file>