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1701" w:right="1701" w:gutter="0" w:header="0" w:top="907" w:footer="0" w:bottom="1418"/>
          <w:pgNumType w:fmt="decimal"/>
          <w:formProt w:val="false"/>
          <w:textDirection w:val="lrTb"/>
          <w:docGrid w:type="default" w:linePitch="312" w:charSpace="1638"/>
        </w:sectPr>
        <w:pStyle w:val="Normal"/>
        <w:spacing w:before="60" w:after="60"/>
        <w:ind w:hanging="0"/>
        <w:rPr>
          <w:rFonts w:cs="Arial"/>
          <w:b/>
          <w:b/>
        </w:rPr>
      </w:pPr>
      <w:r>
        <w:rPr>
          <w:rFonts w:cs="Arial"/>
          <w:b/>
        </w:rPr>
      </w:r>
    </w:p>
    <w:tbl>
      <w:tblPr>
        <w:tblStyle w:val="Tablaconcuadrcula"/>
        <w:tblW w:w="11355" w:type="dxa"/>
        <w:jc w:val="left"/>
        <w:tblInd w:w="-1153" w:type="dxa"/>
        <w:tblLayout w:type="fixed"/>
        <w:tblCellMar>
          <w:top w:w="0" w:type="dxa"/>
          <w:left w:w="108" w:type="dxa"/>
          <w:bottom w:w="0" w:type="dxa"/>
          <w:right w:w="108" w:type="dxa"/>
        </w:tblCellMar>
        <w:tblLook w:val="04a0" w:noHBand="0" w:noVBand="1" w:firstColumn="1" w:lastRow="0" w:lastColumn="0" w:firstRow="1"/>
      </w:tblPr>
      <w:tblGrid>
        <w:gridCol w:w="734"/>
        <w:gridCol w:w="3233"/>
        <w:gridCol w:w="716"/>
        <w:gridCol w:w="534"/>
        <w:gridCol w:w="543"/>
        <w:gridCol w:w="824"/>
        <w:gridCol w:w="451"/>
        <w:gridCol w:w="539"/>
        <w:gridCol w:w="3779"/>
      </w:tblGrid>
      <w:tr>
        <w:trPr>
          <w:tblHeader w:val="true"/>
          <w:trHeight w:val="49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3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1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eastAsia="Times New Roman" w:cs="Arial"/>
                <w:b/>
                <w:kern w:val="0"/>
                <w:sz w:val="17"/>
                <w:szCs w:val="17"/>
                <w:lang w:val="es-ES" w:bidi="ar-SA"/>
              </w:rPr>
              <w:t>TIPO DE INSP</w:t>
            </w:r>
            <w:r>
              <w:rPr>
                <w:rFonts w:eastAsia="Times New Roman" w:cs="Arial"/>
                <w:kern w:val="0"/>
                <w:sz w:val="17"/>
                <w:szCs w:val="17"/>
                <w:lang w:val="es-ES" w:bidi="ar-SA"/>
              </w:rPr>
              <w:t>.</w:t>
            </w:r>
          </w:p>
        </w:tc>
        <w:tc>
          <w:tcPr>
            <w:tcW w:w="1077"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5"/>
                <w:szCs w:val="15"/>
              </w:rPr>
            </w:pPr>
            <w:r>
              <w:rPr>
                <w:rFonts w:eastAsia="Times New Roman" w:cs="Arial"/>
                <w:b/>
                <w:kern w:val="0"/>
                <w:sz w:val="15"/>
                <w:szCs w:val="15"/>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5"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c>
          <w:tcPr>
            <w:tcW w:w="71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sz w:val="17"/>
                <w:szCs w:val="17"/>
                <w:lang w:val="es-ES"/>
              </w:rPr>
            </w:pPr>
            <w:r>
              <w:rPr>
                <w:rFonts w:cs="Arial"/>
                <w:sz w:val="17"/>
                <w:szCs w:val="17"/>
                <w:lang w:val="es-ES"/>
              </w:rPr>
            </w:r>
          </w:p>
        </w:tc>
        <w:tc>
          <w:tcPr>
            <w:tcW w:w="53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sz w:val="16"/>
                <w:szCs w:val="16"/>
              </w:rPr>
            </w:pPr>
            <w:r>
              <w:rPr>
                <w:rFonts w:eastAsia="Times New Roman" w:cs="Arial"/>
                <w:b/>
                <w:kern w:val="0"/>
                <w:sz w:val="16"/>
                <w:szCs w:val="16"/>
                <w:lang w:val="es-ES" w:bidi="ar-SA"/>
              </w:rPr>
              <w:t>NO</w:t>
            </w:r>
          </w:p>
        </w:tc>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1" w:hRule="atLeast"/>
          <w:cantSplit w:val="true"/>
        </w:trPr>
        <w:tc>
          <w:tcPr>
            <w:tcW w:w="734" w:type="dxa"/>
            <w:tcBorders>
              <w:top w:val="single" w:sz="4" w:space="0" w:color="1F497D"/>
              <w:left w:val="single" w:sz="4" w:space="0" w:color="1F497D"/>
              <w:bottom w:val="single" w:sz="4" w:space="0" w:color="1F497D"/>
              <w:right w:val="single" w:sz="4" w:space="0" w:color="1F497D"/>
            </w:tcBorders>
          </w:tcPr>
          <w:p>
            <w:pPr>
              <w:pStyle w:val="ListParagraph"/>
              <w:widowControl w:val="false"/>
              <w:numPr>
                <w:ilvl w:val="0"/>
                <w:numId w:val="2"/>
              </w:numPr>
              <w:suppressAutoHyphens w:val="true"/>
              <w:spacing w:before="0" w:after="0"/>
              <w:contextualSpacing/>
              <w:rPr>
                <w:rFonts w:ascii="Calibri" w:hAnsi="Calibri" w:cs="Arial" w:asciiTheme="minorHAnsi" w:hAnsiTheme="minorHAnsi"/>
                <w:b/>
                <w:b/>
              </w:rPr>
            </w:pPr>
            <w:r>
              <w:rPr>
                <w:rFonts w:cs="Arial" w:ascii="Calibri" w:hAnsi="Calibri"/>
                <w:b/>
              </w:rPr>
            </w:r>
          </w:p>
        </w:tc>
        <w:tc>
          <w:tcPr>
            <w:tcW w:w="10619" w:type="dxa"/>
            <w:gridSpan w:val="8"/>
            <w:tcBorders>
              <w:top w:val="single" w:sz="4" w:space="0" w:color="1F497D"/>
              <w:left w:val="single" w:sz="4" w:space="0" w:color="1F497D"/>
              <w:bottom w:val="single" w:sz="4" w:space="0" w:color="1F497D"/>
              <w:right w:val="single" w:sz="4" w:space="0" w:color="1F497D"/>
            </w:tcBorders>
            <w:vAlign w:val="center"/>
          </w:tcPr>
          <w:p>
            <w:pPr>
              <w:pStyle w:val="ListParagraph"/>
              <w:widowControl w:val="false"/>
              <w:numPr>
                <w:ilvl w:val="0"/>
                <w:numId w:val="2"/>
              </w:numPr>
              <w:suppressAutoHyphens w:val="true"/>
              <w:spacing w:before="0" w:after="0"/>
              <w:contextualSpacing/>
              <w:rPr>
                <w:rFonts w:ascii="Calibri" w:hAnsi="Calibri"/>
                <w:b/>
                <w:b/>
                <w:i/>
                <w:i/>
                <w:color w:val="000000"/>
                <w:sz w:val="18"/>
                <w:szCs w:val="18"/>
                <w:lang w:val="es-CL" w:eastAsia="es-CL"/>
              </w:rPr>
            </w:pPr>
            <w:r>
              <w:rPr>
                <w:rFonts w:eastAsia="Times New Roman" w:cs="Arial" w:ascii="Calibri" w:hAnsi="Calibri" w:asciiTheme="minorHAnsi" w:hAnsiTheme="minorHAnsi"/>
                <w:b/>
                <w:kern w:val="0"/>
                <w:sz w:val="20"/>
                <w:szCs w:val="20"/>
                <w:lang w:bidi="ar-SA"/>
              </w:rPr>
              <w:t>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w:t>
            </w:r>
          </w:p>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y cerramiento de caja de elevadores. Resistencia y superficie materiales, altura cerramientos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y estados de cerramientos dela caja de elevadores no reglamentarios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o agujeros peligrosos en 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las paredes del cerramiento de la caja de elevadores insuficiente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Aristas peligrosas en el cerramiento de la caja de elevadores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1.2</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Existencia y características de aberturas, huecos y orificios reglamentarios para accesos, ventilación, mantenimiento o inspección, evacuación de humos y gases, socorro de pasajeros y entre la caja de elevadores y cuarto de máquinas (o poleas).</w:t>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rPr>
                <w:rFonts w:ascii="Calibri" w:hAnsi="Calibri" w:cs="Arial" w:asciiTheme="minorHAnsi" w:hAnsiTheme="minorHAnsi"/>
                <w:lang w:val="es-ES"/>
              </w:rPr>
            </w:pPr>
            <w:r>
              <w:rPr>
                <w:rFonts w:cs="Arial" w:ascii="Calibri" w:hAnsi="Calibri"/>
                <w:lang w:val="es-ES"/>
              </w:rPr>
            </w:r>
          </w:p>
          <w:p>
            <w:pPr>
              <w:pStyle w:val="Normal"/>
              <w:widowControl w:val="false"/>
              <w:suppressAutoHyphens w:val="true"/>
              <w:spacing w:before="60" w:after="60"/>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trampillas y aberturas de caja de elevadores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Inexistente sin mitigación GRUPO II</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Deshabilitada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los dispositivos eléctricos de seguridad de aperturas en puertas/trampillas del cerramiento de la caja de elevadores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1.2.3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no reglamentarias en puertas / trampillas de la caja de elevadores.</w:t>
            </w:r>
          </w:p>
        </w:tc>
      </w:tr>
      <w:tr>
        <w:trPr>
          <w:trHeight w:val="662"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Cerraduras inexistentes en puertas / trampillas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1.3</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Comprobación conjunto puerta de piso – pared, en toda la altura de la caja de elevadores, cumple el reglamento de aplicación</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Conjunto de paredes y puertas de piso frente entradas a cabina, no reglamentario.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1.4</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Times New Roman" w:ascii="Calibri" w:hAnsi="Calibri"/>
                <w:i/>
                <w:color w:val="000000"/>
                <w:kern w:val="0"/>
                <w:sz w:val="18"/>
                <w:szCs w:val="18"/>
                <w:lang w:val="es-CL" w:eastAsia="es-CL" w:bidi="ar-SA"/>
              </w:rPr>
              <w:t>Existencia pilares en suelo firme bajo los amortiguadores del contrapeso o paracaídas en contrapeso ( para ascensores eléctricos en cajas de elevadores situados encima lugar accesible o transitado por personas)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Contrapeso sobre locales accesibles, sin paracaídas o pilar.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1.6</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y separación entre partes móviles, para cajas de elevadores conteniendo varios ascensores.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1.6.1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Varios ascensores en una misma caja de elevadores con protección de características no reglamentarias.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1.7</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filtraciones de agua y/o humedad que  puedan provocar oxidaciones o deterioro.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1.7.1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Filtraciones de agua/ humedades en foso/ caja de elevadores sin medidas de mitigación cuando corresponda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1.8</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materiales extraños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1.8.1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en la caja de elevadores materiales ajenos al servicio del ascensor.</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1.9</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eficacia del interruptor de parada de emergencia, de iluminación y toma de corriente en 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Interruptor  de parada de emergencia en foso inexistente, no reglamentario o no accesible.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reglamentaria toma de corriente en foso.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1.9.3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No existe  o no es reglamentario el interruptor de alumbrado en foso.</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1.10</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Disponibilidad de medios permanentes que permiten el acceso al foso sin riesgo.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1.10.1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medios de acceso seguro al foso.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233"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eficacia y características de iluminación artificial de la caja de elevadores  y del foso.</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 insuficiente ( especificar: lámparas fundidas, separadas a  más distancia de la reglamentaria, …)</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33"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jc w:val="left"/>
              <w:rPr>
                <w:rFonts w:ascii="Calibri" w:hAnsi="Calibri" w:cs="Arial" w:asciiTheme="minorHAnsi" w:hAnsiTheme="minorHAnsi"/>
                <w:lang w:val="es-ES"/>
              </w:rPr>
            </w:pPr>
            <w:r>
              <w:rPr>
                <w:rFonts w:cs="Arial" w:ascii="Calibri" w:hAnsi="Calibri"/>
                <w:lang w:val="es-ES"/>
              </w:rPr>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la caja de elevadores.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en caja de elevadores de canalizaciones, instalaciones u órganos ajenos al servicio del ascensor.</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ES" w:eastAsia="es-CL" w:bidi="ar-SA"/>
              </w:rPr>
              <w:t>Existencia en caja de elevadores de instalaciones.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1.13</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recorridos libres de seguridad  mínimos, tanto arriba como abajo de la cabina o del contrapeso (o de la existencia y adecuación a las medidas complementarias autorizadas)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Recorrido de seguridad no reglamentario o incumplimiento en las medidas complementarias autorizadas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1.14</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Cables viajeros y los cables o cadenas de compensación se enganchen con elementos dentro de la caja.</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enganche si mitigación.</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1.15</w:t>
            </w:r>
          </w:p>
        </w:tc>
        <w:tc>
          <w:tcPr>
            <w:tcW w:w="323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1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p>
      <w:pPr>
        <w:pStyle w:val="Normal"/>
        <w:ind w:hanging="0"/>
        <w:rPr/>
      </w:pPr>
      <w:r>
        <w:rPr/>
      </w:r>
    </w:p>
    <w:p>
      <w:pPr>
        <w:pStyle w:val="Normal"/>
        <w:ind w:hanging="0"/>
        <w:rPr/>
      </w:pPr>
      <w:r>
        <w:rPr/>
      </w:r>
    </w:p>
    <w:p>
      <w:pPr>
        <w:pStyle w:val="Normal"/>
        <w:ind w:hanging="0"/>
        <w:rPr/>
      </w:pPr>
      <w:r>
        <w:rPr/>
      </w:r>
    </w:p>
    <w:tbl>
      <w:tblPr>
        <w:tblStyle w:val="Tablaconcuadrcula"/>
        <w:tblW w:w="11355" w:type="dxa"/>
        <w:jc w:val="left"/>
        <w:tblInd w:w="-1168" w:type="dxa"/>
        <w:tblLayout w:type="fixed"/>
        <w:tblCellMar>
          <w:top w:w="0" w:type="dxa"/>
          <w:left w:w="108" w:type="dxa"/>
          <w:bottom w:w="0" w:type="dxa"/>
          <w:right w:w="108" w:type="dxa"/>
        </w:tblCellMar>
        <w:tblLook w:val="04a0" w:noHBand="0" w:noVBand="1" w:firstColumn="1" w:lastRow="0" w:lastColumn="0" w:firstRow="1"/>
      </w:tblPr>
      <w:tblGrid>
        <w:gridCol w:w="734"/>
        <w:gridCol w:w="3420"/>
        <w:gridCol w:w="613"/>
        <w:gridCol w:w="450"/>
        <w:gridCol w:w="558"/>
        <w:gridCol w:w="809"/>
        <w:gridCol w:w="451"/>
        <w:gridCol w:w="539"/>
        <w:gridCol w:w="3779"/>
      </w:tblGrid>
      <w:tr>
        <w:trPr>
          <w:tblHeader w:val="true"/>
          <w:trHeight w:val="340" w:hRule="atLeast"/>
          <w:cantSplit w:val="true"/>
        </w:trPr>
        <w:tc>
          <w:tcPr>
            <w:tcW w:w="73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13"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08"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3"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13"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5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3" w:hRule="atLeast"/>
          <w:cantSplit w:val="true"/>
        </w:trPr>
        <w:tc>
          <w:tcPr>
            <w:tcW w:w="73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19"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2.- ESPACIO DE MÁQUINAS Y POLEAS (para ascensores sin cuarto de máquinas aplica cláusula 9)</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de sala de máquinas y/o poleas. Dimensiones y características cerramientos y accesos. Uso exclusivo personal autorizado</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Sala de máquinas o de poleas no reservado sólo a personal autorizado.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Sala de máquinas o de poleas no cerrados totalmente.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de cerramiento de la sala de máquinas o de poleas, inadecuada.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Espacio insuficiente frente a cuadros eléctricos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mínima insuficiente para mantenimiento, inspección o rescate junto a máquina.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Ancho inadecuado en pasillos de acceso a espacios de seguridad en sala de máquinas/poleas.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libre de circulación y/o zonas de trabajo inadecuada.</w:t>
            </w:r>
          </w:p>
        </w:tc>
      </w:tr>
      <w:tr>
        <w:trPr>
          <w:trHeight w:val="404" w:hRule="atLeast"/>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2.1.8</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Faltan protecciones o barandillas para protección de desniveles superiores a 0,5 m.</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2.1.9</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Canalizaciones hidráulicas y eléctricas hasta sala de máquinas no instaladas en conductos adecuados o con acoplamientos o empalmes en su interior.</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2.1.10</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Suelo sala de máquinas / poleas no antideslizante o en mal estado.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Acceso a tejado / otras dependencias se realiza a través del cuarto de máquinas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i/>
                <w:kern w:val="0"/>
                <w:sz w:val="18"/>
                <w:szCs w:val="18"/>
                <w:lang w:val="es-ES" w:bidi="ar-SA"/>
              </w:rPr>
              <w:t>Condiciones de los accesos a las salas de máquinas y/o poleas (iluminación, paso por otros locales, seguridad)</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de accesos a sala de máquinas o de poleas inadecuada.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a través de locales privados con acceso no garantizado durante horarios de funcionamiento.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w:t>
            </w:r>
            <w:r>
              <w:rPr>
                <w:rFonts w:eastAsia="Times New Roman" w:cs="Times New Roman" w:ascii="Calibri" w:hAnsi="Calibri"/>
                <w:i/>
                <w:color w:val="000000"/>
                <w:kern w:val="0"/>
                <w:sz w:val="18"/>
                <w:szCs w:val="18"/>
                <w:lang w:val="es-CL" w:eastAsia="es-CL" w:bidi="ar-SA"/>
              </w:rPr>
              <w:t>ccesos a sala de máquinas o de poleas por escaleras o escalas no adecuadas e inseguras.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i/>
                <w:i/>
                <w:color w:val="000000"/>
                <w:sz w:val="18"/>
                <w:szCs w:val="18"/>
                <w:lang w:val="es-ES" w:eastAsia="es-CL"/>
              </w:rPr>
            </w:pPr>
            <w:r>
              <w:rPr>
                <w:rFonts w:eastAsia="Times New Roman" w:cs="Times New Roman" w:ascii="Calibri" w:hAnsi="Calibri"/>
                <w:i/>
                <w:color w:val="000000"/>
                <w:kern w:val="0"/>
                <w:sz w:val="18"/>
                <w:szCs w:val="18"/>
                <w:lang w:val="es-CL" w:eastAsia="es-CL" w:bidi="ar-SA"/>
              </w:rPr>
              <w:t>El suelo de los  accesos a sala de máquinas o de poleas con riesgo de resbalamiento o caída.</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acceso seguro (pasarelas y barandillas) a sala de máquinas/ poleas situados en azoteas inundables.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2.2.6</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Falta de asideros en la parte superior de escaleras inclinadas para acceso sala de máquinas/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2.2.7</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Medios de acceso a sala de máquina a sala de máquinas o de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Características de puertas trampillas de acceso a la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puertas /trampillas de acceso a sala de máquinas / poleas (especificar: materiales, dimensiones, resistencia) no reglamentarias.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2.3.2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o trampillas de acceso a sala de máquinas / poleas con riesgo (especificar: puerta con apertura hacia abajo, trampilla sin protección contra caídas)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Cerraduras de puertas o trampillas de acceso a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de puertas /trampillas de acceso sala de máquinas / poleas, no reglamentarias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legibilidad rótulos en puertas de acceso a la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es legible rótulo en puerta / trampilla de acceso a sala de máquinas/ poleas (especificar tipo de rótulo)</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soporte en techo sala de  máquinas y poleas para maniobras con material pesado (con cartel indicador carga máxima prevista, si procede)</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defecto en gancho para  soporte de carga en techo espacio de máquinas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2.6.2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o no legible cartel indicador de carga máx. en soporte techo espacio de máquinas / poleas.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Dimensiones y protección de aberturas sobre la caja de elevadores en losa de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2.7.1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Características inadecuadas de aberturas y protecciones pasacables  en losa de sala de máquinas /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Protección entrada de humedad, polvo, agua de lluvia y animales.</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Ventilación  y temperatura.</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Ventilación de sala de máquinas / poleas inexistentes o inadecuadas.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polvo, animales o temperaturas excesivas en sala de máquinas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2.8.3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humedad / filtraciones en sala de máquinas/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2.9</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Iluminación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inexistente.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Alumbrado de la sala de máquinas / poleas de características no adecuadas.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Interruptor de alumbrado de la sala máquinas / poleas no accesible desde la entrada al área de trabajo.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2.9.3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Luz de emergencia inexistente o de características no adecuadas.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2.10</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Toma de corriente en salas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2.10.1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Tomas de corriente de la sala de máquinas  o de poleas  inexistentes o en condiciones inadecuadas.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Tomas de corriente de la sala de máquinas o de poleas con riesgo eléctrico (especificar)</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2.11</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materiales ajenos almacenados en sala de máquinas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Existencia de materiales ajenos almacenados en sala de máquinas / poleas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Inexistencia canalizaciones o instalaciones ajenas en sala de máquina y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2.12.2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canalizaciones / instalaciones ajenas al servicio del ascensor en la sala de máquinas / poleas que interfieran o pongan en riesgo su funcionamiento y no cuenten con medidas de mitigación adecuadas, según GRUPOS 2 y 3.</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ubicación interruptor de parada de emergencia en la sala de poleas.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(especificar) el interruptor de parada de emergencia en sala de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halla correctamente ubicado el interruptor de parada de emergencia en sala de poleas.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características y actuación de la protección diferencial y magnetotérmica para cada ascensor en sala de máquinas.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Magnetotérmico de fuerza no bloqueable.</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Protecciones eléctricas no adecuadas / no funcionan correctamente (especificar)</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están identificados individualmente los cuadros eléctricos de cada ascensor en la sala de máquinas.</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diferencial.</w:t>
            </w:r>
          </w:p>
        </w:tc>
      </w:tr>
      <w:tr>
        <w:trPr>
          <w:cantSplit w:val="true"/>
        </w:trPr>
        <w:tc>
          <w:tcPr>
            <w:tcW w:w="73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cs="Arial" w:ascii="Calibri" w:hAnsi="Calibri"/>
                <w:i/>
                <w:sz w:val="18"/>
                <w:szCs w:val="18"/>
                <w:lang w:val="es-ES"/>
              </w:rPr>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2.14.5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No se encuentran protecciones magnéticas dentro de sala de máquinas.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Grietas en losa de sala de máquinas.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Grietas en losas de sala de máquinas.</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2.16</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Gabinetes de control están apernados o soldados a la base de soporte o muro de la sala de máquina.</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2.16.1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Fijación de gabinetes de control deficiente.</w:t>
            </w:r>
          </w:p>
        </w:tc>
      </w:tr>
      <w:tr>
        <w:trPr>
          <w:cantSplit w:val="true"/>
        </w:trPr>
        <w:tc>
          <w:tcPr>
            <w:tcW w:w="73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2.17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Otros defectos.</w:t>
            </w:r>
          </w:p>
        </w:tc>
        <w:tc>
          <w:tcPr>
            <w:tcW w:w="61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5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2.17.1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3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(Especificar).</w:t>
            </w:r>
          </w:p>
        </w:tc>
      </w:tr>
    </w:tbl>
    <w:p>
      <w:pPr>
        <w:pStyle w:val="Normal"/>
        <w:ind w:hanging="0"/>
        <w:rPr/>
      </w:pPr>
      <w:r>
        <w:rPr/>
      </w:r>
    </w:p>
    <w:tbl>
      <w:tblPr>
        <w:tblStyle w:val="Tablaconcuadrcula"/>
        <w:tblW w:w="11265"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45"/>
        <w:gridCol w:w="3420"/>
        <w:gridCol w:w="720"/>
        <w:gridCol w:w="449"/>
        <w:gridCol w:w="496"/>
        <w:gridCol w:w="839"/>
        <w:gridCol w:w="451"/>
        <w:gridCol w:w="464"/>
        <w:gridCol w:w="3779"/>
      </w:tblGrid>
      <w:tr>
        <w:trPr>
          <w:tblHeader w:val="true"/>
          <w:trHeight w:val="394"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4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5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49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04" w:hRule="atLeast"/>
          <w:cantSplit w:val="true"/>
        </w:trPr>
        <w:tc>
          <w:tcPr>
            <w:tcW w:w="11263" w:type="dxa"/>
            <w:gridSpan w:val="9"/>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3.- PUERTA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Existencia y características de las puertas de todas las aberturas que dan al recinto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Arial" w:ascii="Calibri" w:hAnsi="Calibri" w:asciiTheme="minorHAnsi" w:hAnsiTheme="minorHAnsi"/>
                <w:i/>
                <w:kern w:val="0"/>
                <w:sz w:val="20"/>
                <w:szCs w:val="20"/>
                <w:lang w:val="es-ES" w:bidi="ar-SA"/>
              </w:rPr>
              <w:t>Puertas de piso de dimensiones no reglamentarias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Puertas de piso de características o materiales inadecuados.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Existencia de aristas sin achaflanar o riesgo de atrapamiento de ropas en bisagras de las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físico de las puertas de piso (robustez paneles, bisagras y guías, carriles y sistemas de suspensión en puertas  automáticas).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robustez de los paneles de las puertas de piso o de sus bisagras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con rozamientos leves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guiado superior o inferior defectuoso, impidiendo su apertura o cierre correctamente.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piso con bisagras rotas o desprendidas.</w:t>
            </w:r>
          </w:p>
        </w:tc>
      </w:tr>
      <w:tr>
        <w:trPr>
          <w:trHeight w:val="404"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Puertas de piso batientes con mecanismo de cierre defectuoso.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3.2.6</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sin falta de material y sin pérdida de robustez.</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leve de material o falta de robustez.</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de paneles y marcos en puertas de piso con corrosión que provoca falta  de material  importante, que permite la introducción de algún objeto.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3.2.7</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Puertas de cristal con defecto de fijación, características y/ o protección.</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3.2.8</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de cristal no comprobable (sin rotulación ni documento de respaldo).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Solides fijación marcos de puertas de piso a la pared.</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de los marcos de puerta de piso con desplazamiento.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3.3.2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Riesgo de desprendimiento y holgura excesiva de los marcos de las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y características de las mirillas (material, fijación, holgura y desperfectos)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inadecuadas en su forma, materiales o dimensiones, con leves holguras (menor que 5mm) o rotura sin riesgo de desprendimiento.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3.4.2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Mirillas de puertas de piso con fijaciones defectuosas.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de puertas de piso sin cristal o con falta de material que  permita la introducción de cualquier objeto.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presencia de cabina desde el acceso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la señal luminosa de la cabina.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3.6</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fijación y características reglamentarias de las cerraduras.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inadecuada de las cerraduras de las puertas de piso (con riesgo inminente para correcto funcionamiento y seguridad del aparato)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acceso a contactos eléctricos de las cerraduras desde la cabina o desde el exterior con puerta cerrada.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Cerradura puerta acceso cabina no reglamentaria en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3.6.5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fijación de la protección de cerraduras de puertas acceso cabina no adecuado.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Control de enclavamiento y cierre de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3.7.1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Posibilidad de apertura de puerta de piso (especificar) con el ascensor en funcionamiento.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Riesgo de derivación a masa y falta de aislamiento de los contactos eléctricos de cerraduras o de sus conexiones.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Riesgo de derivación a masa de contactos eléctricos o conexiones en cerraduras de puertas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3.8.2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Estado defectuoso del aislamiento entre conductores y elementos eléctricos en cerraduras de puertas.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3.9</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iluminación natural o artificial en rellano próxima a puerta de piso para apreciar presencia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3.9.1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acceso deficiente o inexistente, próximo a puertas de piso.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3.10</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Correcto funcionamiento del enclavamiento mecánico y eléctrico de las cerraduras.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Fallo de enclavamientos de cerradura de puertas de piso (permitiendo el movimiento de la cabina).</w:t>
            </w:r>
          </w:p>
        </w:tc>
      </w:tr>
      <w:tr>
        <w:trPr>
          <w:trHeight w:val="475"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Posibilidad de manipulación de las cerraduras desde el exterior en caja de elevadores abierta.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Parada del ascensor al tirar de alguna puerta.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3.10.4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Unión indirecta sin segundo contacto eléctrico de cierre.</w:t>
            </w:r>
          </w:p>
        </w:tc>
      </w:tr>
      <w:tr>
        <w:trPr>
          <w:cantSplit w:val="true"/>
        </w:trPr>
        <w:tc>
          <w:tcPr>
            <w:tcW w:w="645"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3.11</w:t>
            </w:r>
          </w:p>
        </w:tc>
        <w:tc>
          <w:tcPr>
            <w:tcW w:w="3420"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desenclavamiento de emergencia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Las puertas de piso se pueden abrir sin llave especial (desenclavamiento de emergencia fácilmente manipulable).</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Accionamiento desenclavamiento de emergencia puertas de piso no provoca detención del ascensor.</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llave de emergencia o no funciona correctamente el desenclavamiento de emergencia.</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rotulación en la llave de emergencia.</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desenclavamiento de emergencia de puerta de piso.</w:t>
            </w:r>
          </w:p>
        </w:tc>
      </w:tr>
      <w:tr>
        <w:trPr>
          <w:cantSplit w:val="true"/>
        </w:trPr>
        <w:tc>
          <w:tcPr>
            <w:tcW w:w="645"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3.11.6</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Desenclavamiento de emergencia de puerta de piso no reglamentario.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Cierre de las puertas mediante otras llaves, cerraduras o cerrojos (sin llave) que impida la normal evacuación de los pasajeros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otras cerraduras o cerrojos para el cierre de las puertas de piso que impiden evacuación normal de los pasajeros.</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Cumplimiento distancias en zona desenclavamiento de cerraduras de puertas de piso.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DI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Distancia de zona de desenclavamiento de cerraduras de puertas de piso no reglamentaria.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3.14</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Contactos de seguridad obligatorios para presencia y enclavamiento asegurando la apertura obligatoria de la serie eléctrica de seguridad, en caso de que la puerta no se encuentre totalmente cerrada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 FU</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es del tipo apertura obligatoria (puente eléctrico)</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3.15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szCs w:val="16"/>
              </w:rPr>
            </w:pPr>
            <w:r>
              <w:rPr>
                <w:rFonts w:eastAsia="Times New Roman" w:cs="Times New Roman"/>
                <w:kern w:val="0"/>
                <w:sz w:val="16"/>
                <w:szCs w:val="16"/>
                <w:lang w:bidi="ar-SA"/>
              </w:rPr>
              <w:t>VI</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3.15.1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ind w:hanging="0"/>
        <w:rPr/>
      </w:pPr>
      <w:r>
        <w:rPr/>
      </w:r>
    </w:p>
    <w:p>
      <w:pPr>
        <w:pStyle w:val="Normal"/>
        <w:ind w:hanging="0"/>
        <w:rPr/>
      </w:pPr>
      <w:r>
        <w:rPr/>
      </w:r>
    </w:p>
    <w:p>
      <w:pPr>
        <w:pStyle w:val="Normal"/>
        <w:ind w:hanging="0"/>
        <w:rPr/>
      </w:pPr>
      <w:r>
        <w:rPr/>
      </w:r>
    </w:p>
    <w:tbl>
      <w:tblPr>
        <w:tblStyle w:val="Tablaconcuadrcula"/>
        <w:tblW w:w="11250" w:type="dxa"/>
        <w:jc w:val="left"/>
        <w:tblInd w:w="-1078" w:type="dxa"/>
        <w:tblLayout w:type="fixed"/>
        <w:tblCellMar>
          <w:top w:w="0" w:type="dxa"/>
          <w:left w:w="108" w:type="dxa"/>
          <w:bottom w:w="0" w:type="dxa"/>
          <w:right w:w="108" w:type="dxa"/>
        </w:tblCellMar>
        <w:tblLook w:val="04a0" w:noHBand="0" w:noVBand="1" w:firstColumn="1" w:lastRow="0" w:lastColumn="0" w:firstRow="1"/>
      </w:tblPr>
      <w:tblGrid>
        <w:gridCol w:w="644"/>
        <w:gridCol w:w="3420"/>
        <w:gridCol w:w="720"/>
        <w:gridCol w:w="450"/>
        <w:gridCol w:w="495"/>
        <w:gridCol w:w="841"/>
        <w:gridCol w:w="450"/>
        <w:gridCol w:w="464"/>
        <w:gridCol w:w="3764"/>
      </w:tblGrid>
      <w:tr>
        <w:trPr>
          <w:tblHeader w:val="true"/>
          <w:trHeight w:val="415" w:hRule="atLeast"/>
          <w:cantSplit w:val="true"/>
        </w:trPr>
        <w:tc>
          <w:tcPr>
            <w:tcW w:w="64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4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left"/>
              <w:rPr>
                <w:rFonts w:cs="Arial"/>
                <w:b/>
                <w:b/>
                <w:sz w:val="17"/>
                <w:szCs w:val="17"/>
                <w:lang w:val="es-ES"/>
              </w:rPr>
            </w:pPr>
            <w:r>
              <w:rPr>
                <w:rFonts w:cs="Arial"/>
                <w:b/>
                <w:sz w:val="17"/>
                <w:szCs w:val="17"/>
                <w:lang w:val="es-ES"/>
              </w:rPr>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4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4" w:hRule="atLeast"/>
          <w:cantSplit w:val="true"/>
        </w:trPr>
        <w:tc>
          <w:tcPr>
            <w:tcW w:w="64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49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4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6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27" w:hRule="atLeast"/>
          <w:cantSplit w:val="true"/>
        </w:trPr>
        <w:tc>
          <w:tcPr>
            <w:tcW w:w="64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rPr>
            </w:pPr>
            <w:r>
              <w:rPr>
                <w:rFonts w:cs="Arial" w:ascii="Calibri" w:hAnsi="Calibri"/>
                <w:b/>
              </w:rPr>
            </w:r>
          </w:p>
        </w:tc>
        <w:tc>
          <w:tcPr>
            <w:tcW w:w="1060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bidi="ar-SA"/>
              </w:rPr>
              <w:t>4</w:t>
            </w:r>
            <w:r>
              <w:rPr>
                <w:rFonts w:eastAsia="Times New Roman" w:cs="Arial" w:ascii="Calibri" w:hAnsi="Calibri" w:asciiTheme="minorHAnsi" w:hAnsiTheme="minorHAnsi"/>
                <w:b/>
                <w:kern w:val="0"/>
                <w:sz w:val="20"/>
                <w:szCs w:val="20"/>
                <w:lang w:val="es-ES" w:bidi="ar-SA"/>
              </w:rPr>
              <w:t>.- CABINA, CONTRAPESO Y MASA DE EQUILIBRIO</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Verificación características constructivas cabina (bastidor, techo, aberturas, material cerramie</w:t>
            </w:r>
          </w:p>
          <w:p>
            <w:pPr>
              <w:pStyle w:val="Normal"/>
              <w:widowControl w:val="false"/>
              <w:suppressAutoHyphens w:val="true"/>
              <w:spacing w:before="0" w:after="0"/>
              <w:ind w:hanging="0"/>
              <w:jc w:val="left"/>
              <w:rPr>
                <w:rFonts w:ascii="Calibri" w:hAnsi="Calibri" w:cs="Arial" w:asciiTheme="minorHAnsi" w:hAnsiTheme="minorHAnsi"/>
                <w:i/>
                <w:i/>
                <w:sz w:val="18"/>
                <w:szCs w:val="18"/>
                <w:lang w:val="es-ES"/>
              </w:rPr>
            </w:pPr>
            <w:r>
              <w:rPr>
                <w:rFonts w:eastAsia="Times New Roman" w:cs="Arial" w:ascii="Calibri" w:hAnsi="Calibri" w:asciiTheme="minorHAnsi" w:hAnsiTheme="minorHAnsi"/>
                <w:i/>
                <w:kern w:val="0"/>
                <w:sz w:val="18"/>
                <w:szCs w:val="18"/>
                <w:lang w:val="es-ES" w:bidi="ar-SA"/>
              </w:rPr>
              <w:t>ntos y dimensiones)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Paredes, techo y estructura de piso de cabina no reglamentario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Techo de cabina sin resistencia suficiente.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Aberturas de cabina no reglamentarias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Altura interior de cabina no reglamentaria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Dimensiones de acceso a cabina no reglamentarias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para ascensores según GRUPOS 2y3.Superficie útil de cabina mayor a reglamentarias.</w:t>
            </w:r>
          </w:p>
        </w:tc>
      </w:tr>
      <w:tr>
        <w:trPr>
          <w:trHeight w:val="404" w:hRule="atLeast"/>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Superficie útil de cabina mayor a reglamentarias  según GRUPOS 1, sin pesacargas.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de cristal de cabina no laminados o sin lámina de seguridad.</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4.1.9</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paneles de cristal de cabina no adecuadas.</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4.2</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Estado de conservación y de seguridad de la cabina y el bastidor (inexistencia de corrosión, perforaciones, deformaciones, uniones desoladas o con mala fijación, ni oxidación generalizada)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leves / oxidación localizada en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 modificaciones debilitantes en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fijados(sin riesgo de desprendimiento)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Paneles en cabina mal fijados(con riesgo de desprendimiento)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Resistencia insuficiente de suelo, techo y paredes (deformación excesiva, rotura o materiales no reglamentarios)(especificar)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Fijación insegura (en cabina autoportante) o suelo inestable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4.2.6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placas de retención.</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4.3</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características y funcionamiento de los dispositivos en techo de cabina (maniobra de inspección y toma de corriente)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conmutador de maniobra normal / inspección sobre el techo de cabina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pulsadores de maniobra para inspección sobre el techo de cabina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en dispositivo de parada sobre el techo de cabina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inexistencia o no disponibilidad permanente de toma de corriente adecuada sobre el techo de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4.3.5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sistema de coordinación de las dos estaciones de maniobra de inspección no funciona correctamente (especificar)</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Existencia y características (material, estado, resistencia, fijación y holguras) de las puertas  en todas las entradas a la cabina y de sus dispositivo de cierre.</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interior de cabina no se determina la posición del recorrido (N° de Planta)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Puerta de cabina en mal estado de conservación (especificar)</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Holguras excesivas entre puertas de cabina o entre puertas y umbral de cabina.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en puertas de cabina deterioradas o no reglamentarias.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puertas de cabina (siendo reglamentario)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Mirillas rotas y con posibilidad de introducir objetos.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inexistente o inoperante.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sz w:val="18"/>
                <w:szCs w:val="18"/>
                <w:lang w:val="es-ES"/>
              </w:rPr>
            </w:pPr>
            <w:r>
              <w:rPr>
                <w:rFonts w:cs="Arial" w:ascii="Calibri" w:hAnsi="Calibri"/>
                <w:sz w:val="18"/>
                <w:szCs w:val="18"/>
                <w:lang w:val="es-ES"/>
              </w:rPr>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CL" w:eastAsia="es-CL" w:bidi="ar-SA"/>
              </w:rPr>
              <w:t>Dispositivos de protección (sensor de haces múltiples) cierre de puertas automáticas funcionamiento parcial o fotocélula (haz de luz simple).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4.4.8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o no funcionan las medidas de seguridad compensatorias en caso de ascensores sin puerta de cabina (especificar)</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4.5</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enclavamiento y dispositivos control de cierre de puertas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Dispositivo enclavamiento y control de cierre puertas de cabina no funciona correctamente (el ascensor funciona con puertas abiertas)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b/>
                <w:b/>
                <w:color w:val="000000"/>
                <w:sz w:val="18"/>
                <w:szCs w:val="18"/>
                <w:lang w:val="es-CL" w:eastAsia="es-CL"/>
              </w:rPr>
            </w:pPr>
            <w:r>
              <w:rPr>
                <w:rFonts w:eastAsia="Times New Roman" w:cs="Times New Roman" w:ascii="Calibri" w:hAnsi="Calibri"/>
                <w:i/>
                <w:color w:val="000000"/>
                <w:kern w:val="0"/>
                <w:sz w:val="18"/>
                <w:szCs w:val="18"/>
                <w:lang w:val="es-CL" w:eastAsia="es-CL" w:bidi="ar-SA"/>
              </w:rPr>
              <w:t>Contacto de seguridad no reglamentario.</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4.6</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Existencia y características de ventilación </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 Inadecuada ventilación en cabina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4.7</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dispositivo de parada en el interior de la cabina (salvo ascensores autorizados sin puertas en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dispositivo de parada en el interior de cabina</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4.8</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del alumbrado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en cabina inferior al mínimo exigido.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Elementos de iluminación de cabina defectuosos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Ascensores con puertas de piso manuales sin iluminación permanente.</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4.9</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de iluminación de emergencia en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funcionamiento defectuoso en iluminación de emergencia de cabina.</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4.10</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faldón guardapiés.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Guardapiés inexistente o no cumple con las especificaciones establecidas</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4.11</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datos incluidos en placas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de placas en cabina, o con datos requeridos no legibles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4.12</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en techo de cabina (cuando se precisa)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características inadecuadas de la barandilla en techo de cabina y / o sus elementos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4.13</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dispositivo de control de carga.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de control de carga.</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4.14</w:t>
            </w:r>
          </w:p>
        </w:tc>
        <w:tc>
          <w:tcPr>
            <w:tcW w:w="342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Estado de conservación del contrapeso o masa de equilibrado en su conjunto. </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Defecto de guiado del  (falta o rotura de rozaderas o piezas de fijación, desgaste o juego excesivo)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fijación de pesas en el bastidor de contrapeso (guias, varillas, etc.)</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Bastidor de contrapeso o en sus componentes con rotura, deformación, corrosiones u oxidaciones.</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Estado deficiente de las pesas en el bastidor de contrapeso.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placas de retención.</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Inexistencia de protección contra caída de componentes del contrapeso.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42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4.14.7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Peligro inminente de pérdida de elementos de contrapeso o colisión de contrapeso con cabina.</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4.15</w:t>
            </w:r>
          </w:p>
        </w:tc>
        <w:tc>
          <w:tcPr>
            <w:tcW w:w="34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49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4.15.1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6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60"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45"/>
        <w:gridCol w:w="3314"/>
        <w:gridCol w:w="721"/>
        <w:gridCol w:w="450"/>
        <w:gridCol w:w="540"/>
        <w:gridCol w:w="809"/>
        <w:gridCol w:w="451"/>
        <w:gridCol w:w="450"/>
        <w:gridCol w:w="3778"/>
      </w:tblGrid>
      <w:tr>
        <w:trPr>
          <w:tblHeader w:val="true"/>
          <w:trHeight w:val="261" w:hRule="atLeast"/>
          <w:cantSplit w:val="true"/>
        </w:trPr>
        <w:tc>
          <w:tcPr>
            <w:tcW w:w="64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1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9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0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4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0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3" w:hRule="atLeast"/>
          <w:cantSplit w:val="true"/>
        </w:trPr>
        <w:tc>
          <w:tcPr>
            <w:tcW w:w="64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eastAsia="Calibri" w:cs="Calibri"/>
                <w:b/>
                <w:b/>
              </w:rPr>
            </w:pPr>
            <w:r>
              <w:rPr>
                <w:rFonts w:eastAsia="Calibri" w:cs="Calibri" w:ascii="Calibri" w:hAnsi="Calibri"/>
                <w:b/>
              </w:rPr>
            </w:r>
          </w:p>
        </w:tc>
        <w:tc>
          <w:tcPr>
            <w:tcW w:w="1051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ES" w:eastAsia="es-CL"/>
              </w:rPr>
            </w:pPr>
            <w:r>
              <w:rPr>
                <w:rFonts w:eastAsia="Calibri" w:cs="Calibri" w:ascii="Calibri" w:hAnsi="Calibri"/>
                <w:b/>
                <w:kern w:val="0"/>
                <w:sz w:val="20"/>
                <w:szCs w:val="20"/>
                <w:lang w:bidi="ar-SA"/>
              </w:rPr>
              <w:t>5.- SUSPENSIÓN, COMPENSACIÓN, PROTECCIÓN CONTRA LA SOBREVELOCIDAD Y PROTECCIÓN CONTRA EL MOVIMIENTO INCONTROLADO DE LA CABINA.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firstLine="709"/>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los cables de suspensión (torón roto, empalmes, corrosiones u oxidaciones, deformaciones)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un torón roto o alambres rotos en un paso.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shd w:color="auto" w:fill="FFFFFF" w:themeFill="background1"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oxidación / corrosión o deformaciones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suspensión con empalmes.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Disminución del diámetro nominal no reglamentario.</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5.2</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equilibrado cables de suspensión</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mal equilibrados.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Cacle de suspensión flojo con riesgo de desmonte de la garganta de la polea.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rotos, características distintas o con deformaciones laterales en sistema equilibrado de cables de suspensión(especificar).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Resortes completamente comprimidos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5.2.5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de seguridad por alargamiento desigual de cables de suspensión (cuando corresponda)</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5.3</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 las fijaciones de cables (de cabina, contrapeso, u otros)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contratuerca o contratuerca suelta.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pasador y falta de contratuerca o contratuerca suelta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defectuosa.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5.3.5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Fijación de cable de suspensión no reglamentaria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5.4</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Verificación longitud adecuada de los cables de tracción (distancias mínimas contrapeso – amortiguador con cabina en parada superior)</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Cables de suspensión largos / cortos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5.5</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Inexistencia de sobre adherencia y presión excesiva (desgaste gargantas) de cables sobre polea motriz (en ascensores adherencia)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 suspensión en contacto con el fondo de la garganta de la polea de tracción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5.5.2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garganta de polea con presencia de viruta.</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5.6</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numPr>
                <w:ilvl w:val="0"/>
                <w:numId w:val="0"/>
              </w:numPr>
              <w:suppressAutoHyphens w:val="true"/>
              <w:spacing w:before="0" w:after="0"/>
              <w:ind w:left="0" w:hanging="0"/>
              <w:outlineLvl w:val="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Comprobación inexistencia o falta de adherencia o deslizamiento de los cables con respecto a la polea.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5.6.1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adherencia de la polea motriz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5.7</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y características de las protecciones en medios de suspensión y tracción</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de protecciones en  alguna polea de suspensión.</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inadecuadas de las protecciones en medios de suspensión y tracción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5.7.3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fijación inadecuado de la protección en medios de suspensión y tracción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5.8</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Existencia, características y estado del (de los) paracaídas.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Características no adecuadas o estado defectuoso del paracaídas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5.8.2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inutilización del paracaídas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5.9</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actuación del (de los) paracaídas.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 accionamiento desliza sobre la polea del limitador de velocidad y no acciona 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dispositivo eléctrico no bloquea el motor tras la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5.9.3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Algunas de las cuñas quedan sin actuar tras la activación del paracaídas.</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5.10</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Características de los limitadores de velocidad y su accesibilidad desde el exterior de la caja de elevad                                                 ores.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Funcionamiento incorrecto del limitador de velocidad (velocidad de disparo fuera de rango)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reglamentario.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5.10.3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de velocidad no se puede desenclavar desde el exterior.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5.11</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general mecanismos y fijación de los limitadores de velocidad (holguras, movimiento libre de la polea, desgaste de la polea, muelles deformados, mal fijados o rotos, placa de características, marcado sentido de giro,…)</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Desgaste excesivo de la polea del limitador, que provoca el deslizamiento del cable cuando el limitador está bloqueado.</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sellado o sellado roto en el limitador.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Falta de fijación en el limitadora su base.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5.11.5</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Holguras excesivas o falta de movilidad de la polea.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5.11.6</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5.11.7</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Limitador sin placa de características o de indicación de sentido de actuación del paracaídas.</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5.12</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Estado del cable del limitador y amarres (ausencia de corrosión, lubricación, deformaciones, rotura de hilos, roces, sistema de tensado, diámetro mínimo y dispositivo eléctrico de control destensado o rotura del cable)</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Cable del limitador no adecuado o defectuoso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sistema tensado cable limitador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cable del limitador roza con elementos de la construcción (especificar)</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5.12.4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Inexistencia o mal funcionamiento del dispositivo eléctrico de control destensado o rotura cable del limitador.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5.13</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Prueba de funcionamiento del limitador de velocidad.</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Velocidad de actuación del limitador incorrecta.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Dispositivo eléctrico de seguridad del limitador inexistente o inoperante.</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El limitador no actúa sobre el mecanismo de actuación del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5.13.4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Imposibilidad de probar el limitador (acceso o comprobación) (especificar)</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5.14</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Actuación y estado de mecanismos, para ascensores hidráulicos o para contrapesos (con paracaídas accionado por rotura de los elementos de suspensión o por cable de seguridad)</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Defectos en el estado de los mecanismos y su actuación sobre el paracaídas (especificar).</w:t>
            </w:r>
          </w:p>
        </w:tc>
      </w:tr>
      <w:tr>
        <w:trPr>
          <w:cantSplit w:val="true"/>
        </w:trPr>
        <w:tc>
          <w:tcPr>
            <w:tcW w:w="645"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5.15</w:t>
            </w:r>
          </w:p>
        </w:tc>
        <w:tc>
          <w:tcPr>
            <w:tcW w:w="331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En ascensores hidráulicos, prueba dispositivo de seguridad contra caída libre / velocidad excesiva, válvula paracaídas y dispositivo anti deriva.</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existen o son defectuosos los dispositivos de seguridad contra la caída libre de la cabina.</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No actúa la válvula paracaídas.</w:t>
            </w:r>
          </w:p>
        </w:tc>
      </w:tr>
      <w:tr>
        <w:trPr>
          <w:cantSplit w:val="true"/>
        </w:trPr>
        <w:tc>
          <w:tcPr>
            <w:tcW w:w="645"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1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sz w:val="18"/>
                <w:szCs w:val="18"/>
                <w:lang w:val="es-ES"/>
              </w:rPr>
            </w:pPr>
            <w:r>
              <w:rPr>
                <w:rFonts w:cs="Calibri" w:cstheme="minorHAnsi" w:ascii="Calibri" w:hAnsi="Calibri"/>
                <w:i/>
                <w:sz w:val="18"/>
                <w:szCs w:val="18"/>
                <w:lang w:val="es-ES"/>
              </w:rPr>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5.15.3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Sistema de re nivelación no actúa correctamente.</w:t>
            </w:r>
          </w:p>
        </w:tc>
      </w:tr>
      <w:tr>
        <w:trPr>
          <w:cantSplit w:val="true"/>
        </w:trPr>
        <w:tc>
          <w:tcPr>
            <w:tcW w:w="64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5.18</w:t>
            </w:r>
          </w:p>
        </w:tc>
        <w:tc>
          <w:tcPr>
            <w:tcW w:w="331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Calibri" w:asciiTheme="minorHAnsi" w:cstheme="minorHAnsi" w:hAnsiTheme="minorHAnsi"/>
                <w:i/>
                <w:i/>
                <w:sz w:val="18"/>
                <w:szCs w:val="18"/>
                <w:lang w:val="es-ES"/>
              </w:rPr>
            </w:pPr>
            <w:r>
              <w:rPr>
                <w:rFonts w:eastAsia="Times New Roman" w:cs="Calibri" w:ascii="Calibri" w:hAnsi="Calibri" w:asciiTheme="minorHAnsi" w:cstheme="minorHAnsi" w:hAnsiTheme="minorHAnsi"/>
                <w:i/>
                <w:kern w:val="0"/>
                <w:sz w:val="18"/>
                <w:szCs w:val="18"/>
                <w:lang w:val="es-ES" w:bidi="ar-SA"/>
              </w:rPr>
              <w:t>Otros defectos</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0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5.18.1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Calibri" w:asciiTheme="minorHAnsi" w:cstheme="minorHAnsi" w:hAnsiTheme="minorHAnsi"/>
                <w:i/>
                <w:i/>
                <w:color w:val="000000"/>
                <w:sz w:val="18"/>
                <w:szCs w:val="18"/>
                <w:lang w:val="es-CL" w:eastAsia="es-CL"/>
              </w:rPr>
            </w:pPr>
            <w:r>
              <w:rPr>
                <w:rFonts w:eastAsia="Times New Roman" w:cs="Calibri" w:ascii="Calibri" w:hAnsi="Calibri" w:asciiTheme="minorHAnsi" w:cstheme="minorHAnsi" w:hAnsiTheme="minorHAns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539"/>
        <w:gridCol w:w="3421"/>
        <w:gridCol w:w="720"/>
        <w:gridCol w:w="450"/>
        <w:gridCol w:w="510"/>
        <w:gridCol w:w="749"/>
        <w:gridCol w:w="451"/>
        <w:gridCol w:w="554"/>
        <w:gridCol w:w="3779"/>
      </w:tblGrid>
      <w:tr>
        <w:trPr>
          <w:trHeight w:val="365" w:hRule="atLeast"/>
          <w:cantSplit w:val="true"/>
        </w:trPr>
        <w:tc>
          <w:tcPr>
            <w:tcW w:w="5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2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72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96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74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100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rHeight w:val="238" w:hRule="atLeast"/>
          <w:cantSplit w:val="true"/>
        </w:trPr>
        <w:tc>
          <w:tcPr>
            <w:tcW w:w="5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72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1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74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554"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415" w:hRule="atLeast"/>
          <w:cantSplit w:val="true"/>
        </w:trPr>
        <w:tc>
          <w:tcPr>
            <w:tcW w:w="539"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3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6.- GUÍAS, AMORTIGUADORES Y DISPOSITIVOS DE SEGURIDAD DE FINAL DE RECORRIDO.</w:t>
            </w:r>
          </w:p>
        </w:tc>
      </w:tr>
      <w:tr>
        <w:trPr>
          <w:cantSplit w:val="true"/>
        </w:trPr>
        <w:tc>
          <w:tcPr>
            <w:tcW w:w="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w:t>
            </w:r>
          </w:p>
        </w:tc>
        <w:tc>
          <w:tcPr>
            <w:tcW w:w="342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estado (ausencia de oxidaciones, corrosiones, deformaciones, soldadura a fijaciones, desalineación, falta paralelismo, …) y fijación de rieles guía de cabina.</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Características no reglamentarias de los rieles guía de cabina. </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cabina.</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cabina.</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6.1.4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cabina (especificar).</w:t>
            </w:r>
          </w:p>
        </w:tc>
      </w:tr>
      <w:tr>
        <w:trPr>
          <w:cantSplit w:val="true"/>
        </w:trPr>
        <w:tc>
          <w:tcPr>
            <w:tcW w:w="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w:t>
            </w:r>
          </w:p>
        </w:tc>
        <w:tc>
          <w:tcPr>
            <w:tcW w:w="342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rieles guía del contrapeso o masa de equilibrio.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no reglamentarias de los rieles guía de contrapeso.</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Deformaciones importantes en los rieles guía de contrapeso.</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Corrosiones o falta de mecanizado en  los rieles guía de contrapeso.</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6.2.4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Fijaciones o anclajes no seguros de los rieles guía de contrapeso (especificar).</w:t>
            </w:r>
          </w:p>
        </w:tc>
      </w:tr>
      <w:tr>
        <w:trPr>
          <w:cantSplit w:val="true"/>
        </w:trPr>
        <w:tc>
          <w:tcPr>
            <w:tcW w:w="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w:t>
            </w:r>
          </w:p>
        </w:tc>
        <w:tc>
          <w:tcPr>
            <w:tcW w:w="342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estado (fijación, ausencia de inestabilidad, roturas, corrosiones, …) y características de amortiguadores en el extremo inferior del recorrido de la cabina y del contrapeso.</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En estado defectuoso</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cs="Arial" w:ascii="Calibri" w:hAnsi="Calibri"/>
                <w:lang w:val="es-ES"/>
              </w:rPr>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Amortiguadores de cabina / contrapeso (especificar):</w:t>
            </w:r>
          </w:p>
          <w:p>
            <w:pPr>
              <w:pStyle w:val="ListParagraph"/>
              <w:widowControl w:val="false"/>
              <w:numPr>
                <w:ilvl w:val="0"/>
                <w:numId w:val="3"/>
              </w:numPr>
              <w:suppressAutoHyphens w:val="true"/>
              <w:spacing w:before="0" w:after="0"/>
              <w:contextualSpacing/>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Con corrosiones que afectan el funcionamiento o seguridad.</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ES" w:eastAsia="es-CL"/>
              </w:rPr>
            </w:pPr>
            <w:r>
              <w:rPr>
                <w:rFonts w:eastAsia="Times New Roman" w:cs="Times New Roman" w:ascii="Calibri" w:hAnsi="Calibri"/>
                <w:i/>
                <w:color w:val="000000"/>
                <w:kern w:val="0"/>
                <w:sz w:val="18"/>
                <w:szCs w:val="18"/>
                <w:lang w:val="es-ES" w:eastAsia="es-CL" w:bidi="ar-SA"/>
              </w:rPr>
              <w:t>Inestabilidad, falta de fijaciones o diferencia de características (en caso de haber dos o más) en amortiguadores de cabina / contrapeso (especificar)</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6.3.3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inoperatividad de amortiguadores de cabina / contrapeso (especificar).</w:t>
            </w:r>
          </w:p>
        </w:tc>
      </w:tr>
      <w:tr>
        <w:trPr>
          <w:trHeight w:val="483" w:hRule="atLeast"/>
          <w:cantSplit w:val="true"/>
        </w:trPr>
        <w:tc>
          <w:tcPr>
            <w:tcW w:w="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w:t>
            </w:r>
          </w:p>
        </w:tc>
        <w:tc>
          <w:tcPr>
            <w:tcW w:w="342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hidráulicos, comprobación de estado de conservación (fijación, nivel de aceite, fugas, corrosiones, …) y funcionamiento (recuperación).</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pt-BR" w:eastAsia="es-CL"/>
              </w:rPr>
            </w:pPr>
            <w:r>
              <w:rPr>
                <w:rFonts w:eastAsia="Times New Roman" w:cs="Times New Roman" w:ascii="Calibri" w:hAnsi="Calibri"/>
                <w:i/>
                <w:color w:val="000000"/>
                <w:kern w:val="0"/>
                <w:sz w:val="18"/>
                <w:szCs w:val="18"/>
                <w:lang w:val="pt-BR" w:eastAsia="es-CL" w:bidi="ar-SA"/>
              </w:rPr>
              <w:t>Fuga de líquidos en amortiguadores hidráulicos.</w:t>
            </w:r>
          </w:p>
        </w:tc>
      </w:tr>
      <w:tr>
        <w:trPr>
          <w:trHeight w:val="484" w:hRule="atLeast"/>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pt-BR"/>
              </w:rPr>
            </w:pPr>
            <w:r>
              <w:rPr>
                <w:rFonts w:cs="Arial" w:ascii="Calibri" w:hAnsi="Calibri"/>
                <w:lang w:val="pt-BR"/>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cs="Arial" w:ascii="Calibri" w:hAnsi="Calibri"/>
                <w:i/>
                <w:lang w:val="pt-BR"/>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6.4.2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Inestabilidad o falta de fijaciones en amortiguadores hidráulicos.</w:t>
            </w:r>
          </w:p>
        </w:tc>
      </w:tr>
      <w:tr>
        <w:trPr>
          <w:cantSplit w:val="true"/>
        </w:trPr>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w:t>
            </w:r>
          </w:p>
        </w:tc>
        <w:tc>
          <w:tcPr>
            <w:tcW w:w="34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En amortiguadores a disipación de energía, comprobación de existencia y funcionamiento del dispositivo eléctrico de seguridad para control de retorno a posición normal.</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del dispositivo eléctrico de seguridad (control de retorno a posición normal) en amortiguadores hidráulicos.</w:t>
            </w:r>
          </w:p>
        </w:tc>
      </w:tr>
      <w:tr>
        <w:trPr>
          <w:cantSplit w:val="true"/>
        </w:trPr>
        <w:tc>
          <w:tcPr>
            <w:tcW w:w="539"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w:t>
            </w:r>
          </w:p>
        </w:tc>
        <w:tc>
          <w:tcPr>
            <w:tcW w:w="3421"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actuación de los dispositivos eléctricos de seguridad de final de recorrido (superior e inferior)</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Deficiente actuación de los dispositivos de seguridad de final de recorrido.</w:t>
            </w:r>
          </w:p>
        </w:tc>
      </w:tr>
      <w:tr>
        <w:trPr>
          <w:cantSplit w:val="true"/>
        </w:trPr>
        <w:tc>
          <w:tcPr>
            <w:tcW w:w="539"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cs="Arial" w:ascii="Calibri" w:hAnsi="Calibri"/>
                <w:lang w:val="es-ES"/>
              </w:rPr>
            </w:r>
          </w:p>
        </w:tc>
        <w:tc>
          <w:tcPr>
            <w:tcW w:w="3421"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6.6.2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dispositivos de seguridad de final de recorrido.</w:t>
            </w:r>
          </w:p>
        </w:tc>
      </w:tr>
      <w:tr>
        <w:trPr>
          <w:cantSplit w:val="true"/>
        </w:trPr>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w:t>
            </w:r>
          </w:p>
        </w:tc>
        <w:tc>
          <w:tcPr>
            <w:tcW w:w="34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72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6.7.1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554"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73" w:type="dxa"/>
        <w:tblLayout w:type="fixed"/>
        <w:tblCellMar>
          <w:top w:w="0" w:type="dxa"/>
          <w:left w:w="108" w:type="dxa"/>
          <w:bottom w:w="0" w:type="dxa"/>
          <w:right w:w="108" w:type="dxa"/>
        </w:tblCellMar>
        <w:tblLook w:val="04a0" w:noHBand="0" w:noVBand="1" w:firstColumn="1" w:lastRow="0" w:lastColumn="0" w:firstRow="1"/>
      </w:tblPr>
      <w:tblGrid>
        <w:gridCol w:w="555"/>
        <w:gridCol w:w="3419"/>
        <w:gridCol w:w="631"/>
        <w:gridCol w:w="539"/>
        <w:gridCol w:w="540"/>
        <w:gridCol w:w="721"/>
        <w:gridCol w:w="540"/>
        <w:gridCol w:w="449"/>
        <w:gridCol w:w="3779"/>
      </w:tblGrid>
      <w:tr>
        <w:trPr>
          <w:tblHeader w:val="true"/>
          <w:trHeight w:val="339" w:hRule="atLeast"/>
          <w:cantSplit w:val="true"/>
        </w:trPr>
        <w:tc>
          <w:tcPr>
            <w:tcW w:w="5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41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72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8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12" w:hRule="atLeast"/>
          <w:cantSplit w:val="true"/>
        </w:trPr>
        <w:tc>
          <w:tcPr>
            <w:tcW w:w="5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41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72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555"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618"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7.- HOLGURAS ENTRE CABINA Y PAREDES DE LOS ACCESOS, ASÍ COMO ENTRE CONTRAPESO O MASA DE EQUILIBRADO.</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7.1</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Holguras umbral de cabina – recinto / dintel  cabina- recinto, en ascensores autorizados sin puertas de cabina.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7.1.1</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recinto inferiores a las reglamentarias en ascensores sin puerta en cabina (especificar).</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7.2</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Distancias puerta cabina – recinto  y puertas de acceso / pisadera cabina- accesos.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superiores a las reglamentarias en ascensores con puerta en cabina (especificar).</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7.3</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pt-BR"/>
              </w:rPr>
            </w:pPr>
            <w:r>
              <w:rPr>
                <w:rFonts w:eastAsia="Times New Roman" w:cs="Arial" w:ascii="Calibri" w:hAnsi="Calibri" w:asciiTheme="minorHAnsi" w:hAnsiTheme="minorHAnsi"/>
                <w:i/>
                <w:kern w:val="0"/>
                <w:sz w:val="20"/>
                <w:szCs w:val="20"/>
                <w:lang w:val="pt-BR" w:bidi="ar-SA"/>
              </w:rPr>
              <w:t>Distancia cabina – contrapeso o masa de equilibrado.</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7.3.1</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Holguras cabina – contrapeso inferiores a las reglamentarias.</w:t>
            </w:r>
          </w:p>
        </w:tc>
      </w:tr>
      <w:tr>
        <w:trPr>
          <w:cantSplit w:val="true"/>
        </w:trPr>
        <w:tc>
          <w:tcPr>
            <w:tcW w:w="5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lang w:val="es-ES"/>
              </w:rPr>
            </w:pPr>
            <w:r>
              <w:rPr>
                <w:rFonts w:eastAsia="Times New Roman" w:cs="Arial" w:ascii="Calibri" w:hAnsi="Calibri" w:asciiTheme="minorHAnsi" w:hAnsiTheme="minorHAnsi"/>
                <w:kern w:val="0"/>
                <w:sz w:val="20"/>
                <w:szCs w:val="20"/>
                <w:lang w:val="es-ES" w:bidi="ar-SA"/>
              </w:rPr>
              <w:t>7.4</w:t>
            </w:r>
          </w:p>
        </w:tc>
        <w:tc>
          <w:tcPr>
            <w:tcW w:w="341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2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7.4.1</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30"/>
        <w:gridCol w:w="3344"/>
        <w:gridCol w:w="631"/>
        <w:gridCol w:w="539"/>
        <w:gridCol w:w="540"/>
        <w:gridCol w:w="796"/>
        <w:gridCol w:w="449"/>
        <w:gridCol w:w="465"/>
        <w:gridCol w:w="3779"/>
      </w:tblGrid>
      <w:tr>
        <w:trPr>
          <w:tblHeader w:val="true"/>
          <w:trHeight w:val="348" w:hRule="atLeast"/>
          <w:cantSplit w:val="true"/>
        </w:trPr>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4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79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14"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21" w:hRule="atLeast"/>
          <w:cantSplit w:val="true"/>
        </w:trPr>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79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6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81" w:hRule="atLeast"/>
          <w:cantSplit w:val="true"/>
        </w:trPr>
        <w:tc>
          <w:tcPr>
            <w:tcW w:w="630"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43"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8.- MÁQUINA.</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de desgaste de las superficies consumibles del sistema de freno (en A. E.)</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desgaste excesivo de superficies consumibles del sistema de freno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contacto metálico entre elementos de freno.</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Tambor de freno rayado o con desperfectos leves.</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8.2</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del estado de los mecanismos del freno (en A. E.)</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8.2.2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Oxidación o mala conservación en mecanismos de freno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8.3</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Inexistencia de aceite en superficies frenantes (en A. E.)</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8.3.1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Existencia de aceite entre superficies de frenado que disminuye eficacia de frenado.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8.4</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Prueba de funcionamiento de freno o parada del ascensor.</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8.4.1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del freno o de los dispositivos de parada del ascensor.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8.5</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funcionamiento de sistema de frenado</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8.5.1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Sistema de frenado o parada del ascensor no reglamentarios.</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8.6</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indicaciones de subida y bajada en dispositivos de rescate, instructivo de rescate e identificación de componentes.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8.6.1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indicaciones o instructivo.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8.7</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Posibilidad de mover la cabina, en caso de falla o ausencia de energía , a un nivel de piso.</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8.7.1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defecto en dispositivos para maniobras de emergencia.</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8.8</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si la cabina se encuentra en zona de desenclavamiento.</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8.8.1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control de la posición de la cabina desde el espacio de maquinaria  (para maniobra de rescate).</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8.9</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Estado general de la máquina , verificando su correcto funcionamiento y estado de conservación.</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Perdida de aceite por juntas o retenes de la máquina o mangueras.</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Incorrecto anclaje de la máquina a su base.</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8.9.3</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fijada solo con soldadura.</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8.9.4</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o deficiencia de fijaciones antisísmicas.</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8.10</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 xml:space="preserve">Funcionamiento de los dispositivos de control y seguridad y la existencia de elementos (llave de cierre, válvula de sobrepresión, válvula de paracaídas, manómetro, válvula electrónica de movimientos incontrolados de la cabina). </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llave de cierre entre cilindro y válvula ( en cuarto de máquinas).</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de sobrepresión.</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8.10.3</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paracaídas, cuando es exigido.</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8.10.4</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estado del manómetro del grupo impulsor.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8.10.5</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o mal funcionamiento de válvula electrónica de movimientos incontrolados de cabina.</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8.11</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color amarillo de las poleas y volantes de rescate.</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8.11.1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Inadecuada señalización en color amarillo en piezas móviles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8.12</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protecciones en piezas giratorias accesibles con peligro ( chavetas y tornillos de los ejes, cintas, correas, cadenas, engranajes, piñones, ejes de motor salientes).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8.12.1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Falta protección en piezas giratorias accesibles (especificar).</w:t>
            </w:r>
          </w:p>
        </w:tc>
      </w:tr>
      <w:tr>
        <w:trPr>
          <w:cantSplit w:val="true"/>
        </w:trPr>
        <w:tc>
          <w:tcPr>
            <w:tcW w:w="6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8.13</w:t>
            </w:r>
          </w:p>
        </w:tc>
        <w:tc>
          <w:tcPr>
            <w:tcW w:w="33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doble sistema en serie para corte de corriente (en A. E.)</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dos sistemas en serie de corte de corriente y control de parada de la parada de la máquina (especificar).</w:t>
            </w:r>
          </w:p>
        </w:tc>
      </w:tr>
      <w:tr>
        <w:trPr>
          <w:cantSplit w:val="true"/>
        </w:trPr>
        <w:tc>
          <w:tcPr>
            <w:tcW w:w="6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8.13.2</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incorrecto de algún contactor en doble sistema para corte de corriente y control de parada de la máquina (especificar)</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8.14</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precisión de nivel de parada de cabina.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8.14.1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Precisión de parda de cabina respecto al nivel de piso, superior al valor normativo.</w:t>
            </w:r>
          </w:p>
        </w:tc>
      </w:tr>
      <w:tr>
        <w:trPr>
          <w:cantSplit w:val="true"/>
        </w:trPr>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8.16</w:t>
            </w:r>
          </w:p>
        </w:tc>
        <w:tc>
          <w:tcPr>
            <w:tcW w:w="33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79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8.16.1</w:t>
            </w:r>
          </w:p>
        </w:tc>
        <w:tc>
          <w:tcPr>
            <w:tcW w:w="44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6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310" w:type="dxa"/>
        <w:jc w:val="left"/>
        <w:tblInd w:w="-1108" w:type="dxa"/>
        <w:tblLayout w:type="fixed"/>
        <w:tblCellMar>
          <w:top w:w="0" w:type="dxa"/>
          <w:left w:w="108" w:type="dxa"/>
          <w:bottom w:w="0" w:type="dxa"/>
          <w:right w:w="108" w:type="dxa"/>
        </w:tblCellMar>
        <w:tblLook w:val="04a0" w:noHBand="0" w:noVBand="1" w:firstColumn="1" w:lastRow="0" w:lastColumn="0" w:firstRow="1"/>
      </w:tblPr>
      <w:tblGrid>
        <w:gridCol w:w="824"/>
        <w:gridCol w:w="3286"/>
        <w:gridCol w:w="630"/>
        <w:gridCol w:w="539"/>
        <w:gridCol w:w="541"/>
        <w:gridCol w:w="855"/>
        <w:gridCol w:w="450"/>
        <w:gridCol w:w="405"/>
        <w:gridCol w:w="3778"/>
      </w:tblGrid>
      <w:tr>
        <w:trPr>
          <w:tblHeader w:val="true"/>
          <w:trHeight w:val="425" w:hRule="atLeast"/>
          <w:cantSplit w:val="true"/>
        </w:trPr>
        <w:tc>
          <w:tcPr>
            <w:tcW w:w="82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286"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t>TIPO DE INSP.</w:t>
            </w:r>
          </w:p>
        </w:tc>
        <w:tc>
          <w:tcPr>
            <w:tcW w:w="108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CUMPLE</w:t>
            </w:r>
          </w:p>
        </w:tc>
        <w:tc>
          <w:tcPr>
            <w:tcW w:w="855"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85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0" w:hRule="atLeast"/>
          <w:cantSplit w:val="true"/>
        </w:trPr>
        <w:tc>
          <w:tcPr>
            <w:tcW w:w="82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4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NO</w:t>
            </w:r>
          </w:p>
        </w:tc>
        <w:tc>
          <w:tcPr>
            <w:tcW w:w="855"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05"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8"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75" w:hRule="atLeast"/>
          <w:cantSplit w:val="true"/>
        </w:trPr>
        <w:tc>
          <w:tcPr>
            <w:tcW w:w="82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9.- ASCENSORES SIN SALA DE MÁQUINAS.</w:t>
            </w:r>
          </w:p>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9.1.- ESPACIO DE MÁQUINAS.</w:t>
            </w:r>
          </w:p>
        </w:tc>
      </w:tr>
      <w:tr>
        <w:trPr>
          <w:trHeight w:val="634"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rPr>
                <w:rFonts w:ascii="Calibri" w:hAnsi="Calibri" w:cs="Arial" w:asciiTheme="minorHAnsi" w:hAnsiTheme="minorHAnsi"/>
                <w:b/>
                <w:b/>
                <w:lang w:val="es-ES"/>
              </w:rPr>
            </w:pPr>
            <w:r>
              <w:rPr>
                <w:rFonts w:eastAsia="Times New Roman" w:cs="Arial" w:ascii="Calibri" w:hAnsi="Calibri" w:asciiTheme="minorHAnsi" w:hAnsiTheme="minorHAnsi"/>
                <w:b/>
                <w:kern w:val="0"/>
                <w:sz w:val="20"/>
                <w:szCs w:val="20"/>
                <w:lang w:val="es-ES" w:bidi="ar-SA"/>
              </w:rPr>
              <w:t xml:space="preserve">9.2.- ASCENSORES SIN SALA DE MÁQUINAS, CON MÁQUINA EN LA PARTE SUPERIOR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mc:AlternateContent>
                <mc:Choice Requires="wps">
                  <w:drawing>
                    <wp:inline distT="0" distB="0" distL="0" distR="0">
                      <wp:extent cx="120650" cy="117475"/>
                      <wp:effectExtent l="0" t="0" r="0" b="0"/>
                      <wp:docPr id="1" name="Shape1"/>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1"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3" name="Shape2"/>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2"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bidi="ar-SA"/>
              </w:rPr>
              <w:t>SI  APLICA A ÉSTA INSPECCIÓN</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Requisitos aplicables cuando el techo de cabina se utiliza como plataforma de trabajo.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9.2.3</w:t>
            </w:r>
          </w:p>
        </w:tc>
        <w:tc>
          <w:tcPr>
            <w:tcW w:w="328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de maniobra (protección contra manipulación ajena y de elementos en tensión, zona libre enfrente)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armario de maniobra no está suficientemente protegido contra cualquier manipulación de personas ajena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la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9.2.3.4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9.2.5</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en zonas de trabajo ( máquina, poleas, armario eléctrico de control, etc.)</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es insuficiente la iluminación en zonas de trabajo.</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9.2.7</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barandilla permanente en la plataforma de trabajo  o techo de cabina usado como plataforma de trabajo, con riesgo de caída.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se dispone o no es adecuada la barandilla sobre el techo de cabina o plataforma..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9.2.8</w:t>
            </w:r>
          </w:p>
        </w:tc>
        <w:tc>
          <w:tcPr>
            <w:tcW w:w="328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9.2.8.4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9.2.9</w:t>
            </w:r>
          </w:p>
        </w:tc>
        <w:tc>
          <w:tcPr>
            <w:tcW w:w="328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la caja de elevadores, indicaciones, desplazamiento, alineación, …)</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9.2.9.4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9.2.10</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de maniobra de socorro o mantenimiento.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9.2.10.1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interruptor de corte eléctrico junto a dispositivo de la maniobra de rescate.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9.2.11</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de cartel e instrucciones de rescate sobre armario de maniobra.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Inexistencia de advertencia de prohibición de acceso en armario de maniobra de rescate.</w:t>
            </w:r>
          </w:p>
        </w:tc>
      </w:tr>
      <w:tr>
        <w:trPr>
          <w:trHeight w:val="1565" w:hRule="atLeast"/>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9.2.12</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(Especificar).</w:t>
            </w:r>
          </w:p>
        </w:tc>
      </w:tr>
      <w:tr>
        <w:trPr>
          <w:trHeight w:val="679"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pPr>
            <w:r>
              <w:rPr>
                <w:rFonts w:eastAsia="Times New Roman" w:cs="Arial" w:ascii="Calibri" w:hAnsi="Calibri" w:asciiTheme="minorHAnsi" w:hAnsiTheme="minorHAnsi"/>
                <w:b/>
                <w:kern w:val="0"/>
                <w:sz w:val="18"/>
                <w:szCs w:val="18"/>
                <w:lang w:val="es-ES" w:bidi="ar-SA"/>
              </w:rPr>
              <w:br/>
              <w:t>9.3 – ASCENSORES CON MÁQUINAS EN FOSO.</w:t>
            </w:r>
          </w:p>
          <w:p>
            <w:pPr>
              <w:pStyle w:val="Normal"/>
              <w:widowControl w:val="false"/>
              <w:suppressAutoHyphens w:val="true"/>
              <w:spacing w:before="0" w:after="0"/>
              <w:ind w:hanging="0"/>
              <w:jc w:val="left"/>
              <w:rPr/>
            </w:pPr>
            <w:r>
              <w:rPr/>
              <mc:AlternateContent>
                <mc:Choice Requires="wps">
                  <w:drawing>
                    <wp:inline distT="0" distB="0" distL="0" distR="0">
                      <wp:extent cx="120650" cy="117475"/>
                      <wp:effectExtent l="0" t="0" r="0" b="0"/>
                      <wp:docPr id="5" name="Shape3"/>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3"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7" name="Shape4"/>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4"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SI  APLICA A ÉSTA INSPECCIÓN</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9.3.1</w:t>
            </w:r>
          </w:p>
        </w:tc>
        <w:tc>
          <w:tcPr>
            <w:tcW w:w="328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del foso ( visibilidad y fijación de la máquina, superficie) utilizado como lugar de trabajo.</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superficie de trabajo en techo de cabina es menor 0,5 x 0,6 m.</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9.2.1.2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Desde el foso la máquina no es totalmente visible.</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9.3.2</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Resistencia bancada y fijación a máquina.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Máquina sujeta a bancada solo mediante soldadura</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9.3.3</w:t>
            </w:r>
          </w:p>
        </w:tc>
        <w:tc>
          <w:tcPr>
            <w:tcW w:w="328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nivel de iluminación normal y de emergencia en zonas de trabajo (máquina, poleas, armario eléctrico de control, etc.)</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Iluminación insuficiente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iluminación en zonas de trabajo.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9.3.3.3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alumbrado de emergencia en zonas de trabajo.</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9.3.4</w:t>
            </w:r>
          </w:p>
        </w:tc>
        <w:tc>
          <w:tcPr>
            <w:tcW w:w="328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(accesibilidad, dispositivo de enclavamiento – desenclavamiento, retorno a posición normal tras desenclavamiento) y funcionamiento del limitador de velocidad.</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es accesible desde techo de cabina o foso para su inspección y mantenimiento.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actuación del limitador no es posible mediante telemando, dispositivo específico o desde el exterior de la caja de elevadores.</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mecanismo de accionamiento del limitador está al alcance de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9.3.4.4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limitador no vuelve a su posición normal de funcionamiento tras su desenclavamiento y no es accesible desde el exterior.</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9.3.5</w:t>
            </w:r>
          </w:p>
        </w:tc>
        <w:tc>
          <w:tcPr>
            <w:tcW w:w="328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particulares (accesible desde el exterior de caja de elevadores, visualización del desplazamiento de la cabina, maniobra de rescate,… )</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maniobra de rescate, no funciona o no es reglamentaria.</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La maniobra de rescate no es realizable desde el exterior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9.3.5.4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existen instrucciones de rescate o son ilegibles o incompletas.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9.3.6</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funcionamiento interruptor corte alimentación ascensor durante operaciones maniobra de rescate.</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9.3.6.1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interruptor de corte eléctrico junto a dispositivo de la maniobra de rescate.</w:t>
            </w:r>
          </w:p>
        </w:tc>
      </w:tr>
      <w:tr>
        <w:trPr>
          <w:cantSplit w:val="true"/>
        </w:trPr>
        <w:tc>
          <w:tcPr>
            <w:tcW w:w="82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9.3.7</w:t>
            </w:r>
          </w:p>
        </w:tc>
        <w:tc>
          <w:tcPr>
            <w:tcW w:w="3286"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cartel e instrucciones rescate en armario de maniobra.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El armario de maniobra no está suficientemente protegido contra cualquier manipulación de personas ajenas al servicio del ascensor.</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Con puerta abierta del cuadro de maniobra, no existen protecciones IP 2X de elementos con tensión accesibles a personal no autorizado. </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Armario de maniobra no está suficientemente protegido contra cualquier  manipulación de persona ajenas al servicio del ascensor y con puerta abierta del cuadro de maniobra, no existen protecciones IP 2X de elementos con tensión accesibles a personal no autorizado.</w:t>
            </w:r>
          </w:p>
        </w:tc>
      </w:tr>
      <w:tr>
        <w:trPr>
          <w:cantSplit w:val="true"/>
        </w:trPr>
        <w:tc>
          <w:tcPr>
            <w:tcW w:w="82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9.3.7.4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Frente al armario de maniobra, no existe una zona libre de obstáculos de 0,70 m de ancho por 1m de  profundidad.</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9.3.8</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9.3.8.1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(Especificar)</w:t>
            </w:r>
          </w:p>
        </w:tc>
      </w:tr>
      <w:tr>
        <w:trPr>
          <w:trHeight w:val="578" w:hRule="atLeast"/>
          <w:cantSplit w:val="true"/>
        </w:trPr>
        <w:tc>
          <w:tcPr>
            <w:tcW w:w="824" w:type="dxa"/>
            <w:tcBorders>
              <w:top w:val="single" w:sz="4" w:space="0" w:color="1F497D"/>
              <w:left w:val="single" w:sz="4" w:space="0" w:color="1F497D"/>
              <w:bottom w:val="single" w:sz="4" w:space="0" w:color="1F497D"/>
              <w:right w:val="single" w:sz="4" w:space="0" w:color="1F497D"/>
            </w:tcBorders>
            <w:shd w:color="auto" w:fill="FDE9D9" w:themeFill="accent6" w:themeFillTint="33" w:val="clear"/>
          </w:tcPr>
          <w:p>
            <w:pPr>
              <w:pStyle w:val="Normal"/>
              <w:widowControl w:val="false"/>
              <w:suppressAutoHyphens w:val="true"/>
              <w:spacing w:before="0" w:after="0"/>
              <w:ind w:hanging="0"/>
              <w:jc w:val="left"/>
              <w:rPr>
                <w:rFonts w:ascii="Calibri" w:hAnsi="Calibri" w:cs="Arial" w:asciiTheme="minorHAnsi" w:hAnsiTheme="minorHAnsi"/>
                <w:b/>
                <w:b/>
                <w:sz w:val="18"/>
                <w:szCs w:val="18"/>
                <w:lang w:val="es-ES"/>
              </w:rPr>
            </w:pPr>
            <w:r>
              <w:rPr>
                <w:rFonts w:cs="Arial" w:ascii="Calibri" w:hAnsi="Calibri"/>
                <w:b/>
                <w:sz w:val="18"/>
                <w:szCs w:val="18"/>
                <w:lang w:val="es-ES"/>
              </w:rPr>
            </w:r>
          </w:p>
        </w:tc>
        <w:tc>
          <w:tcPr>
            <w:tcW w:w="10484" w:type="dxa"/>
            <w:gridSpan w:val="8"/>
            <w:tcBorders>
              <w:top w:val="single" w:sz="4" w:space="0" w:color="1F497D"/>
              <w:left w:val="single" w:sz="4" w:space="0" w:color="1F497D"/>
              <w:bottom w:val="single" w:sz="4" w:space="0" w:color="1F497D"/>
              <w:right w:val="single" w:sz="4" w:space="0" w:color="1F497D"/>
            </w:tcBorders>
            <w:shd w:color="auto" w:fill="FDE9D9" w:themeFill="accent6" w:themeFillTint="33" w:val="clear"/>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b/>
                <w:kern w:val="0"/>
                <w:sz w:val="18"/>
                <w:szCs w:val="18"/>
                <w:lang w:val="es-ES" w:bidi="ar-SA"/>
              </w:rPr>
              <w:t xml:space="preserve">9.4 – MAQUINARIA FUERA DE LA CAJA DE ELEVADORES.  </w:t>
            </w:r>
          </w:p>
          <w:p>
            <w:pPr>
              <w:pStyle w:val="Normal"/>
              <w:widowControl w:val="false"/>
              <w:suppressAutoHyphens w:val="true"/>
              <w:spacing w:before="0" w:after="0"/>
              <w:ind w:left="0" w:right="0" w:hanging="0"/>
              <w:rPr>
                <w:rFonts w:ascii="Calibri" w:hAnsi="Calibri"/>
                <w:i/>
                <w:i/>
                <w:color w:val="000000"/>
                <w:sz w:val="18"/>
                <w:szCs w:val="18"/>
                <w:lang w:val="es-CL" w:eastAsia="es-CL"/>
              </w:rPr>
            </w:pPr>
            <w:r>
              <w:rPr/>
              <mc:AlternateContent>
                <mc:Choice Requires="wps">
                  <w:drawing>
                    <wp:inline distT="0" distB="0" distL="0" distR="0">
                      <wp:extent cx="120650" cy="117475"/>
                      <wp:effectExtent l="0" t="0" r="0" b="0"/>
                      <wp:docPr id="9" name="Shape5"/>
                      <a:graphic xmlns:a="http://schemas.openxmlformats.org/drawingml/2006/main">
                        <a:graphicData uri="http://schemas.microsoft.com/office/word/2010/wordprocessingShape">
                          <wps:wsp>
                            <wps:cNvSpPr/>
                            <wps:spPr>
                              <a:xfrm>
                                <a:off x="0" y="0"/>
                                <a:ext cx="120600" cy="11736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wps:txbx>
                            <wps:bodyPr lIns="9360" rIns="9360" tIns="9360" bIns="9360" anchor="t">
                              <a:noAutofit/>
                            </wps:bodyPr>
                          </wps:wsp>
                        </a:graphicData>
                      </a:graphic>
                    </wp:inline>
                  </w:drawing>
                </mc:Choice>
                <mc:Fallback>
                  <w:pict>
                    <v:rect id="shape_0" ID="Shape5" path="m0,0l-2147483645,0l-2147483645,-2147483646l0,-2147483646xe" fillcolor="#999999" stroked="t" o:allowincell="f" style="position:absolute;margin-left:0pt;margin-top:-9.3pt;width:9.45pt;height:9.2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{{cert_no}}</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NO APLICA A ÉSTA INSPECCIÓN </w: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 xml:space="preserve"> </w:t>
            </w:r>
            <w:r>
              <w:rPr>
                <w:rFonts w:eastAsia="Times New Roman" w:cs="Arial"/>
                <w:kern w:val="0"/>
                <w:sz w:val="20"/>
                <w:szCs w:val="20"/>
                <w:lang w:val="es-ES" w:bidi="ar-SA"/>
              </w:rPr>
              <w:t xml:space="preserve"> </w:t>
            </w:r>
            <w:r>
              <w:rPr>
                <w:rFonts w:eastAsia="Times New Roman" w:cs="Arial"/>
                <w:kern w:val="0"/>
                <w:sz w:val="20"/>
                <w:szCs w:val="20"/>
                <w:lang w:val="es-ES" w:bidi="ar-SA"/>
              </w:rPr>
              <mc:AlternateContent>
                <mc:Choice Requires="wps">
                  <w:drawing>
                    <wp:inline distT="0" distB="0" distL="0" distR="0">
                      <wp:extent cx="118110" cy="114300"/>
                      <wp:effectExtent l="0" t="0" r="0" b="0"/>
                      <wp:docPr id="11" name="Shape6"/>
                      <a:graphic xmlns:a="http://schemas.openxmlformats.org/drawingml/2006/main">
                        <a:graphicData uri="http://schemas.microsoft.com/office/word/2010/wordprocessingShape">
                          <wps:wsp>
                            <wps:cNvSpPr/>
                            <wps:spPr>
                              <a:xfrm>
                                <a:off x="0" y="0"/>
                                <a:ext cx="118080" cy="114480"/>
                              </a:xfrm>
                              <a:prstGeom prst="rect">
                                <a:avLst/>
                              </a:prstGeom>
                              <a:solidFill>
                                <a:srgbClr val="999999"/>
                              </a:solidFill>
                              <a:ln w="1836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wps:txbx>
                            <wps:bodyPr lIns="9360" rIns="9360" tIns="9360" bIns="9360" anchor="t">
                              <a:noAutofit/>
                            </wps:bodyPr>
                          </wps:wsp>
                        </a:graphicData>
                      </a:graphic>
                    </wp:inline>
                  </w:drawing>
                </mc:Choice>
                <mc:Fallback>
                  <w:pict>
                    <v:rect id="shape_0" ID="Shape6" path="m0,0l-2147483645,0l-2147483645,-2147483646l0,-2147483646xe" fillcolor="#999999" stroked="t" o:allowincell="f" style="position:absolute;margin-left:0pt;margin-top:-9.05pt;width:9.25pt;height:8.95pt;mso-wrap-style:square;v-text-anchor:top;mso-position-vertical:top">
                      <v:fill o:detectmouseclick="t" type="solid" color2="#666666"/>
                      <v:stroke color="black" weight="18360" joinstyle="round" endcap="flat"/>
                      <v:textbox>
                        <w:txbxContent>
                          <w:p>
                            <w:pPr>
                              <w:pStyle w:val="FrameContents"/>
                              <w:widowControl w:val="false"/>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0"/>
                                <w:sz w:val="20"/>
                                <w:vertAlign w:val="baseline"/>
                              </w:rPr>
                              <w:t>{{cert_si}}</w:t>
                            </w:r>
                          </w:p>
                        </w:txbxContent>
                      </v:textbox>
                      <w10:wrap type="square"/>
                    </v:rect>
                  </w:pict>
                </mc:Fallback>
              </mc:AlternateContent>
            </w:r>
            <w:r>
              <w:rPr>
                <w:rFonts w:eastAsia="Times New Roman" w:cs="Arial"/>
                <w:kern w:val="0"/>
                <w:sz w:val="20"/>
                <w:szCs w:val="20"/>
                <w:lang w:val="es-ES" w:bidi="ar-SA"/>
              </w:rPr>
              <w:t xml:space="preserve">  </w:t>
            </w:r>
            <w:r>
              <w:rPr>
                <w:rFonts w:eastAsia="Times New Roman" w:cs="Arial" w:ascii="Calibri" w:hAnsi="Calibri"/>
                <w:b/>
                <w:kern w:val="0"/>
                <w:sz w:val="20"/>
                <w:szCs w:val="20"/>
                <w:lang w:val="es-ES" w:bidi="ar-SA"/>
              </w:rPr>
              <w:t>SI  APLICA A ÉSTA INSPECCIÓN</w:t>
            </w:r>
          </w:p>
        </w:tc>
      </w:tr>
      <w:tr>
        <w:trPr>
          <w:cantSplit w:val="true"/>
        </w:trPr>
        <w:tc>
          <w:tcPr>
            <w:tcW w:w="824" w:type="dxa"/>
            <w:vMerge w:val="restart"/>
            <w:tcBorders>
              <w:top w:val="single" w:sz="2" w:space="0" w:color="000000"/>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9.4.1</w:t>
            </w:r>
          </w:p>
        </w:tc>
        <w:tc>
          <w:tcPr>
            <w:tcW w:w="3286" w:type="dxa"/>
            <w:vMerge w:val="restart"/>
            <w:tcBorders>
              <w:top w:val="single" w:sz="2" w:space="0" w:color="000000"/>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y características armario conteniendo la maquinaria.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Inexistencia de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9.4.1.2</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instalaciones y/o equipos ajenos al ascensor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9.4.1.3</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no reglamentarias en el armario de la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9.4.1.4</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Existencia de aberturas en el armario de la maquinaria, accesibles a personal no autorizado.</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9.4.1.5</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Puerta del armario de la maquinaria no es reglamentaria.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9.4.1.6</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ventilación en el armario de maquinaria.</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9.4.1.7</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Alumbrado en el armario de la maquinaria, insuficiente o no existe (especificar).</w:t>
            </w:r>
          </w:p>
        </w:tc>
      </w:tr>
      <w:tr>
        <w:trPr>
          <w:cantSplit w:val="true"/>
        </w:trPr>
        <w:tc>
          <w:tcPr>
            <w:tcW w:w="824" w:type="dxa"/>
            <w:vMerge w:val="continue"/>
            <w:tcBorders>
              <w:top w:val="nil"/>
              <w:left w:val="single" w:sz="2" w:space="0" w:color="000000"/>
              <w:bottom w:val="single" w:sz="2" w:space="0" w:color="000000"/>
              <w:right w:val="nil"/>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286" w:type="dxa"/>
            <w:vMerge w:val="continue"/>
            <w:tcBorders>
              <w:top w:val="nil"/>
              <w:left w:val="single" w:sz="2" w:space="0" w:color="000000"/>
              <w:bottom w:val="single" w:sz="2" w:space="0" w:color="000000"/>
              <w:right w:val="single" w:sz="2" w:space="0" w:color="000000"/>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9.4.1.8</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No existe o no es reglamentaria la toma de corriente, en el armario de la maquinaria.</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9.4.2</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de zonas de trabajo frente al armario de la maquinaria.</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9.4.2.1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Dimensiones de la zona de trabajo dentro de la caja de elevadores no reglamentarias.</w:t>
            </w:r>
          </w:p>
        </w:tc>
      </w:tr>
      <w:tr>
        <w:trPr>
          <w:cantSplit w:val="true"/>
        </w:trPr>
        <w:tc>
          <w:tcPr>
            <w:tcW w:w="82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9.4.3</w:t>
            </w:r>
          </w:p>
        </w:tc>
        <w:tc>
          <w:tcPr>
            <w:tcW w:w="32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55"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9.4.3.1</w:t>
            </w:r>
          </w:p>
        </w:tc>
        <w:tc>
          <w:tcPr>
            <w:tcW w:w="45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05"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8"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eastAsia="es-CL"/>
              </w:rPr>
            </w:pPr>
            <w:r>
              <w:rPr>
                <w:rFonts w:eastAsia="Times New Roman" w:cs="Times New Roman" w:ascii="Calibri" w:hAnsi="Calibri"/>
                <w:i/>
                <w:color w:val="000000"/>
                <w:kern w:val="0"/>
                <w:sz w:val="18"/>
                <w:szCs w:val="18"/>
                <w:lang w:eastAsia="es-CL" w:bidi="ar-SA"/>
              </w:rPr>
              <w:t xml:space="preserve">(Especificar) </w:t>
            </w:r>
          </w:p>
        </w:tc>
      </w:tr>
    </w:tbl>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88" w:type="dxa"/>
        <w:tblLayout w:type="fixed"/>
        <w:tblCellMar>
          <w:top w:w="0" w:type="dxa"/>
          <w:left w:w="108" w:type="dxa"/>
          <w:bottom w:w="0" w:type="dxa"/>
          <w:right w:w="108" w:type="dxa"/>
        </w:tblCellMar>
        <w:tblLook w:val="04a0" w:noHBand="0" w:noVBand="1" w:firstColumn="1" w:lastRow="0" w:lastColumn="0" w:firstRow="1"/>
      </w:tblPr>
      <w:tblGrid>
        <w:gridCol w:w="644"/>
        <w:gridCol w:w="3330"/>
        <w:gridCol w:w="631"/>
        <w:gridCol w:w="539"/>
        <w:gridCol w:w="586"/>
        <w:gridCol w:w="839"/>
        <w:gridCol w:w="451"/>
        <w:gridCol w:w="450"/>
        <w:gridCol w:w="3703"/>
      </w:tblGrid>
      <w:tr>
        <w:trPr>
          <w:tblHeader w:val="true"/>
          <w:trHeight w:val="330" w:hRule="atLeast"/>
          <w:cantSplit w:val="true"/>
        </w:trPr>
        <w:tc>
          <w:tcPr>
            <w:tcW w:w="64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3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125"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39"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1"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73" w:hRule="atLeast"/>
          <w:cantSplit w:val="true"/>
        </w:trPr>
        <w:tc>
          <w:tcPr>
            <w:tcW w:w="64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3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SI</w:t>
            </w:r>
          </w:p>
        </w:tc>
        <w:tc>
          <w:tcPr>
            <w:tcW w:w="586"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39"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5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03"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299" w:hRule="atLeast"/>
          <w:cantSplit w:val="true"/>
        </w:trPr>
        <w:tc>
          <w:tcPr>
            <w:tcW w:w="64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29"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Arial" w:ascii="Calibri" w:hAnsi="Calibri" w:asciiTheme="minorHAnsi" w:hAnsiTheme="minorHAnsi"/>
                <w:b/>
                <w:kern w:val="0"/>
                <w:sz w:val="20"/>
                <w:szCs w:val="20"/>
                <w:lang w:val="es-ES" w:bidi="ar-SA"/>
              </w:rPr>
              <w:t>10.- PROTECCIÓN CONTRA DEFECTOS ELÉCTRICOS, MANDOS Y PRIORIDADES.</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10.1</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Comprobación de la continuidad de la conexión a tierra entre tablero de fuerza y cuadro de control , cuadro de control y cabina, cabina y puertas de piso.</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continuidad de tierra o conexiones no reglamentarias.</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10.2</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Verificación de la actuación de dispositivos eléctricos de seguridad varios: a) Control trampilla socorro en cabina, b) control tensión de cables de compensación, d) control medios maniobra manual de socorro desmontables, e) control reducción de velocidad en amortiguadores con carrera reducida, f) control tensión cable seguridad en A. H</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No existe o no funciona el dispositivo eléctrico de seguridad de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10.3</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eléctrica de rescate (conmutador, pulsadores, anulación por maniobra de inspección, anula contactos eléctricos varios, visibilidad funcionamiento de la máquina)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10.3.1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Funcionamiento no reglamentario de la maniobra eléctrica de rescate (especificar)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10.4</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Características y funcionamiento de la maniobra de puesta a nivel de carga (movimiento cabina con  puertas abiertas, velocidad hasta 0,3 m/s, apertura solo puertas lado carga y descarga, visibilidad desplazamiento de cabina, conmutador accionamiento con llave, impide funcionamiento normal, inactivada por maniobra de inspección, con interruptor de cabina)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10.4.1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Características inadecuadas de la maniobra de puesta a nivel de carga (especificar)</w:t>
            </w:r>
          </w:p>
        </w:tc>
      </w:tr>
      <w:tr>
        <w:trPr>
          <w:cantSplit w:val="true"/>
        </w:trPr>
        <w:tc>
          <w:tcPr>
            <w:tcW w:w="644"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10.5</w:t>
            </w:r>
          </w:p>
        </w:tc>
        <w:tc>
          <w:tcPr>
            <w:tcW w:w="3330" w:type="dxa"/>
            <w:vMerge w:val="restart"/>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Existencia, identificación y funcionamiento dispositivo de alarma.</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accesible o no identificado.</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DI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10.5.2</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Dispositivo de alarma no alimentado por fuente de emergencia.</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10.5.3</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Tipo de dispositivo de alarma no audible.</w:t>
            </w:r>
          </w:p>
        </w:tc>
      </w:tr>
      <w:tr>
        <w:trPr>
          <w:cantSplit w:val="true"/>
        </w:trPr>
        <w:tc>
          <w:tcPr>
            <w:tcW w:w="644"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rFonts w:ascii="Calibri" w:hAnsi="Calibri" w:cs="Arial" w:asciiTheme="minorHAnsi" w:hAnsiTheme="minorHAnsi"/>
                <w:sz w:val="18"/>
                <w:szCs w:val="18"/>
                <w:lang w:val="es-ES"/>
              </w:rPr>
            </w:pPr>
            <w:r>
              <w:rPr>
                <w:rFonts w:cs="Arial" w:ascii="Calibri" w:hAnsi="Calibri"/>
                <w:sz w:val="18"/>
                <w:szCs w:val="18"/>
                <w:lang w:val="es-ES"/>
              </w:rPr>
            </w:r>
          </w:p>
        </w:tc>
        <w:tc>
          <w:tcPr>
            <w:tcW w:w="3330" w:type="dxa"/>
            <w:vMerge w:val="continue"/>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cs="Arial" w:ascii="Calibri" w:hAnsi="Calibri"/>
                <w:i/>
                <w:lang w:val="es-ES"/>
              </w:rPr>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 FU</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10.5.4</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se establece comunicación bidireccional.</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10.6</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Periodo retardo de arranque, en cabina con puertas manuales.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10.6.1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actúa correctamente el dispositivo de retardo en arranque cabina.</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10.7</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Prioridad mandos cabina respecto a los de pisos (o señalización indicación sentido próximo desplazamiento en maniobras colectivas)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10.7.1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No existe/ actúa la señal luminosa del sentido de marcha (para maniobras colectivas)</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10.9</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86"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10.9.1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50"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03"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lang w:val="es-CL" w:eastAsia="es-CL"/>
              </w:rPr>
            </w:pPr>
            <w:r>
              <w:rPr>
                <w:rFonts w:eastAsia="Times New Roman" w:cs="Times New Roman" w:ascii="Calibri" w:hAnsi="Calibri"/>
                <w:i/>
                <w:color w:val="000000"/>
                <w:kern w:val="0"/>
                <w:sz w:val="20"/>
                <w:szCs w:val="20"/>
                <w:lang w:val="es-CL" w:eastAsia="es-CL" w:bidi="ar-SA"/>
              </w:rPr>
              <w:t>(Especificar).</w:t>
            </w:r>
          </w:p>
        </w:tc>
      </w:tr>
    </w:tbl>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p>
      <w:pPr>
        <w:pStyle w:val="Normal"/>
        <w:widowControl w:val="false"/>
        <w:spacing w:before="0" w:after="0"/>
        <w:ind w:hanging="0"/>
        <w:rPr>
          <w:rFonts w:cs="Arial"/>
          <w:b/>
          <w:b/>
          <w:sz w:val="22"/>
          <w:szCs w:val="22"/>
          <w:lang w:val="es-ES"/>
        </w:rPr>
      </w:pPr>
      <w:r>
        <w:rPr>
          <w:rFonts w:cs="Arial"/>
          <w:b/>
          <w:sz w:val="22"/>
          <w:szCs w:val="22"/>
          <w:lang w:val="es-ES"/>
        </w:rPr>
      </w:r>
    </w:p>
    <w:tbl>
      <w:tblPr>
        <w:tblStyle w:val="Tablaconcuadrcula"/>
        <w:tblW w:w="11175" w:type="dxa"/>
        <w:jc w:val="left"/>
        <w:tblInd w:w="-973" w:type="dxa"/>
        <w:tblLayout w:type="fixed"/>
        <w:tblCellMar>
          <w:top w:w="0" w:type="dxa"/>
          <w:left w:w="108" w:type="dxa"/>
          <w:bottom w:w="0" w:type="dxa"/>
          <w:right w:w="108" w:type="dxa"/>
        </w:tblCellMar>
        <w:tblLook w:val="04a0" w:noHBand="0" w:noVBand="1" w:firstColumn="1" w:lastRow="0" w:lastColumn="0" w:firstRow="1"/>
      </w:tblPr>
      <w:tblGrid>
        <w:gridCol w:w="644"/>
        <w:gridCol w:w="3330"/>
        <w:gridCol w:w="631"/>
        <w:gridCol w:w="539"/>
        <w:gridCol w:w="540"/>
        <w:gridCol w:w="810"/>
        <w:gridCol w:w="451"/>
        <w:gridCol w:w="449"/>
        <w:gridCol w:w="3779"/>
      </w:tblGrid>
      <w:tr>
        <w:trPr>
          <w:tblHeader w:val="true"/>
          <w:trHeight w:val="416" w:hRule="atLeast"/>
          <w:cantSplit w:val="true"/>
        </w:trPr>
        <w:tc>
          <w:tcPr>
            <w:tcW w:w="644"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tc>
        <w:tc>
          <w:tcPr>
            <w:tcW w:w="33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COMPROBACIONES</w:t>
            </w:r>
          </w:p>
        </w:tc>
        <w:tc>
          <w:tcPr>
            <w:tcW w:w="631"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TIPO DE INSP.</w:t>
            </w:r>
          </w:p>
        </w:tc>
        <w:tc>
          <w:tcPr>
            <w:tcW w:w="1079"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CUMPLE</w:t>
            </w:r>
          </w:p>
        </w:tc>
        <w:tc>
          <w:tcPr>
            <w:tcW w:w="810" w:type="dxa"/>
            <w:vMerge w:val="restart"/>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CÓDIGO</w:t>
            </w:r>
          </w:p>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DEF.</w:t>
            </w:r>
          </w:p>
        </w:tc>
        <w:tc>
          <w:tcPr>
            <w:tcW w:w="900" w:type="dxa"/>
            <w:gridSpan w:val="2"/>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NIVEL  DEFECTO</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DESCRIPCIÓN DEFECTO</w:t>
            </w:r>
          </w:p>
        </w:tc>
      </w:tr>
      <w:tr>
        <w:trPr>
          <w:tblHeader w:val="true"/>
          <w:trHeight w:val="262" w:hRule="atLeast"/>
          <w:cantSplit w:val="true"/>
        </w:trPr>
        <w:tc>
          <w:tcPr>
            <w:tcW w:w="644"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333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631"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tcPr>
          <w:p>
            <w:pPr>
              <w:pStyle w:val="Normal"/>
              <w:widowControl w:val="false"/>
              <w:suppressAutoHyphens w:val="true"/>
              <w:spacing w:before="0" w:after="0"/>
              <w:ind w:hanging="0"/>
              <w:rPr>
                <w:rFonts w:cs="Arial"/>
                <w:b/>
                <w:b/>
                <w:sz w:val="17"/>
                <w:szCs w:val="17"/>
                <w:lang w:val="es-ES"/>
              </w:rPr>
            </w:pPr>
            <w:r>
              <w:rPr>
                <w:rFonts w:cs="Arial"/>
                <w:b/>
                <w:sz w:val="17"/>
                <w:szCs w:val="17"/>
                <w:lang w:val="es-ES"/>
              </w:rPr>
            </w:r>
          </w:p>
        </w:tc>
        <w:tc>
          <w:tcPr>
            <w:tcW w:w="53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SI</w:t>
            </w:r>
          </w:p>
        </w:tc>
        <w:tc>
          <w:tcPr>
            <w:tcW w:w="540"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rPr>
                <w:rFonts w:cs="Arial"/>
                <w:b/>
                <w:b/>
                <w:sz w:val="17"/>
                <w:szCs w:val="17"/>
                <w:lang w:val="es-ES"/>
              </w:rPr>
            </w:pPr>
            <w:r>
              <w:rPr>
                <w:rFonts w:eastAsia="Times New Roman" w:cs="Arial"/>
                <w:b/>
                <w:kern w:val="0"/>
                <w:sz w:val="17"/>
                <w:szCs w:val="17"/>
                <w:lang w:val="es-ES" w:bidi="ar-SA"/>
              </w:rPr>
              <w:t>NO</w:t>
            </w:r>
          </w:p>
        </w:tc>
        <w:tc>
          <w:tcPr>
            <w:tcW w:w="810" w:type="dxa"/>
            <w:vMerge w:val="continue"/>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cs="Arial"/>
                <w:b/>
                <w:sz w:val="17"/>
                <w:szCs w:val="17"/>
                <w:lang w:val="es-ES"/>
              </w:rPr>
            </w:r>
          </w:p>
        </w:tc>
        <w:tc>
          <w:tcPr>
            <w:tcW w:w="451"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L</w:t>
            </w:r>
          </w:p>
        </w:tc>
        <w:tc>
          <w:tcPr>
            <w:tcW w:w="44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7"/>
                <w:szCs w:val="17"/>
                <w:lang w:val="es-ES"/>
              </w:rPr>
            </w:pPr>
            <w:r>
              <w:rPr>
                <w:rFonts w:eastAsia="Times New Roman" w:cs="Arial"/>
                <w:b/>
                <w:kern w:val="0"/>
                <w:sz w:val="17"/>
                <w:szCs w:val="17"/>
                <w:lang w:val="es-ES" w:bidi="ar-SA"/>
              </w:rPr>
              <w:t>G</w:t>
            </w:r>
          </w:p>
        </w:tc>
        <w:tc>
          <w:tcPr>
            <w:tcW w:w="3779" w:type="dxa"/>
            <w:tcBorders>
              <w:top w:val="single" w:sz="4" w:space="0" w:color="1F497D"/>
              <w:left w:val="single" w:sz="4" w:space="0" w:color="1F497D"/>
              <w:bottom w:val="single" w:sz="4" w:space="0" w:color="1F497D"/>
              <w:right w:val="single" w:sz="4" w:space="0" w:color="1F497D"/>
            </w:tcBorders>
            <w:shd w:color="auto" w:fill="B8CCE4" w:themeFill="accent1" w:themeFillTint="66" w:val="clear"/>
            <w:vAlign w:val="center"/>
          </w:tcPr>
          <w:p>
            <w:pPr>
              <w:pStyle w:val="Normal"/>
              <w:widowControl w:val="false"/>
              <w:suppressAutoHyphens w:val="true"/>
              <w:spacing w:before="0" w:after="0"/>
              <w:ind w:hanging="0"/>
              <w:jc w:val="center"/>
              <w:rPr>
                <w:rFonts w:cs="Arial"/>
                <w:b/>
                <w:b/>
                <w:sz w:val="18"/>
                <w:lang w:val="es-ES"/>
              </w:rPr>
            </w:pPr>
            <w:r>
              <w:rPr>
                <w:rFonts w:cs="Arial"/>
                <w:b/>
                <w:sz w:val="18"/>
                <w:lang w:val="es-ES"/>
              </w:rPr>
            </w:r>
          </w:p>
        </w:tc>
      </w:tr>
      <w:tr>
        <w:trPr>
          <w:trHeight w:val="349" w:hRule="atLeast"/>
          <w:cantSplit w:val="true"/>
        </w:trPr>
        <w:tc>
          <w:tcPr>
            <w:tcW w:w="644" w:type="dxa"/>
            <w:tcBorders>
              <w:top w:val="single" w:sz="4" w:space="0" w:color="1F497D"/>
              <w:left w:val="single" w:sz="4" w:space="0" w:color="1F497D"/>
              <w:bottom w:val="single" w:sz="4" w:space="0" w:color="1F497D"/>
              <w:right w:val="single" w:sz="4" w:space="0" w:color="1F497D"/>
            </w:tcBorders>
          </w:tcPr>
          <w:p>
            <w:pPr>
              <w:pStyle w:val="Normal"/>
              <w:widowControl w:val="false"/>
              <w:suppressAutoHyphens w:val="true"/>
              <w:spacing w:before="0" w:after="0"/>
              <w:ind w:hanging="0"/>
              <w:rPr>
                <w:rFonts w:ascii="Calibri" w:hAnsi="Calibri" w:cs="Arial" w:asciiTheme="minorHAnsi" w:hAnsiTheme="minorHAnsi"/>
                <w:b/>
                <w:b/>
                <w:lang w:val="es-ES"/>
              </w:rPr>
            </w:pPr>
            <w:r>
              <w:rPr>
                <w:rFonts w:cs="Arial" w:ascii="Calibri" w:hAnsi="Calibri"/>
                <w:b/>
                <w:lang w:val="es-ES"/>
              </w:rPr>
            </w:r>
          </w:p>
        </w:tc>
        <w:tc>
          <w:tcPr>
            <w:tcW w:w="10529" w:type="dxa"/>
            <w:gridSpan w:val="8"/>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cs="Arial"/>
                <w:b/>
                <w:b/>
                <w:sz w:val="22"/>
                <w:szCs w:val="22"/>
                <w:lang w:val="es-ES"/>
              </w:rPr>
            </w:pPr>
            <w:r>
              <w:rPr>
                <w:rFonts w:eastAsia="Times New Roman" w:cs="Arial" w:ascii="Calibri" w:hAnsi="Calibri" w:asciiTheme="minorHAnsi" w:hAnsiTheme="minorHAnsi"/>
                <w:b/>
                <w:kern w:val="0"/>
                <w:sz w:val="20"/>
                <w:szCs w:val="20"/>
                <w:lang w:val="es-ES" w:bidi="ar-SA"/>
              </w:rPr>
              <w:t>11.- ASCENSORES CON EXCEPCIONES AUTORIZADAS, EN LOS QUE SE HAYAN REALIZADO MODIFICACIONES IMPORTANTES, O QUE CUMPLAN NORMATIVA PARTICULAR..</w:t>
            </w:r>
          </w:p>
        </w:tc>
      </w:tr>
      <w:tr>
        <w:trPr>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11.1</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Desviaciones normativas, o en los que se hayan  realizado modificaciones importantes de acuerdo a la normativa aplicable para cada GRUPO.</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DO</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11.1.1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El ascensor no cumple la reglamentación (desviaciones particulares) con la que fue puesto en servicio, y no existe constancia documental que justifique dicho incumplimiento (especificar).</w:t>
            </w:r>
          </w:p>
        </w:tc>
      </w:tr>
      <w:tr>
        <w:trPr>
          <w:trHeight w:val="444" w:hRule="atLeast"/>
          <w:cantSplit w:val="true"/>
        </w:trPr>
        <w:tc>
          <w:tcPr>
            <w:tcW w:w="644"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left"/>
              <w:rPr>
                <w:sz w:val="18"/>
                <w:szCs w:val="18"/>
              </w:rPr>
            </w:pPr>
            <w:r>
              <w:rPr>
                <w:rFonts w:eastAsia="Times New Roman" w:cs="Arial" w:ascii="Calibri" w:hAnsi="Calibri" w:asciiTheme="minorHAnsi" w:hAnsiTheme="minorHAnsi"/>
                <w:kern w:val="0"/>
                <w:sz w:val="18"/>
                <w:szCs w:val="18"/>
                <w:lang w:val="es-ES" w:bidi="ar-SA"/>
              </w:rPr>
              <w:t>11.2</w:t>
            </w:r>
          </w:p>
        </w:tc>
        <w:tc>
          <w:tcPr>
            <w:tcW w:w="333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cs="Arial" w:asciiTheme="minorHAnsi" w:hAnsiTheme="minorHAnsi"/>
                <w:i/>
                <w:i/>
                <w:lang w:val="es-ES"/>
              </w:rPr>
            </w:pPr>
            <w:r>
              <w:rPr>
                <w:rFonts w:eastAsia="Times New Roman" w:cs="Arial" w:ascii="Calibri" w:hAnsi="Calibri" w:asciiTheme="minorHAnsi" w:hAnsiTheme="minorHAnsi"/>
                <w:i/>
                <w:kern w:val="0"/>
                <w:sz w:val="20"/>
                <w:szCs w:val="20"/>
                <w:lang w:val="es-ES" w:bidi="ar-SA"/>
              </w:rPr>
              <w:t>Otros defectos.</w:t>
            </w:r>
          </w:p>
        </w:tc>
        <w:tc>
          <w:tcPr>
            <w:tcW w:w="63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sz w:val="16"/>
              </w:rPr>
            </w:pPr>
            <w:r>
              <w:rPr>
                <w:rFonts w:eastAsia="Times New Roman" w:cs="Times New Roman"/>
                <w:kern w:val="0"/>
                <w:sz w:val="16"/>
                <w:szCs w:val="20"/>
                <w:lang w:bidi="ar-SA"/>
              </w:rPr>
              <w:t>VI</w:t>
            </w:r>
          </w:p>
        </w:tc>
        <w:tc>
          <w:tcPr>
            <w:tcW w:w="53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rPr>
                <w:b/>
                <w:b/>
                <w:bCs/>
                <w:sz w:val="18"/>
              </w:rPr>
            </w:pPr>
            <w:r>
              <w:rPr>
                <w:b/>
                <w:bCs/>
                <w:sz w:val="18"/>
              </w:rPr>
              <w:t>{{tabla_si}}</w:t>
            </w:r>
          </w:p>
        </w:tc>
        <w:tc>
          <w:tcPr>
            <w:tcW w:w="54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b/>
              </w:rPr>
              <w:t>{{tabla_no}}</w:t>
            </w:r>
          </w:p>
        </w:tc>
        <w:tc>
          <w:tcPr>
            <w:tcW w:w="810"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jc w:val="center"/>
              <w:rPr>
                <w:sz w:val="18"/>
                <w:szCs w:val="18"/>
              </w:rPr>
            </w:pPr>
            <w:r>
              <w:rPr>
                <w:rFonts w:eastAsia="Times New Roman" w:cs="Arial" w:ascii="Calibri" w:hAnsi="Calibri" w:asciiTheme="minorHAnsi" w:hAnsiTheme="minorHAnsi"/>
                <w:kern w:val="0"/>
                <w:sz w:val="18"/>
                <w:szCs w:val="18"/>
                <w:lang w:val="es-ES" w:bidi="ar-SA"/>
              </w:rPr>
              <w:t>7.2.1</w:t>
            </w:r>
          </w:p>
        </w:tc>
        <w:tc>
          <w:tcPr>
            <w:tcW w:w="451"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60" w:after="60"/>
              <w:ind w:hanging="0"/>
              <w:jc w:val="center"/>
              <w:rPr>
                <w:b/>
                <w:b/>
              </w:rPr>
            </w:pPr>
            <w:r>
              <w:rPr>
                <w:rFonts w:eastAsia="Times New Roman" w:cs="Times New Roman"/>
                <w:b/>
                <w:kern w:val="0"/>
                <w:sz w:val="20"/>
                <w:szCs w:val="20"/>
                <w:lang w:bidi="ar-SA"/>
              </w:rPr>
              <w:t>{{tabla_l}}</w:t>
            </w:r>
          </w:p>
        </w:tc>
        <w:tc>
          <w:tcPr>
            <w:tcW w:w="449" w:type="dxa"/>
            <w:tcBorders>
              <w:top w:val="single" w:sz="4" w:space="0" w:color="1F497D"/>
              <w:left w:val="single" w:sz="4" w:space="0" w:color="1F497D"/>
              <w:bottom w:val="single" w:sz="4" w:space="0" w:color="1F497D"/>
              <w:right w:val="single" w:sz="4" w:space="0" w:color="1F497D"/>
            </w:tcBorders>
            <w:shd w:color="auto" w:fill="auto" w:val="clear"/>
            <w:vAlign w:val="center"/>
          </w:tcPr>
          <w:p>
            <w:pPr>
              <w:pStyle w:val="Normal"/>
              <w:widowControl w:val="false"/>
              <w:suppressAutoHyphens w:val="true"/>
              <w:spacing w:before="0" w:after="0"/>
              <w:ind w:hanging="0"/>
              <w:jc w:val="center"/>
              <w:rPr>
                <w:rFonts w:ascii="Arial" w:hAnsi="Arial" w:cs="Arial"/>
                <w:b/>
                <w:b/>
                <w:bCs/>
                <w:lang w:val="es-ES"/>
              </w:rPr>
            </w:pPr>
            <w:r>
              <w:rPr>
                <w:rFonts w:cs="Arial"/>
                <w:b/>
                <w:bCs/>
                <w:lang w:val="es-ES"/>
              </w:rPr>
              <w:t>{{tabla_g}}</w:t>
            </w:r>
          </w:p>
        </w:tc>
        <w:tc>
          <w:tcPr>
            <w:tcW w:w="3779" w:type="dxa"/>
            <w:tcBorders>
              <w:top w:val="single" w:sz="4" w:space="0" w:color="1F497D"/>
              <w:left w:val="single" w:sz="4" w:space="0" w:color="1F497D"/>
              <w:bottom w:val="single" w:sz="4" w:space="0" w:color="1F497D"/>
              <w:right w:val="single" w:sz="4" w:space="0" w:color="1F497D"/>
            </w:tcBorders>
            <w:vAlign w:val="center"/>
          </w:tcPr>
          <w:p>
            <w:pPr>
              <w:pStyle w:val="Normal"/>
              <w:widowControl w:val="false"/>
              <w:suppressAutoHyphens w:val="true"/>
              <w:spacing w:before="0" w:after="0"/>
              <w:ind w:hanging="0"/>
              <w:rPr>
                <w:rFonts w:ascii="Calibri" w:hAnsi="Calibri"/>
                <w:i/>
                <w:i/>
                <w:color w:val="000000"/>
                <w:sz w:val="18"/>
                <w:szCs w:val="18"/>
                <w:lang w:val="es-CL" w:eastAsia="es-CL"/>
              </w:rPr>
            </w:pPr>
            <w:r>
              <w:rPr>
                <w:rFonts w:eastAsia="Times New Roman" w:cs="Times New Roman" w:ascii="Calibri" w:hAnsi="Calibri"/>
                <w:i/>
                <w:color w:val="000000"/>
                <w:kern w:val="0"/>
                <w:sz w:val="18"/>
                <w:szCs w:val="18"/>
                <w:lang w:val="es-CL" w:eastAsia="es-CL" w:bidi="ar-SA"/>
              </w:rPr>
              <w:t xml:space="preserve"> </w:t>
            </w:r>
            <w:r>
              <w:rPr>
                <w:rFonts w:eastAsia="Times New Roman" w:cs="Times New Roman" w:ascii="Calibri" w:hAnsi="Calibri"/>
                <w:i/>
                <w:color w:val="000000"/>
                <w:kern w:val="0"/>
                <w:sz w:val="18"/>
                <w:szCs w:val="18"/>
                <w:lang w:val="es-CL" w:eastAsia="es-CL" w:bidi="ar-SA"/>
              </w:rPr>
              <w:t>(especificar).</w:t>
            </w:r>
          </w:p>
        </w:tc>
      </w:tr>
    </w:tbl>
    <w:p>
      <w:pPr>
        <w:pStyle w:val="Normal"/>
        <w:widowControl w:val="false"/>
        <w:spacing w:before="0" w:after="0"/>
        <w:ind w:hanging="0"/>
        <w:rPr>
          <w:rFonts w:cs="Arial"/>
          <w:b/>
          <w:b/>
          <w:sz w:val="22"/>
          <w:szCs w:val="22"/>
          <w:lang w:val="es-ES"/>
        </w:rPr>
      </w:pPr>
      <w:r>
        <w:rPr/>
      </w:r>
    </w:p>
    <w:sectPr>
      <w:type w:val="nextPage"/>
      <w:pgSz w:w="11906" w:h="16838"/>
      <w:pgMar w:left="1418" w:right="1293" w:gutter="0" w:header="0" w:top="907" w:footer="0" w:bottom="60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1069"/>
        </w:tabs>
        <w:ind w:left="1069" w:hanging="360"/>
      </w:pPr>
      <w:rPr/>
    </w:lvl>
    <w:lvl w:ilvl="1">
      <w:start w:val="1"/>
      <w:pStyle w:val="Heading2"/>
      <w:numFmt w:val="decimal"/>
      <w:lvlText w:val="%1.%2."/>
      <w:lvlJc w:val="left"/>
      <w:pPr>
        <w:tabs>
          <w:tab w:val="num" w:pos="1501"/>
        </w:tabs>
        <w:ind w:left="1501" w:hanging="432"/>
      </w:pPr>
      <w:rPr/>
    </w:lvl>
    <w:lvl w:ilvl="2">
      <w:start w:val="1"/>
      <w:pStyle w:val="Heading3"/>
      <w:numFmt w:val="decimal"/>
      <w:lvlText w:val="%1.%2.%3."/>
      <w:lvlJc w:val="left"/>
      <w:pPr>
        <w:tabs>
          <w:tab w:val="num" w:pos="2149"/>
        </w:tabs>
        <w:ind w:left="1933" w:hanging="504"/>
      </w:pPr>
      <w:rPr/>
    </w:lvl>
    <w:lvl w:ilvl="3">
      <w:start w:val="1"/>
      <w:numFmt w:val="decimal"/>
      <w:lvlText w:val="%1.%2.%3.%4."/>
      <w:lvlJc w:val="left"/>
      <w:pPr>
        <w:tabs>
          <w:tab w:val="num" w:pos="2869"/>
        </w:tabs>
        <w:ind w:left="2437" w:hanging="648"/>
      </w:pPr>
      <w:rPr/>
    </w:lvl>
    <w:lvl w:ilvl="4">
      <w:start w:val="1"/>
      <w:numFmt w:val="decimal"/>
      <w:lvlText w:val="%1.%2.%3.%4.%5."/>
      <w:lvlJc w:val="left"/>
      <w:pPr>
        <w:tabs>
          <w:tab w:val="num" w:pos="3229"/>
        </w:tabs>
        <w:ind w:left="2941" w:hanging="792"/>
      </w:pPr>
      <w:rPr/>
    </w:lvl>
    <w:lvl w:ilvl="5">
      <w:start w:val="1"/>
      <w:numFmt w:val="decimal"/>
      <w:lvlText w:val="%1.%2.%3.%4.%5.%6."/>
      <w:lvlJc w:val="left"/>
      <w:pPr>
        <w:tabs>
          <w:tab w:val="num" w:pos="3949"/>
        </w:tabs>
        <w:ind w:left="3445" w:hanging="936"/>
      </w:pPr>
      <w:rPr/>
    </w:lvl>
    <w:lvl w:ilvl="6">
      <w:start w:val="1"/>
      <w:numFmt w:val="decimal"/>
      <w:lvlText w:val="%1.%2.%3.%4.%5.%6.%7."/>
      <w:lvlJc w:val="left"/>
      <w:pPr>
        <w:tabs>
          <w:tab w:val="num" w:pos="4309"/>
        </w:tabs>
        <w:ind w:left="3949" w:hanging="1080"/>
      </w:pPr>
      <w:rPr/>
    </w:lvl>
    <w:lvl w:ilvl="7">
      <w:start w:val="1"/>
      <w:numFmt w:val="decimal"/>
      <w:lvlText w:val="%1.%2.%3.%4.%5.%6.%7.%8."/>
      <w:lvlJc w:val="left"/>
      <w:pPr>
        <w:tabs>
          <w:tab w:val="num" w:pos="5029"/>
        </w:tabs>
        <w:ind w:left="4453" w:hanging="1224"/>
      </w:pPr>
      <w:rPr/>
    </w:lvl>
    <w:lvl w:ilvl="8">
      <w:start w:val="1"/>
      <w:numFmt w:val="decimal"/>
      <w:lvlText w:val="%1.%2.%3.%4.%5.%6.%7.%8.%9."/>
      <w:lvlJc w:val="left"/>
      <w:pPr>
        <w:tabs>
          <w:tab w:val="num" w:pos="5749"/>
        </w:tabs>
        <w:ind w:left="5029" w:hanging="1440"/>
      </w:pPr>
      <w:rPr/>
    </w:lvl>
  </w:abstractNum>
  <w:abstractNum w:abstractNumId="2">
    <w:lvl w:ilvl="0">
      <w:start w:val="1"/>
      <w:numFmt w:val="decimal"/>
      <w:lvlText w:val="%1."/>
      <w:lvlJc w:val="left"/>
      <w:pPr>
        <w:tabs>
          <w:tab w:val="num" w:pos="0"/>
        </w:tabs>
        <w:ind w:left="720" w:hanging="360"/>
      </w:pPr>
      <w:rPr>
        <w:sz w:val="20"/>
        <w:i w:val="false"/>
        <w:b/>
        <w:rFonts w:ascii="Calibri" w:hAnsi="Calibri" w:cs="Arial" w:asciiTheme="minorHAnsi" w:hAnsiTheme="minorHAnsi"/>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57b46"/>
    <w:pPr>
      <w:widowControl/>
      <w:suppressAutoHyphens w:val="true"/>
      <w:bidi w:val="0"/>
      <w:spacing w:before="60" w:after="60"/>
      <w:ind w:firstLine="709"/>
      <w:jc w:val="both"/>
    </w:pPr>
    <w:rPr>
      <w:rFonts w:ascii="Arial" w:hAnsi="Arial" w:eastAsia="Times New Roman" w:cs="Times New Roman"/>
      <w:color w:val="auto"/>
      <w:kern w:val="0"/>
      <w:sz w:val="20"/>
      <w:szCs w:val="20"/>
      <w:lang w:val="es-CO" w:eastAsia="pt-BR" w:bidi="ar-SA"/>
    </w:rPr>
  </w:style>
  <w:style w:type="paragraph" w:styleId="Heading1">
    <w:name w:val="Heading 1"/>
    <w:basedOn w:val="Normal"/>
    <w:next w:val="Normal"/>
    <w:qFormat/>
    <w:rsid w:val="00c57b46"/>
    <w:pPr>
      <w:keepNext w:val="true"/>
      <w:numPr>
        <w:ilvl w:val="0"/>
        <w:numId w:val="1"/>
      </w:numPr>
      <w:spacing w:before="120" w:after="120"/>
      <w:outlineLvl w:val="0"/>
    </w:pPr>
    <w:rPr>
      <w:b/>
      <w:smallCaps/>
      <w:sz w:val="22"/>
    </w:rPr>
  </w:style>
  <w:style w:type="paragraph" w:styleId="Heading2">
    <w:name w:val="Heading 2"/>
    <w:basedOn w:val="Normal"/>
    <w:next w:val="Normal"/>
    <w:link w:val="Ttulo2Car"/>
    <w:uiPriority w:val="99"/>
    <w:qFormat/>
    <w:rsid w:val="00c57b46"/>
    <w:pPr>
      <w:keepNext w:val="true"/>
      <w:numPr>
        <w:ilvl w:val="1"/>
        <w:numId w:val="1"/>
      </w:numPr>
      <w:outlineLvl w:val="1"/>
    </w:pPr>
    <w:rPr>
      <w:b/>
      <w:smallCaps/>
      <w:sz w:val="22"/>
    </w:rPr>
  </w:style>
  <w:style w:type="paragraph" w:styleId="Heading3">
    <w:name w:val="Heading 3"/>
    <w:basedOn w:val="Normal"/>
    <w:next w:val="Normal"/>
    <w:link w:val="Ttulo3Car"/>
    <w:qFormat/>
    <w:rsid w:val="00c57b46"/>
    <w:pPr>
      <w:keepNext w:val="true"/>
      <w:widowControl w:val="false"/>
      <w:numPr>
        <w:ilvl w:val="2"/>
        <w:numId w:val="1"/>
      </w:numPr>
      <w:outlineLvl w:val="2"/>
    </w:pPr>
    <w:rPr>
      <w:b/>
      <w:smallCaps/>
      <w:sz w:val="22"/>
    </w:rPr>
  </w:style>
  <w:style w:type="paragraph" w:styleId="Heading4">
    <w:name w:val="Heading 4"/>
    <w:basedOn w:val="Normal"/>
    <w:next w:val="Normal"/>
    <w:link w:val="Ttulo4Car"/>
    <w:qFormat/>
    <w:rsid w:val="00c57b46"/>
    <w:pPr>
      <w:keepNext w:val="true"/>
      <w:widowControl w:val="false"/>
      <w:outlineLvl w:val="3"/>
    </w:pPr>
    <w:rPr/>
  </w:style>
  <w:style w:type="paragraph" w:styleId="Heading5">
    <w:name w:val="Heading 5"/>
    <w:basedOn w:val="Normal"/>
    <w:next w:val="Normal"/>
    <w:qFormat/>
    <w:rsid w:val="00c57b46"/>
    <w:pPr>
      <w:keepNext w:val="true"/>
      <w:widowControl w:val="false"/>
      <w:jc w:val="center"/>
      <w:outlineLvl w:val="4"/>
    </w:pPr>
    <w:rPr/>
  </w:style>
  <w:style w:type="paragraph" w:styleId="Heading6">
    <w:name w:val="Heading 6"/>
    <w:basedOn w:val="Normal"/>
    <w:next w:val="Normal"/>
    <w:qFormat/>
    <w:rsid w:val="00c57b46"/>
    <w:pPr>
      <w:keepNext w:val="true"/>
      <w:widowControl w:val="false"/>
      <w:jc w:val="center"/>
      <w:outlineLvl w:val="5"/>
    </w:pPr>
    <w:rPr>
      <w:b/>
      <w:sz w:val="24"/>
    </w:rPr>
  </w:style>
  <w:style w:type="paragraph" w:styleId="Heading7">
    <w:name w:val="Heading 7"/>
    <w:basedOn w:val="Normal"/>
    <w:next w:val="Normal"/>
    <w:qFormat/>
    <w:rsid w:val="00c57b46"/>
    <w:pPr>
      <w:keepNext w:val="true"/>
      <w:widowControl w:val="false"/>
      <w:outlineLvl w:val="6"/>
    </w:pPr>
    <w:rPr>
      <w:b/>
      <w:color w:val="000000"/>
    </w:rPr>
  </w:style>
  <w:style w:type="paragraph" w:styleId="Heading8">
    <w:name w:val="Heading 8"/>
    <w:basedOn w:val="Normal"/>
    <w:next w:val="Normal"/>
    <w:qFormat/>
    <w:rsid w:val="00c57b46"/>
    <w:pPr>
      <w:keepNext w:val="true"/>
      <w:widowControl w:val="false"/>
      <w:outlineLvl w:val="7"/>
    </w:pPr>
    <w:rPr>
      <w:color w:val="000000"/>
    </w:rPr>
  </w:style>
  <w:style w:type="paragraph" w:styleId="Heading9">
    <w:name w:val="Heading 9"/>
    <w:basedOn w:val="Normal"/>
    <w:next w:val="Normal"/>
    <w:qFormat/>
    <w:rsid w:val="00c57b46"/>
    <w:pPr>
      <w:keepNext w:val="true"/>
      <w:widowControl w:val="false"/>
      <w:outlineLvl w:val="8"/>
    </w:pPr>
    <w:rPr>
      <w:b/>
      <w:color w:val="000000"/>
    </w:rPr>
  </w:style>
  <w:style w:type="character" w:styleId="DefaultParagraphFont" w:default="1">
    <w:name w:val="Default Paragraph Font"/>
    <w:uiPriority w:val="1"/>
    <w:semiHidden/>
    <w:unhideWhenUsed/>
    <w:qFormat/>
    <w:rPr/>
  </w:style>
  <w:style w:type="character" w:styleId="InternetLink">
    <w:name w:val="Hyperlink"/>
    <w:uiPriority w:val="99"/>
    <w:rsid w:val="00c57b46"/>
    <w:rPr>
      <w:rFonts w:ascii="Arial" w:hAnsi="Arial"/>
      <w:color w:val="0000FF"/>
      <w:u w:val="single"/>
    </w:rPr>
  </w:style>
  <w:style w:type="character" w:styleId="FootnoteCharacters">
    <w:name w:val="Footnote Characters"/>
    <w:semiHidden/>
    <w:qFormat/>
    <w:rsid w:val="00c57b46"/>
    <w:rPr>
      <w:vertAlign w:val="superscript"/>
    </w:rPr>
  </w:style>
  <w:style w:type="character" w:styleId="FootnoteAnchor">
    <w:name w:val="Footnote Reference"/>
    <w:rPr>
      <w:vertAlign w:val="superscript"/>
    </w:rPr>
  </w:style>
  <w:style w:type="character" w:styleId="Annotationreference">
    <w:name w:val="annotation reference"/>
    <w:semiHidden/>
    <w:qFormat/>
    <w:rsid w:val="00c57b46"/>
    <w:rPr>
      <w:sz w:val="16"/>
      <w:szCs w:val="16"/>
    </w:rPr>
  </w:style>
  <w:style w:type="character" w:styleId="Pagenumber">
    <w:name w:val="page number"/>
    <w:basedOn w:val="DefaultParagraphFont"/>
    <w:qFormat/>
    <w:rsid w:val="00c57b46"/>
    <w:rPr/>
  </w:style>
  <w:style w:type="character" w:styleId="VisitedInternetLink">
    <w:name w:val="FollowedHyperlink"/>
    <w:uiPriority w:val="99"/>
    <w:rsid w:val="00c57b46"/>
    <w:rPr>
      <w:color w:val="800080"/>
      <w:u w:val="single"/>
    </w:rPr>
  </w:style>
  <w:style w:type="character" w:styleId="EncabezadoCar" w:customStyle="1">
    <w:name w:val="Encabezado Car"/>
    <w:link w:val="Header"/>
    <w:qFormat/>
    <w:rsid w:val="00005b11"/>
    <w:rPr>
      <w:rFonts w:ascii="Arial" w:hAnsi="Arial"/>
      <w:lang w:eastAsia="pt-BR"/>
    </w:rPr>
  </w:style>
  <w:style w:type="character" w:styleId="PiedepginaCar" w:customStyle="1">
    <w:name w:val="Pie de página Car"/>
    <w:link w:val="Footer"/>
    <w:uiPriority w:val="99"/>
    <w:qFormat/>
    <w:rsid w:val="00463e5a"/>
    <w:rPr>
      <w:rFonts w:ascii="Arial" w:hAnsi="Arial"/>
      <w:sz w:val="16"/>
      <w:lang w:val="es-CO" w:eastAsia="pt-BR"/>
    </w:rPr>
  </w:style>
  <w:style w:type="character" w:styleId="TextodegloboCar" w:customStyle="1">
    <w:name w:val="Texto de globo Car"/>
    <w:link w:val="BalloonText"/>
    <w:uiPriority w:val="99"/>
    <w:semiHidden/>
    <w:qFormat/>
    <w:rsid w:val="00463e5a"/>
    <w:rPr>
      <w:rFonts w:ascii="Tahoma" w:hAnsi="Tahoma" w:cs="Tahoma"/>
      <w:sz w:val="16"/>
      <w:szCs w:val="16"/>
      <w:lang w:val="es-CO" w:eastAsia="pt-BR"/>
    </w:rPr>
  </w:style>
  <w:style w:type="character" w:styleId="Ttulo3Car" w:customStyle="1">
    <w:name w:val="Título 3 Car"/>
    <w:link w:val="Heading3"/>
    <w:qFormat/>
    <w:rsid w:val="00463e5a"/>
    <w:rPr>
      <w:rFonts w:ascii="Arial" w:hAnsi="Arial"/>
      <w:b/>
      <w:smallCaps/>
      <w:sz w:val="22"/>
      <w:lang w:val="es-CO" w:eastAsia="pt-BR"/>
    </w:rPr>
  </w:style>
  <w:style w:type="character" w:styleId="Ttulo4Car" w:customStyle="1">
    <w:name w:val="Título 4 Car"/>
    <w:link w:val="Heading4"/>
    <w:uiPriority w:val="9"/>
    <w:qFormat/>
    <w:rsid w:val="00463e5a"/>
    <w:rPr>
      <w:rFonts w:ascii="Arial" w:hAnsi="Arial"/>
      <w:lang w:val="es-CO" w:eastAsia="pt-BR"/>
    </w:rPr>
  </w:style>
  <w:style w:type="character" w:styleId="Ttulo2Car" w:customStyle="1">
    <w:name w:val="Título 2 Car"/>
    <w:basedOn w:val="DefaultParagraphFont"/>
    <w:link w:val="Heading2"/>
    <w:uiPriority w:val="99"/>
    <w:qFormat/>
    <w:locked/>
    <w:rsid w:val="009426af"/>
    <w:rPr>
      <w:rFonts w:ascii="Arial" w:hAnsi="Arial"/>
      <w:b/>
      <w:smallCaps/>
      <w:sz w:val="22"/>
      <w:lang w:val="es-CO" w:eastAsia="pt-B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rsid w:val="00c57b46"/>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EncabezadoCar"/>
    <w:rsid w:val="00c57b46"/>
    <w:pPr>
      <w:tabs>
        <w:tab w:val="clear" w:pos="709"/>
        <w:tab w:val="center" w:pos="4419" w:leader="none"/>
        <w:tab w:val="right" w:pos="8838" w:leader="none"/>
      </w:tabs>
    </w:pPr>
    <w:rPr>
      <w:lang w:val="x-none"/>
    </w:rPr>
  </w:style>
  <w:style w:type="paragraph" w:styleId="Footer">
    <w:name w:val="Footer"/>
    <w:basedOn w:val="Normal"/>
    <w:link w:val="PiedepginaCar"/>
    <w:uiPriority w:val="99"/>
    <w:rsid w:val="00c57b46"/>
    <w:pPr>
      <w:tabs>
        <w:tab w:val="clear" w:pos="709"/>
        <w:tab w:val="center" w:pos="4419" w:leader="none"/>
        <w:tab w:val="right" w:pos="8838" w:leader="none"/>
      </w:tabs>
      <w:spacing w:before="0" w:after="0"/>
    </w:pPr>
    <w:rPr>
      <w:sz w:val="16"/>
    </w:rPr>
  </w:style>
  <w:style w:type="paragraph" w:styleId="TextBodyIndent">
    <w:name w:val="Body Text Indent"/>
    <w:basedOn w:val="Normal"/>
    <w:rsid w:val="00c57b46"/>
    <w:pPr/>
    <w:rPr/>
  </w:style>
  <w:style w:type="paragraph" w:styleId="DocumentMap">
    <w:name w:val="Document Map"/>
    <w:basedOn w:val="Normal"/>
    <w:semiHidden/>
    <w:qFormat/>
    <w:rsid w:val="00c57b46"/>
    <w:pPr>
      <w:shd w:val="clear" w:color="auto" w:fill="000080"/>
    </w:pPr>
    <w:rPr>
      <w:rFonts w:ascii="Tahoma" w:hAnsi="Tahoma" w:cs="Tahoma"/>
    </w:rPr>
  </w:style>
  <w:style w:type="paragraph" w:styleId="Contents1">
    <w:name w:val="TOC 1"/>
    <w:basedOn w:val="Normal"/>
    <w:next w:val="Normal"/>
    <w:autoRedefine/>
    <w:semiHidden/>
    <w:rsid w:val="002a0794"/>
    <w:pPr>
      <w:tabs>
        <w:tab w:val="clear" w:pos="709"/>
        <w:tab w:val="left" w:pos="407" w:leader="none"/>
        <w:tab w:val="right" w:pos="8495" w:leader="dot"/>
      </w:tabs>
      <w:spacing w:before="120" w:after="120"/>
      <w:ind w:hanging="0"/>
      <w:jc w:val="left"/>
    </w:pPr>
    <w:rPr>
      <w:rFonts w:cs="Arial"/>
      <w:b/>
      <w:bCs/>
      <w:caps/>
      <w:sz w:val="18"/>
      <w:szCs w:val="18"/>
      <w:u w:val="single"/>
    </w:rPr>
  </w:style>
  <w:style w:type="paragraph" w:styleId="Contents2">
    <w:name w:val="TOC 2"/>
    <w:basedOn w:val="Normal"/>
    <w:next w:val="Normal"/>
    <w:autoRedefine/>
    <w:semiHidden/>
    <w:rsid w:val="00c57b46"/>
    <w:pPr>
      <w:spacing w:before="0" w:after="0"/>
      <w:ind w:hanging="0"/>
      <w:jc w:val="left"/>
    </w:pPr>
    <w:rPr>
      <w:rFonts w:ascii="Times New Roman" w:hAnsi="Times New Roman"/>
      <w:b/>
      <w:bCs/>
      <w:smallCaps/>
      <w:szCs w:val="26"/>
    </w:rPr>
  </w:style>
  <w:style w:type="paragraph" w:styleId="Contents3">
    <w:name w:val="TOC 3"/>
    <w:basedOn w:val="Normal"/>
    <w:next w:val="Normal"/>
    <w:autoRedefine/>
    <w:semiHidden/>
    <w:rsid w:val="00c57b46"/>
    <w:pPr>
      <w:spacing w:before="0" w:after="0"/>
      <w:ind w:hanging="0"/>
      <w:jc w:val="left"/>
    </w:pPr>
    <w:rPr>
      <w:rFonts w:ascii="Times New Roman" w:hAnsi="Times New Roman"/>
      <w:smallCaps/>
      <w:szCs w:val="26"/>
    </w:rPr>
  </w:style>
  <w:style w:type="paragraph" w:styleId="Contents4">
    <w:name w:val="TOC 4"/>
    <w:basedOn w:val="Normal"/>
    <w:next w:val="Normal"/>
    <w:autoRedefine/>
    <w:semiHidden/>
    <w:rsid w:val="00c57b46"/>
    <w:pPr>
      <w:spacing w:before="0" w:after="0"/>
      <w:ind w:hanging="0"/>
      <w:jc w:val="left"/>
    </w:pPr>
    <w:rPr>
      <w:rFonts w:ascii="Times New Roman" w:hAnsi="Times New Roman"/>
      <w:szCs w:val="26"/>
    </w:rPr>
  </w:style>
  <w:style w:type="paragraph" w:styleId="Contents5">
    <w:name w:val="TOC 5"/>
    <w:basedOn w:val="Normal"/>
    <w:next w:val="Normal"/>
    <w:autoRedefine/>
    <w:semiHidden/>
    <w:rsid w:val="00c57b46"/>
    <w:pPr>
      <w:spacing w:before="0" w:after="0"/>
      <w:ind w:hanging="0"/>
      <w:jc w:val="left"/>
    </w:pPr>
    <w:rPr>
      <w:rFonts w:ascii="Times New Roman" w:hAnsi="Times New Roman"/>
      <w:szCs w:val="26"/>
    </w:rPr>
  </w:style>
  <w:style w:type="paragraph" w:styleId="Contents6">
    <w:name w:val="TOC 6"/>
    <w:basedOn w:val="Normal"/>
    <w:next w:val="Normal"/>
    <w:autoRedefine/>
    <w:semiHidden/>
    <w:rsid w:val="00c57b46"/>
    <w:pPr>
      <w:spacing w:before="0" w:after="0"/>
      <w:ind w:hanging="0"/>
      <w:jc w:val="left"/>
    </w:pPr>
    <w:rPr>
      <w:rFonts w:ascii="Times New Roman" w:hAnsi="Times New Roman"/>
      <w:szCs w:val="26"/>
    </w:rPr>
  </w:style>
  <w:style w:type="paragraph" w:styleId="Contents7">
    <w:name w:val="TOC 7"/>
    <w:basedOn w:val="Normal"/>
    <w:next w:val="Normal"/>
    <w:autoRedefine/>
    <w:semiHidden/>
    <w:rsid w:val="00c57b46"/>
    <w:pPr>
      <w:spacing w:before="0" w:after="0"/>
      <w:ind w:hanging="0"/>
      <w:jc w:val="left"/>
    </w:pPr>
    <w:rPr>
      <w:rFonts w:ascii="Times New Roman" w:hAnsi="Times New Roman"/>
      <w:szCs w:val="26"/>
    </w:rPr>
  </w:style>
  <w:style w:type="paragraph" w:styleId="Contents8">
    <w:name w:val="TOC 8"/>
    <w:basedOn w:val="Normal"/>
    <w:next w:val="Normal"/>
    <w:autoRedefine/>
    <w:semiHidden/>
    <w:rsid w:val="00c57b46"/>
    <w:pPr>
      <w:spacing w:before="0" w:after="0"/>
      <w:ind w:hanging="0"/>
      <w:jc w:val="left"/>
    </w:pPr>
    <w:rPr>
      <w:rFonts w:ascii="Times New Roman" w:hAnsi="Times New Roman"/>
      <w:szCs w:val="26"/>
    </w:rPr>
  </w:style>
  <w:style w:type="paragraph" w:styleId="Contents9">
    <w:name w:val="TOC 9"/>
    <w:basedOn w:val="Normal"/>
    <w:next w:val="Normal"/>
    <w:autoRedefine/>
    <w:semiHidden/>
    <w:rsid w:val="00c57b46"/>
    <w:pPr>
      <w:spacing w:before="0" w:after="0"/>
      <w:ind w:hanging="0"/>
      <w:jc w:val="left"/>
    </w:pPr>
    <w:rPr>
      <w:rFonts w:ascii="Times New Roman" w:hAnsi="Times New Roman"/>
      <w:szCs w:val="26"/>
    </w:rPr>
  </w:style>
  <w:style w:type="paragraph" w:styleId="Footnote">
    <w:name w:val="Footnote Text"/>
    <w:basedOn w:val="Normal"/>
    <w:semiHidden/>
    <w:rsid w:val="00c57b46"/>
    <w:pPr/>
    <w:rPr>
      <w:sz w:val="16"/>
    </w:rPr>
  </w:style>
  <w:style w:type="paragraph" w:styleId="Annotationtext">
    <w:name w:val="annotation text"/>
    <w:basedOn w:val="Normal"/>
    <w:semiHidden/>
    <w:qFormat/>
    <w:rsid w:val="00c57b46"/>
    <w:pPr/>
    <w:rPr/>
  </w:style>
  <w:style w:type="paragraph" w:styleId="BodyTextIndent2">
    <w:name w:val="Body Text Indent 2"/>
    <w:basedOn w:val="Normal"/>
    <w:qFormat/>
    <w:rsid w:val="00c57b46"/>
    <w:pPr/>
    <w:rPr>
      <w:i/>
      <w:iCs/>
      <w:color w:val="FF0000"/>
    </w:rPr>
  </w:style>
  <w:style w:type="paragraph" w:styleId="BalloonText">
    <w:name w:val="Balloon Text"/>
    <w:basedOn w:val="Normal"/>
    <w:link w:val="TextodegloboCar"/>
    <w:semiHidden/>
    <w:qFormat/>
    <w:rsid w:val="00c57b46"/>
    <w:pPr/>
    <w:rPr>
      <w:rFonts w:ascii="Tahoma" w:hAnsi="Tahoma"/>
      <w:sz w:val="16"/>
      <w:szCs w:val="16"/>
    </w:rPr>
  </w:style>
  <w:style w:type="paragraph" w:styleId="ListParagraph">
    <w:name w:val="List Paragraph"/>
    <w:basedOn w:val="Normal"/>
    <w:uiPriority w:val="34"/>
    <w:qFormat/>
    <w:rsid w:val="00db37ce"/>
    <w:pPr>
      <w:spacing w:before="60" w:after="60"/>
      <w:ind w:left="720" w:firstLine="709"/>
      <w:contextualSpacing/>
    </w:pPr>
    <w:rPr/>
  </w:style>
  <w:style w:type="paragraph" w:styleId="Xl65" w:customStyle="1">
    <w:name w:val="xl65"/>
    <w:basedOn w:val="Normal"/>
    <w:qFormat/>
    <w:rsid w:val="001235b2"/>
    <w:pPr>
      <w:spacing w:beforeAutospacing="1" w:afterAutospacing="1"/>
      <w:ind w:hanging="0"/>
      <w:jc w:val="center"/>
      <w:textAlignment w:val="center"/>
    </w:pPr>
    <w:rPr>
      <w:rFonts w:ascii="Cambria" w:hAnsi="Cambria"/>
      <w:sz w:val="16"/>
      <w:szCs w:val="16"/>
      <w:lang w:val="es-419" w:eastAsia="es-CO"/>
    </w:rPr>
  </w:style>
  <w:style w:type="paragraph" w:styleId="Xl66" w:customStyle="1">
    <w:name w:val="xl66"/>
    <w:basedOn w:val="Normal"/>
    <w:qFormat/>
    <w:rsid w:val="001235b2"/>
    <w:pPr>
      <w:spacing w:beforeAutospacing="1" w:afterAutospacing="1"/>
      <w:ind w:hanging="0"/>
      <w:jc w:val="center"/>
    </w:pPr>
    <w:rPr>
      <w:rFonts w:ascii="Cambria" w:hAnsi="Cambria"/>
      <w:sz w:val="16"/>
      <w:szCs w:val="16"/>
      <w:lang w:val="es-419" w:eastAsia="es-CO"/>
    </w:rPr>
  </w:style>
  <w:style w:type="paragraph" w:styleId="Xl67" w:customStyle="1">
    <w:name w:val="xl67"/>
    <w:basedOn w:val="Normal"/>
    <w:qFormat/>
    <w:rsid w:val="001235b2"/>
    <w:pPr>
      <w:spacing w:beforeAutospacing="1" w:afterAutospacing="1"/>
      <w:ind w:hanging="0"/>
      <w:jc w:val="left"/>
    </w:pPr>
    <w:rPr>
      <w:rFonts w:ascii="Cambria" w:hAnsi="Cambria"/>
      <w:sz w:val="16"/>
      <w:szCs w:val="16"/>
      <w:lang w:val="es-419" w:eastAsia="es-CO"/>
    </w:rPr>
  </w:style>
  <w:style w:type="paragraph" w:styleId="Xl68" w:customStyle="1">
    <w:name w:val="xl68"/>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69" w:customStyle="1">
    <w:name w:val="xl6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0" w:customStyle="1">
    <w:name w:val="xl70"/>
    <w:basedOn w:val="Normal"/>
    <w:qFormat/>
    <w:rsid w:val="001235b2"/>
    <w:pPr>
      <w:pBdr>
        <w:top w:val="single" w:sz="8"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1" w:customStyle="1">
    <w:name w:val="xl71"/>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2" w:customStyle="1">
    <w:name w:val="xl72"/>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3" w:customStyle="1">
    <w:name w:val="xl73"/>
    <w:basedOn w:val="Normal"/>
    <w:qFormat/>
    <w:rsid w:val="001235b2"/>
    <w:pPr>
      <w:pBdr>
        <w:top w:val="single" w:sz="4" w:space="0" w:color="000000"/>
        <w:left w:val="single" w:sz="4" w:space="0" w:color="000000"/>
        <w:bottom w:val="single" w:sz="4"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4" w:customStyle="1">
    <w:name w:val="xl7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sz w:val="16"/>
      <w:szCs w:val="16"/>
      <w:lang w:val="es-419" w:eastAsia="es-CO"/>
    </w:rPr>
  </w:style>
  <w:style w:type="paragraph" w:styleId="Xl75" w:customStyle="1">
    <w:name w:val="xl75"/>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sz w:val="16"/>
      <w:szCs w:val="16"/>
      <w:lang w:val="es-419" w:eastAsia="es-CO"/>
    </w:rPr>
  </w:style>
  <w:style w:type="paragraph" w:styleId="Xl76" w:customStyle="1">
    <w:name w:val="xl76"/>
    <w:basedOn w:val="Normal"/>
    <w:qFormat/>
    <w:rsid w:val="001235b2"/>
    <w:pPr>
      <w:pBdr>
        <w:top w:val="single" w:sz="4" w:space="0" w:color="000000"/>
        <w:left w:val="single" w:sz="4" w:space="0" w:color="000000"/>
        <w:bottom w:val="single" w:sz="8" w:space="0" w:color="000000"/>
        <w:right w:val="single" w:sz="8" w:space="0" w:color="000000"/>
      </w:pBdr>
      <w:spacing w:beforeAutospacing="1" w:afterAutospacing="1"/>
      <w:ind w:hanging="0"/>
      <w:jc w:val="left"/>
    </w:pPr>
    <w:rPr>
      <w:rFonts w:ascii="Cambria" w:hAnsi="Cambria"/>
      <w:sz w:val="16"/>
      <w:szCs w:val="16"/>
      <w:lang w:val="es-419" w:eastAsia="es-CO"/>
    </w:rPr>
  </w:style>
  <w:style w:type="paragraph" w:styleId="Xl77" w:customStyle="1">
    <w:name w:val="xl7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FF0000"/>
      <w:sz w:val="16"/>
      <w:szCs w:val="16"/>
      <w:lang w:val="es-419" w:eastAsia="es-CO"/>
    </w:rPr>
  </w:style>
  <w:style w:type="paragraph" w:styleId="Xl78" w:customStyle="1">
    <w:name w:val="xl78"/>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79" w:customStyle="1">
    <w:name w:val="xl79"/>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0" w:customStyle="1">
    <w:name w:val="xl80"/>
    <w:basedOn w:val="Normal"/>
    <w:qFormat/>
    <w:rsid w:val="001235b2"/>
    <w:pPr>
      <w:pBdr>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1" w:customStyle="1">
    <w:name w:val="xl81"/>
    <w:basedOn w:val="Normal"/>
    <w:qFormat/>
    <w:rsid w:val="001235b2"/>
    <w:pPr>
      <w:pBdr>
        <w:left w:val="single" w:sz="8"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2" w:customStyle="1">
    <w:name w:val="xl82"/>
    <w:basedOn w:val="Normal"/>
    <w:qFormat/>
    <w:rsid w:val="001235b2"/>
    <w:pPr>
      <w:pBdr>
        <w:top w:val="single" w:sz="8" w:space="0" w:color="000000"/>
        <w:left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3" w:customStyle="1">
    <w:name w:val="xl83"/>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84" w:customStyle="1">
    <w:name w:val="xl84"/>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pPr>
    <w:rPr>
      <w:rFonts w:ascii="Cambria" w:hAnsi="Cambria"/>
      <w:b/>
      <w:bCs/>
      <w:sz w:val="16"/>
      <w:szCs w:val="16"/>
      <w:lang w:val="es-419" w:eastAsia="es-CO"/>
    </w:rPr>
  </w:style>
  <w:style w:type="paragraph" w:styleId="Xl85" w:customStyle="1">
    <w:name w:val="xl85"/>
    <w:basedOn w:val="Normal"/>
    <w:qFormat/>
    <w:rsid w:val="001235b2"/>
    <w:pPr>
      <w:pBdr>
        <w:top w:val="single" w:sz="8"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6" w:customStyle="1">
    <w:name w:val="xl86"/>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376091"/>
      <w:sz w:val="16"/>
      <w:szCs w:val="16"/>
      <w:lang w:val="es-419" w:eastAsia="es-CO"/>
    </w:rPr>
  </w:style>
  <w:style w:type="paragraph" w:styleId="Xl87" w:customStyle="1">
    <w:name w:val="xl87"/>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8" w:customStyle="1">
    <w:name w:val="xl88"/>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left"/>
    </w:pPr>
    <w:rPr>
      <w:rFonts w:ascii="Cambria" w:hAnsi="Cambria"/>
      <w:color w:val="E46D0A"/>
      <w:sz w:val="16"/>
      <w:szCs w:val="16"/>
      <w:lang w:val="es-419" w:eastAsia="es-CO"/>
    </w:rPr>
  </w:style>
  <w:style w:type="paragraph" w:styleId="Xl89" w:customStyle="1">
    <w:name w:val="xl89"/>
    <w:basedOn w:val="Normal"/>
    <w:qFormat/>
    <w:rsid w:val="001235b2"/>
    <w:pPr>
      <w:pBdr>
        <w:left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Xl90" w:customStyle="1">
    <w:name w:val="xl90"/>
    <w:basedOn w:val="Normal"/>
    <w:qFormat/>
    <w:rsid w:val="001235b2"/>
    <w:pPr>
      <w:pBdr>
        <w:top w:val="single" w:sz="8" w:space="0" w:color="000000"/>
        <w:left w:val="single" w:sz="8"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1" w:customStyle="1">
    <w:name w:val="xl91"/>
    <w:basedOn w:val="Normal"/>
    <w:qFormat/>
    <w:rsid w:val="001235b2"/>
    <w:pPr>
      <w:pBdr>
        <w:top w:val="single" w:sz="8" w:space="0" w:color="000000"/>
        <w:left w:val="single" w:sz="4" w:space="0" w:color="000000"/>
        <w:bottom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2" w:customStyle="1">
    <w:name w:val="xl92"/>
    <w:basedOn w:val="Normal"/>
    <w:qFormat/>
    <w:rsid w:val="001235b2"/>
    <w:pPr>
      <w:pBdr>
        <w:top w:val="single" w:sz="8" w:space="0" w:color="000000"/>
        <w:left w:val="single" w:sz="4"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3" w:customStyle="1">
    <w:name w:val="xl93"/>
    <w:basedOn w:val="Normal"/>
    <w:qFormat/>
    <w:rsid w:val="001235b2"/>
    <w:pPr>
      <w:pBdr>
        <w:top w:val="single" w:sz="8" w:space="0" w:color="000000"/>
        <w:bottom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4" w:customStyle="1">
    <w:name w:val="xl94"/>
    <w:basedOn w:val="Normal"/>
    <w:qFormat/>
    <w:rsid w:val="001235b2"/>
    <w:pPr>
      <w:pBdr>
        <w:top w:val="single" w:sz="8" w:space="0" w:color="000000"/>
        <w:bottom w:val="single" w:sz="4" w:space="0" w:color="000000"/>
        <w:right w:val="single" w:sz="8"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5" w:customStyle="1">
    <w:name w:val="xl95"/>
    <w:basedOn w:val="Normal"/>
    <w:qFormat/>
    <w:rsid w:val="001235b2"/>
    <w:pPr>
      <w:pBdr>
        <w:top w:val="single" w:sz="4" w:space="0" w:color="000000"/>
        <w:left w:val="single" w:sz="8"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6" w:customStyle="1">
    <w:name w:val="xl96"/>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center"/>
      <w:textAlignment w:val="center"/>
    </w:pPr>
    <w:rPr>
      <w:rFonts w:ascii="Cambria" w:hAnsi="Cambria"/>
      <w:b/>
      <w:bCs/>
      <w:sz w:val="18"/>
      <w:szCs w:val="18"/>
      <w:lang w:val="es-419" w:eastAsia="es-CO"/>
    </w:rPr>
  </w:style>
  <w:style w:type="paragraph" w:styleId="Xl97" w:customStyle="1">
    <w:name w:val="xl97"/>
    <w:basedOn w:val="Normal"/>
    <w:qFormat/>
    <w:rsid w:val="001235b2"/>
    <w:pPr>
      <w:pBdr>
        <w:top w:val="single" w:sz="4" w:space="0" w:color="000000"/>
        <w:left w:val="single" w:sz="4" w:space="0" w:color="000000"/>
        <w:right w:val="single" w:sz="4"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8" w:customStyle="1">
    <w:name w:val="xl98"/>
    <w:basedOn w:val="Normal"/>
    <w:qFormat/>
    <w:rsid w:val="001235b2"/>
    <w:pPr>
      <w:pBdr>
        <w:top w:val="single" w:sz="4" w:space="0" w:color="000000"/>
        <w:left w:val="single" w:sz="4" w:space="0" w:color="000000"/>
        <w:right w:val="single" w:sz="8" w:space="0" w:color="000000"/>
      </w:pBdr>
      <w:shd w:val="clear" w:color="000000" w:fill="B8CCE4"/>
      <w:spacing w:beforeAutospacing="1" w:afterAutospacing="1"/>
      <w:ind w:hanging="0"/>
      <w:jc w:val="left"/>
      <w:textAlignment w:val="center"/>
    </w:pPr>
    <w:rPr>
      <w:rFonts w:ascii="Cambria" w:hAnsi="Cambria"/>
      <w:sz w:val="18"/>
      <w:szCs w:val="18"/>
      <w:lang w:val="es-419" w:eastAsia="es-CO"/>
    </w:rPr>
  </w:style>
  <w:style w:type="paragraph" w:styleId="Xl99" w:customStyle="1">
    <w:name w:val="xl99"/>
    <w:basedOn w:val="Normal"/>
    <w:qFormat/>
    <w:rsid w:val="001235b2"/>
    <w:pPr>
      <w:pBdr>
        <w:top w:val="single" w:sz="4" w:space="0" w:color="000000"/>
        <w:left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0" w:customStyle="1">
    <w:name w:val="xl100"/>
    <w:basedOn w:val="Normal"/>
    <w:qFormat/>
    <w:rsid w:val="001235b2"/>
    <w:pPr>
      <w:pBdr>
        <w:top w:val="single" w:sz="4" w:space="0" w:color="000000"/>
        <w:left w:val="single" w:sz="4" w:space="0" w:color="000000"/>
        <w:bottom w:val="single" w:sz="8" w:space="0" w:color="000000"/>
        <w:right w:val="single" w:sz="4" w:space="0" w:color="000000"/>
      </w:pBdr>
      <w:spacing w:beforeAutospacing="1" w:afterAutospacing="1"/>
      <w:ind w:hanging="0"/>
      <w:jc w:val="center"/>
      <w:textAlignment w:val="center"/>
    </w:pPr>
    <w:rPr>
      <w:rFonts w:ascii="Cambria" w:hAnsi="Cambria"/>
      <w:color w:val="376091"/>
      <w:sz w:val="16"/>
      <w:szCs w:val="16"/>
      <w:lang w:val="es-419" w:eastAsia="es-CO"/>
    </w:rPr>
  </w:style>
  <w:style w:type="paragraph" w:styleId="Xl101" w:customStyle="1">
    <w:name w:val="xl101"/>
    <w:basedOn w:val="Normal"/>
    <w:qFormat/>
    <w:rsid w:val="001235b2"/>
    <w:pPr>
      <w:pBdr>
        <w:left w:val="single" w:sz="8" w:space="0" w:color="000000"/>
        <w:right w:val="single" w:sz="4" w:space="0" w:color="000000"/>
      </w:pBdr>
      <w:spacing w:beforeAutospacing="1" w:afterAutospacing="1"/>
      <w:ind w:hanging="0"/>
      <w:jc w:val="left"/>
      <w:textAlignment w:val="center"/>
    </w:pPr>
    <w:rPr>
      <w:rFonts w:ascii="Cambria" w:hAnsi="Cambria"/>
      <w:sz w:val="16"/>
      <w:szCs w:val="16"/>
      <w:lang w:val="es-419" w:eastAsia="es-CO"/>
    </w:rPr>
  </w:style>
  <w:style w:type="paragraph" w:styleId="Xl102" w:customStyle="1">
    <w:name w:val="xl102"/>
    <w:basedOn w:val="Normal"/>
    <w:qFormat/>
    <w:rsid w:val="001235b2"/>
    <w:pPr>
      <w:pBdr>
        <w:top w:val="single" w:sz="4" w:space="0" w:color="000000"/>
        <w:bottom w:val="single" w:sz="4" w:space="0" w:color="000000"/>
        <w:right w:val="single" w:sz="4" w:space="0" w:color="000000"/>
      </w:pBdr>
      <w:spacing w:beforeAutospacing="1" w:afterAutospacing="1"/>
      <w:ind w:hanging="0"/>
      <w:jc w:val="center"/>
      <w:textAlignment w:val="center"/>
    </w:pPr>
    <w:rPr>
      <w:rFonts w:ascii="Cambria" w:hAnsi="Cambria"/>
      <w:sz w:val="16"/>
      <w:szCs w:val="16"/>
      <w:lang w:val="es-419" w:eastAsia="es-CO"/>
    </w:rPr>
  </w:style>
  <w:style w:type="paragraph" w:styleId="Caption1">
    <w:name w:val="caption"/>
    <w:basedOn w:val="Normal"/>
    <w:next w:val="Normal"/>
    <w:unhideWhenUsed/>
    <w:qFormat/>
    <w:rsid w:val="001235b2"/>
    <w:pPr>
      <w:spacing w:before="0" w:after="200"/>
    </w:pPr>
    <w:rPr>
      <w:b/>
      <w:bCs/>
      <w:color w:val="4F81BD" w:themeColor="accent1"/>
      <w:sz w:val="18"/>
      <w:szCs w:val="18"/>
      <w:lang w:val="es-419"/>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overflowPunct w:val="false"/>
      <w:bidi w:val="0"/>
      <w:spacing w:lineRule="auto" w:line="240" w:before="60" w:after="60"/>
      <w:ind w:left="0" w:right="0" w:firstLine="709"/>
      <w:jc w:val="both"/>
    </w:pPr>
    <w:rPr>
      <w:rFonts w:ascii="Arial" w:hAnsi="Arial" w:eastAsia="Arial" w:cs="Arial"/>
      <w:color w:val="auto"/>
      <w:kern w:val="0"/>
      <w:sz w:val="20"/>
      <w:szCs w:val="20"/>
      <w:lang w:val="es-ES" w:eastAsia="zh-CN" w:bidi="hi-IN"/>
    </w:rPr>
  </w:style>
  <w:style w:type="paragraph" w:styleId="FrameContents">
    <w:name w:val="Frame Contents"/>
    <w:basedOn w:val="LOnormal"/>
    <w:qFormat/>
    <w:pPr/>
    <w:rPr/>
  </w:style>
  <w:style w:type="numbering" w:styleId="NoList" w:default="1">
    <w:name w:val="No List"/>
    <w:uiPriority w:val="99"/>
    <w:semiHidden/>
    <w:unhideWhenUsed/>
    <w:qFormat/>
  </w:style>
  <w:style w:type="numbering" w:styleId="Estilo1" w:customStyle="1">
    <w:name w:val="Estilo1"/>
    <w:qFormat/>
    <w:rsid w:val="00347171"/>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7937a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8">
    <w:name w:val="Table Grid 8"/>
    <w:basedOn w:val="Tablanormal"/>
    <w:rsid w:val="008521e8"/>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12A26-DD28-4732-B18E-7D28F5481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Application>LibreOffice/7.4.7.2$Linux_X86_64 LibreOffice_project/40$Build-2</Application>
  <AppVersion>15.0000</AppVersion>
  <Pages>34</Pages>
  <Words>8258</Words>
  <Characters>53445</Characters>
  <CharactersWithSpaces>59189</CharactersWithSpaces>
  <Paragraphs>2689</Paragraphs>
  <Company>UCIEE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2021-08-09T19:41:00Z</dcterms:created>
  <dc:creator>ICD</dc:creator>
  <dc:description/>
  <dc:language>en-US</dc:language>
  <cp:lastModifiedBy/>
  <cp:lastPrinted>2019-03-14T13:12:00Z</cp:lastPrinted>
  <dcterms:modified xsi:type="dcterms:W3CDTF">2024-07-02T22:57:02Z</dcterms:modified>
  <cp:revision>12</cp:revision>
  <dc:subject/>
  <dc:title>ESTATUTO SOCIAL</dc:title>
</cp:coreProperties>
</file>

<file path=docProps/custom.xml><?xml version="1.0" encoding="utf-8"?>
<Properties xmlns="http://schemas.openxmlformats.org/officeDocument/2006/custom-properties" xmlns:vt="http://schemas.openxmlformats.org/officeDocument/2006/docPropsVTypes"/>
</file>