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hanging="0"/>
        <w:jc w:val="center"/>
        <w:rPr>
          <w:rFonts w:cs="Arial"/>
          <w:b/>
          <w:b/>
          <w:lang w:val="es-CL"/>
        </w:rPr>
      </w:pPr>
      <w:r>
        <w:rPr>
          <w:rFonts w:cs="Arial"/>
          <w:b/>
          <w:lang w:val="es-CL"/>
        </w:rPr>
        <w:t>LISTA DE VERIFICACIÓN PARA LA INSPECCIÓN Y CERTIFICACIÓN DE ASCENSORES Y MONTACARGAS ELÉCTRICOS CORRESPONDIENTES AL GRUPO 3 NCh. 2840_2018</w:t>
      </w:r>
    </w:p>
    <w:p>
      <w:pPr>
        <w:pStyle w:val="Normal"/>
        <w:spacing w:before="0" w:after="0"/>
        <w:ind w:hanging="0"/>
        <w:jc w:val="center"/>
        <w:rPr>
          <w:rFonts w:cs="Arial"/>
          <w:b/>
          <w:b/>
          <w:lang w:val="es-CL"/>
        </w:rPr>
      </w:pPr>
      <w:r>
        <w:rPr>
          <w:rFonts w:cs="Arial"/>
          <w:b/>
          <w:lang w:val="es-CL"/>
        </w:rPr>
        <w:t>Normas de referencia: NCh. 3395/1 :2016 y NCh. 440/2 :2001</w:t>
      </w:r>
    </w:p>
    <w:tbl>
      <w:tblPr>
        <w:tblStyle w:val="Tablaconcuadrcula"/>
        <w:tblW w:w="11333" w:type="dxa"/>
        <w:jc w:val="left"/>
        <w:tblInd w:w="-965" w:type="dxa"/>
        <w:tblLayout w:type="fixed"/>
        <w:tblCellMar>
          <w:top w:w="0" w:type="dxa"/>
          <w:left w:w="108" w:type="dxa"/>
          <w:bottom w:w="0" w:type="dxa"/>
          <w:right w:w="108" w:type="dxa"/>
        </w:tblCellMar>
        <w:tblLook w:val="04a0" w:noHBand="0" w:noVBand="1" w:firstColumn="1" w:lastRow="0" w:lastColumn="0" w:firstRow="1"/>
      </w:tblPr>
      <w:tblGrid>
        <w:gridCol w:w="825"/>
        <w:gridCol w:w="3157"/>
        <w:gridCol w:w="723"/>
        <w:gridCol w:w="450"/>
        <w:gridCol w:w="529"/>
        <w:gridCol w:w="901"/>
        <w:gridCol w:w="452"/>
        <w:gridCol w:w="451"/>
        <w:gridCol w:w="3843"/>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CUMPLE</w:t>
            </w:r>
          </w:p>
        </w:tc>
        <w:tc>
          <w:tcPr>
            <w:tcW w:w="90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2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06"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1.5</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rigidez, altura y ancho) de pantalla rígida en el foso, a lo largo del recorrido del contrapeso (o masa de equilibrado)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Arial" w:ascii="Calibri" w:hAnsi="Calibri" w:asciiTheme="minorHAnsi" w:hAnsiTheme="minorHAnsi"/>
                <w:kern w:val="0"/>
                <w:sz w:val="20"/>
                <w:szCs w:val="20"/>
                <w:lang w:val="es-ES" w:bidi="ar-SA"/>
              </w:rPr>
              <w:t>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existe.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rPr>
            </w:pPr>
            <w:r>
              <w:rPr>
                <w:rFonts w:cs="Arial" w:ascii="Calibri" w:hAnsi="Calibri"/>
                <w:sz w:val="18"/>
                <w:szCs w:val="18"/>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i/>
                <w:i/>
                <w:color w:val="000000"/>
                <w:sz w:val="18"/>
                <w:szCs w:val="18"/>
                <w:lang w:val="es-CL" w:eastAsia="es-CL"/>
              </w:rPr>
            </w:pPr>
            <w:r>
              <w:rPr>
                <w:rFonts w:ascii="Calibri" w:hAnsi="Calibri"/>
                <w:i/>
                <w:color w:val="000000"/>
                <w:sz w:val="18"/>
                <w:szCs w:val="18"/>
                <w:lang w:val="es-CL" w:eastAsia="es-CL"/>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sin mitigación.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4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pt-BR"/>
              </w:rPr>
            </w:pPr>
            <w:r>
              <w:rPr>
                <w:rFonts w:cs="Arial" w:ascii="Calibri" w:hAnsi="Calibri"/>
                <w:sz w:val="18"/>
                <w:szCs w:val="18"/>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2.1.10</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18"/>
        <w:gridCol w:w="913"/>
        <w:gridCol w:w="450"/>
        <w:gridCol w:w="452"/>
        <w:gridCol w:w="3870"/>
      </w:tblGrid>
      <w:tr>
        <w:trPr>
          <w:tblHeader w:val="true"/>
          <w:trHeight w:val="394"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bidi w:val="0"/>
              <w:spacing w:before="0" w:after="0"/>
              <w:ind w:left="0" w:right="0"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24"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33"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75"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09"/>
        <w:gridCol w:w="463"/>
        <w:gridCol w:w="533"/>
        <w:gridCol w:w="898"/>
        <w:gridCol w:w="450"/>
        <w:gridCol w:w="452"/>
        <w:gridCol w:w="3870"/>
      </w:tblGrid>
      <w:tr>
        <w:trPr>
          <w:tblHeader w:val="true"/>
          <w:trHeight w:val="41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cerramientos y dimensiones)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de ventilación</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de conservación del contrapeso o masa de equilibrado en su conjunto.</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261"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w:t>
            </w:r>
            <w:r>
              <w:rPr>
                <w:rFonts w:eastAsia="Times New Roman" w:cs="Calibri" w:ascii="Calibri" w:hAnsi="Calibri" w:asciiTheme="minorHAnsi" w:cstheme="minorHAnsi" w:hAnsiTheme="minorHAnsi"/>
                <w:i/>
                <w:color w:val="000000"/>
                <w:kern w:val="0"/>
                <w:sz w:val="18"/>
                <w:szCs w:val="18"/>
                <w:lang w:val="es-CL" w:eastAsia="es-CL" w:bidi="ar-SA"/>
              </w:rPr>
              <w:t>b</w:t>
            </w:r>
            <w:r>
              <w:rPr>
                <w:rFonts w:eastAsia="Times New Roman" w:cs="Calibri" w:ascii="Calibri" w:hAnsi="Calibri" w:asciiTheme="minorHAnsi" w:cstheme="minorHAnsi" w:hAnsiTheme="minorHAnsi"/>
                <w:i/>
                <w:color w:val="000000"/>
                <w:kern w:val="0"/>
                <w:sz w:val="18"/>
                <w:szCs w:val="18"/>
                <w:lang w:val="es-CL" w:eastAsia="es-CL" w:bidi="ar-SA"/>
              </w:rPr>
              <w:t>le de suspensión flojo con riesgo de desmonte de la garganta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funcionamiento dispositivo protección contra sobre velocidad de cabina en subida, en ascensores de tracción por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 en dispositivo contra movimiento ascendente incontrolado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actuación del sistema de protección contra el movimiento incontrolado de la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 o no actúa correctamente el sistema de protección contra el movimiento incontrolado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36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M</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39"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765"/>
        <w:gridCol w:w="504"/>
        <w:gridCol w:w="492"/>
        <w:gridCol w:w="939"/>
        <w:gridCol w:w="450"/>
        <w:gridCol w:w="452"/>
        <w:gridCol w:w="3870"/>
      </w:tblGrid>
      <w:tr>
        <w:trPr>
          <w:tblHeader w:val="true"/>
          <w:trHeight w:val="348"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6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6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0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Funcionamiento de los dispositivos de control y seguridad y la existencia de elementos (llave de cierre, válvula de sobrepresión, válvula de paracaídas, manómetro, válvula electrónica de movimientos incontrolados de la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de parada en máquina (cuando aplica).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parada en máquina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049"/>
        <w:gridCol w:w="803"/>
        <w:gridCol w:w="451"/>
        <w:gridCol w:w="545"/>
        <w:gridCol w:w="986"/>
        <w:gridCol w:w="452"/>
        <w:gridCol w:w="444"/>
        <w:gridCol w:w="380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0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b/>
                <w:b/>
                <w:bCs/>
                <w:sz w:val="17"/>
                <w:szCs w:val="17"/>
              </w:rPr>
            </w:pPr>
            <w:r>
              <w:rPr>
                <w:rFonts w:eastAsia="Times New Roman"/>
                <w:b/>
                <w:bCs/>
                <w:kern w:val="0"/>
                <w:sz w:val="17"/>
                <w:szCs w:val="17"/>
                <w:lang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8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0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8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9.2.- ASCENSORES SIN SALA DE MÁQUINAS, CON MÁQUINA EN LA PARTE SUPERIOR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asciiTheme="minorHAnsi" w:hAnsiTheme="minorHAnsi"/>
                <w:b/>
                <w:i/>
                <w:color w:val="000000"/>
                <w:kern w:val="0"/>
                <w:sz w:val="20"/>
                <w:szCs w:val="20"/>
                <w:lang w:val="es-ES" w:eastAsia="es-CL" w:bidi="ar-SA"/>
              </w:rPr>
              <w:t>{{tabla_aplica1}}</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 mecánico de cabina, mediante cerrojo.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de la cabina no es manual.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dispone de instrucciones de dispositivo de bloqueo próximas.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accionado, no es posible realizar trabajos de mantenimiento y abandonar la zona de trabajo con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el dispositivo de bloqueo accionado, no es posible realizar trabajos de mantenimiento y abandonar la zona de trabajo con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bloqueo mecánico de cabina o contrapeso también cuando se utiliza equipamiento especifico distinto al techo de cabina (por ejemplo, plataforma)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bloqueo mecánico de la cabina o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Cs w:val="20"/>
                <w:lang w:bidi="ar-SA"/>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rodapié en perímetro plataforma de trabajo o techo de cabina usado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rodapié en techo de cabina o plataforma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rodapié del techo de cabina o plataforma de trabajo no tiene las dimensiones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9.2.6</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punto de suspensión de carga en techo de la caja de elevadores con indicación de carga máxima.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puntos de suspensión adecuados en el techo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especifica la carga máxima de utilización de los puntos de suspensión en el techo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ubicación de la cabina en zona de desenclavamiento de puertas.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r>
        <w:trPr>
          <w:trHeight w:val="611"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jc w:val="left"/>
              <w:rPr>
                <w:sz w:val="18"/>
                <w:szCs w:val="18"/>
              </w:rPr>
            </w:pPr>
            <w:r>
              <w:rPr>
                <w:rFonts w:eastAsia="Times New Roman" w:cs="Arial" w:ascii="Calibri" w:hAnsi="Calibri" w:asciiTheme="minorHAnsi" w:hAnsiTheme="minorHAnsi"/>
                <w:b/>
                <w:kern w:val="0"/>
                <w:sz w:val="18"/>
                <w:szCs w:val="18"/>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1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la ubicación de la cabina en zona de desenclavamiento de puertas.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asciiTheme="minorHAnsi" w:hAnsiTheme="minorHAnsi"/>
                <w:b/>
                <w:kern w:val="0"/>
                <w:sz w:val="18"/>
                <w:szCs w:val="18"/>
                <w:lang w:val="es-ES" w:bidi="ar-SA"/>
              </w:rPr>
              <w:t>{{tabla_aplica3}}</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8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33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10.5.3</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10.5.4</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sensor sísmico y operación de control o maniobra de acuerdo a la normativa vigente.</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Inexistencia del sensor sísmico u operación deficiente.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96"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416"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E2B05-9834-444D-A684-EB6972C1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Application>LibreOffice/7.4.7.2$Linux_X86_64 LibreOffice_project/40$Build-2</Application>
  <AppVersion>15.0000</AppVersion>
  <Pages>111</Pages>
  <Words>8278</Words>
  <Characters>54844</Characters>
  <CharactersWithSpaces>60772</CharactersWithSpaces>
  <Paragraphs>2449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2021-08-09T19:42:00Z</dcterms:created>
  <dc:creator>ICD</dc:creator>
  <dc:description/>
  <dc:language>en-US</dc:language>
  <cp:lastModifiedBy/>
  <cp:lastPrinted>2019-03-14T13:12:00Z</cp:lastPrinted>
  <dcterms:modified xsi:type="dcterms:W3CDTF">2025-01-10T15:00:23Z</dcterms:modified>
  <cp:revision>36</cp:revision>
  <dc:subject/>
  <dc:title>ESTATUTO SOCIAL</dc:title>
</cp:coreProperties>
</file>

<file path=docProps/custom.xml><?xml version="1.0" encoding="utf-8"?>
<Properties xmlns="http://schemas.openxmlformats.org/officeDocument/2006/custom-properties" xmlns:vt="http://schemas.openxmlformats.org/officeDocument/2006/docPropsVTypes"/>
</file>