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07617889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LibreOffice/7.4.7.2$Linux_X86_64 LibreOffice_project/40$Build-2</Application>
  <AppVersion>15.0000</AppVersion>
  <Pages>5</Pages>
  <Words>638</Words>
  <Characters>5273</Characters>
  <CharactersWithSpaces>5966</CharactersWithSpaces>
  <Paragraphs>202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2024-08-05T14:05:59Z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