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-2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0"/>
                <w:szCs w:val="20"/>
                <w:u w:val="none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8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color="000080" w:fill="FFFFFF" w:val="solid"/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b/>
              <w:bCs/>
              <w:color w:val="FFFFFF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color="000080" w:fill="FFFFFF" w:val="solid"/>
        </w:tcPr>
        <w:p>
          <w:pPr>
            <w:pStyle w:val="Normal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before="0" w:after="0"/>
            <w:ind w:hanging="0"/>
            <w:rPr>
              <w:color w:val="FFFFFF"/>
            </w:rPr>
          </w:pPr>
          <w:r>
            <w:rPr>
              <w:rFonts w:eastAsia="Arial" w:cs="Arial"/>
              <w:b w:val="false"/>
              <w:bCs/>
              <w:color w:val="FFFFFF"/>
              <w:kern w:val="0"/>
              <w:sz w:val="16"/>
              <w:szCs w:val="16"/>
              <w:lang w:val="pt-PT" w:bidi="ar-SA"/>
            </w:rPr>
            <w:t xml:space="preserve">14-10-2024-001H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shd w:color="000080" w:fill="FFFFFF" w:val="solid"/>
        </w:tcPr>
        <w:sdt>
          <w:sdtPr>
            <w:docPartObj>
              <w:docPartGallery w:val="Page Numbers (Top of Page)"/>
              <w:docPartUnique w:val="true"/>
            </w:docPartObj>
            <w:id w:val="953004315"/>
          </w:sdtPr>
          <w:sdtContent>
            <w:p>
              <w:pPr>
                <w:pStyle w:val="Footer"/>
                <w:widowControl w:val="false"/>
                <w:suppressAutoHyphens w:val="true"/>
                <w:ind w:hanging="0"/>
                <w:jc w:val="center"/>
                <w:rPr>
                  <w:b w:val="false"/>
                  <w:b w:val="false"/>
                  <w:bCs w:val="false"/>
                  <w:szCs w:val="16"/>
                  <w:lang w:val="pt-PT"/>
                </w:rPr>
              </w:pPr>
              <w:r>
                <w:rPr>
                  <w:rFonts w:eastAsia="Times New Roman" w:cs="Arial"/>
                  <w:b/>
                  <w:bCs/>
                  <w:color w:val="FFFFFF"/>
                  <w:kern w:val="0"/>
                  <w:szCs w:val="20"/>
                  <w:lang w:val="pt-BR" w:bidi="ar-SA"/>
                </w:rPr>
                <w:t>F4–PRO-ASC-01</w:t>
              </w:r>
              <w:r>
                <w:rPr>
                  <w:rFonts w:eastAsia="Times New Roman" w:cs="Arial"/>
                  <w:b/>
                  <w:bCs/>
                  <w:color w:val="FFFFFF"/>
                  <w:kern w:val="0"/>
                  <w:szCs w:val="20"/>
                  <w:lang w:bidi="ar-SA"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color="000080" w:fill="FFFFFF" w:val="solid"/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b/>
              <w:bCs/>
              <w:color w:val="FFFFFF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color="000080" w:fill="FFFFFF" w:val="solid"/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b/>
              <w:bCs/>
              <w:color w:val="FFFFFF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instrText xml:space="preserve"> PAGE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fldChar w:fldCharType="end"/>
          </w:r>
          <w:r>
            <w:rPr>
              <w:rFonts w:eastAsia="Times New Roman" w:cs="Times New Roman"/>
              <w:b/>
              <w:bCs/>
              <w:color w:val="FFFFFF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b/>
              <w:bCs/>
              <w:color w:val="FFFFFF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b/>
              <w:bCs/>
              <w:color w:val="FFFFFF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instrText xml:space="preserve"> NUMPAGES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FFFFFF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LibreOffice/7.4.7.2$Linux_X86_64 LibreOffice_project/40$Build-2</Application>
  <AppVersion>15.0000</AppVersion>
  <Pages>4</Pages>
  <Words>628</Words>
  <Characters>5177</Characters>
  <CharactersWithSpaces>5826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2024-11-13T12:35:09Z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