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CL"/>
        </w:rPr>
      </w:pPr>
      <w:r>
        <w:rPr>
          <w:rFonts w:cs="Arial"/>
          <w:b/>
          <w:lang w:val="es-CL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lang w:val="es-CL"/>
        </w:rPr>
        <w:t xml:space="preserve">   </w:t>
      </w:r>
      <w:r>
        <w:rPr>
          <w:rFonts w:cs="Arial"/>
          <w:lang w:val="es-ES"/>
        </w:rPr>
        <w:t xml:space="preserve">Requisito Evaluado: </w:t>
      </w:r>
      <w:r>
        <w:rPr>
          <w:rFonts w:cs="Arial"/>
          <w:b/>
        </w:rPr>
        <w:t>DOCUMENTAL CARPETA 0. (DO)</w:t>
      </w:r>
    </w:p>
    <w:p>
      <w:pPr>
        <w:pStyle w:val="Normal"/>
        <w:widowControl w:val="false"/>
        <w:spacing w:before="0" w:after="0"/>
        <w:rPr>
          <w:rFonts w:cs="Arial"/>
          <w:b/>
          <w:b/>
        </w:rPr>
      </w:pPr>
      <w:r>
        <w:rPr>
          <w:rFonts w:cs="Arial"/>
          <w:b/>
        </w:rPr>
      </w:r>
    </w:p>
    <w:tbl>
      <w:tblPr>
        <w:tblStyle w:val="Tablaconcuadrcula"/>
        <w:tblW w:w="10500" w:type="dxa"/>
        <w:jc w:val="left"/>
        <w:tblInd w:w="-73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1059"/>
        <w:gridCol w:w="2935"/>
        <w:gridCol w:w="993"/>
        <w:gridCol w:w="1069"/>
        <w:gridCol w:w="506"/>
        <w:gridCol w:w="3937"/>
      </w:tblGrid>
      <w:tr>
        <w:trPr>
          <w:tblHeader w:val="true"/>
          <w:trHeight w:val="344" w:hRule="atLeast"/>
        </w:trPr>
        <w:tc>
          <w:tcPr>
            <w:tcW w:w="3994" w:type="dxa"/>
            <w:gridSpan w:val="2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NCh.2840:2018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</w:trPr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Requisito</w:t>
            </w:r>
          </w:p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D37 MINVU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Característica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color="auto" w:fill="B8CCE4" w:themeFill="accent1" w:themeFillTint="66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440" w:hRule="atLeast"/>
        </w:trPr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conformidad MINVU.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2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de planta ascensores (primer piso).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3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Certificado de inscripción vigente del instalador.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4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cumple normativa.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5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jurada del instalador, que se ejecutaron los ensayos y que se encuentra sin fallas.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6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Declaración de instalación eléctrica (te1) y plano respectivo.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7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En ascensores electromecánicos vert. Se adjunta informe técnico.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 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8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Plano y esp. Técnicas de cada uno anexo c norma 440/1 de los instaladores.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>
          <w:trHeight w:val="404" w:hRule="atLeast"/>
        </w:trPr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9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Plan anual de mantención.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10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procedimiento e inspecciones.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  <w:tr>
        <w:trPr/>
        <w:tc>
          <w:tcPr>
            <w:tcW w:w="10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11</w:t>
            </w:r>
          </w:p>
        </w:tc>
        <w:tc>
          <w:tcPr>
            <w:tcW w:w="293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Manual de uso e instrucciones de rescate.</w:t>
            </w:r>
          </w:p>
        </w:tc>
        <w:tc>
          <w:tcPr>
            <w:tcW w:w="993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szCs w:val="20"/>
                <w:lang w:val="es-ES" w:bidi="ar-SA"/>
              </w:rPr>
              <w:t>{{carpeta_si}}</w:t>
            </w:r>
          </w:p>
        </w:tc>
        <w:tc>
          <w:tcPr>
            <w:tcW w:w="106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lang w:val="es-ES"/>
              </w:rPr>
            </w:pPr>
            <w:r>
              <w:rPr>
                <w:rFonts w:eastAsia="Times New Roman"/>
                <w:kern w:val="0"/>
                <w:sz w:val="20"/>
                <w:szCs w:val="20"/>
                <w:lang w:bidi="ar-SA"/>
              </w:rPr>
              <w:t>{{carpeta_f}}</w:t>
            </w:r>
          </w:p>
        </w:tc>
        <w:tc>
          <w:tcPr>
            <w:tcW w:w="50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Arial" w:asciiTheme="minorHAnsi" w:hAnsiTheme="minorHAnsi"/>
                <w:b/>
                <w:b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color w:val="4F81BD" w:themeColor="accent1"/>
                <w:kern w:val="0"/>
                <w:sz w:val="20"/>
                <w:szCs w:val="20"/>
                <w:lang w:bidi="ar-SA"/>
              </w:rPr>
              <w:t>({{carpeta_no_aplica}})</w:t>
            </w:r>
          </w:p>
        </w:tc>
        <w:tc>
          <w:tcPr>
            <w:tcW w:w="3937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Arial" w:asciiTheme="minorHAnsi" w:hAnsiTheme="minorHAnsi"/>
                <w:bCs/>
                <w:lang w:val="es-ES"/>
              </w:rPr>
            </w:pPr>
            <w:r>
              <w:rPr>
                <w:rFonts w:eastAsia="Times New Roman" w:cs="Arial"/>
                <w:bCs/>
                <w:kern w:val="0"/>
                <w:sz w:val="20"/>
                <w:szCs w:val="20"/>
                <w:lang w:val="es-ES" w:bidi="ar-SA"/>
              </w:rPr>
              <w:t>{{carpeta_comentario}}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{{if_viejo}}</w:t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{{na1-1}}          </w:t>
        <w:tab/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</w:rPr>
      </w:pPr>
      <w:r>
        <w:rPr>
          <w:rFonts w:cs="Arial"/>
          <w:b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 REQUISITOS GENERALES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47" w:type="dxa"/>
        <w:jc w:val="left"/>
        <w:tblInd w:w="-786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72"/>
        <w:gridCol w:w="2671"/>
        <w:gridCol w:w="1051"/>
        <w:gridCol w:w="1049"/>
        <w:gridCol w:w="1078"/>
        <w:gridCol w:w="535"/>
        <w:gridCol w:w="2690"/>
      </w:tblGrid>
      <w:tr>
        <w:trPr>
          <w:tblHeader w:val="true"/>
          <w:trHeight w:val="344" w:hRule="atLeast"/>
          <w:cantSplit w:val="true"/>
        </w:trPr>
        <w:tc>
          <w:tcPr>
            <w:tcW w:w="51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7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5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69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4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5.1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Instalación sin  materiales nocivos (por ejemplo, asbestos)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4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{{na2-1}}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5.2 ESTRUCTURA DE SOPORTE (BASTIDOR) Y CERRAMIENTO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09" w:type="dxa"/>
        <w:jc w:val="left"/>
        <w:tblInd w:w="-74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25"/>
        <w:gridCol w:w="2691"/>
        <w:gridCol w:w="1002"/>
        <w:gridCol w:w="1079"/>
        <w:gridCol w:w="1078"/>
        <w:gridCol w:w="534"/>
        <w:gridCol w:w="2699"/>
      </w:tblGrid>
      <w:tr>
        <w:trPr>
          <w:tblHeader w:val="true"/>
          <w:trHeight w:val="344" w:hRule="atLeast"/>
          <w:cantSplit w:val="true"/>
        </w:trPr>
        <w:tc>
          <w:tcPr>
            <w:tcW w:w="51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4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69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5.2.1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Cerramiento  completo  de  las partes mecánicas móviles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425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5.2.1</w:t>
            </w:r>
          </w:p>
        </w:tc>
        <w:tc>
          <w:tcPr>
            <w:tcW w:w="2691" w:type="dxa"/>
            <w:tcBorders>
              <w:top w:val="nil"/>
              <w:left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Aperturas de ventilación de acuerdo a EN ISO 13857:2008, Tabla 5</w:t>
            </w:r>
          </w:p>
        </w:tc>
        <w:tc>
          <w:tcPr>
            <w:tcW w:w="1002" w:type="dxa"/>
            <w:tcBorders>
              <w:top w:val="nil"/>
              <w:left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425" w:type="dxa"/>
            <w:tcBorders>
              <w:left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5.2.1</w:t>
            </w:r>
          </w:p>
        </w:tc>
        <w:tc>
          <w:tcPr>
            <w:tcW w:w="2691" w:type="dxa"/>
            <w:tcBorders>
              <w:left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Protección     de     acceso     a los cuartos de máquinas, estaciones   de   accionamiento y de retorno por contacto de seguridad</w:t>
            </w:r>
          </w:p>
        </w:tc>
        <w:tc>
          <w:tcPr>
            <w:tcW w:w="1002" w:type="dxa"/>
            <w:tcBorders>
              <w:left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4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5.2.1</w:t>
            </w:r>
          </w:p>
        </w:tc>
        <w:tc>
          <w:tcPr>
            <w:tcW w:w="2691" w:type="dxa"/>
            <w:tcBorders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Dispositivo de seguridad para cubiertas de inspección y tapas que puedan ser abiertas</w:t>
            </w:r>
          </w:p>
        </w:tc>
        <w:tc>
          <w:tcPr>
            <w:tcW w:w="1002" w:type="dxa"/>
            <w:tcBorders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5.2.2.1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Procedimiento  de limpieza  en el lugar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5.2.2.2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Posibilidad de limpieza periódica para reducir la acumulación de material combustible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{{na2-2}}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{{na3-1}}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5.3 ESCALONES, PLACA, BANDA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34" w:type="dxa"/>
        <w:jc w:val="left"/>
        <w:tblInd w:w="-66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50"/>
        <w:gridCol w:w="2691"/>
        <w:gridCol w:w="1002"/>
        <w:gridCol w:w="1078"/>
        <w:gridCol w:w="1079"/>
        <w:gridCol w:w="533"/>
        <w:gridCol w:w="2700"/>
      </w:tblGrid>
      <w:tr>
        <w:trPr>
          <w:tblHeader w:val="true"/>
          <w:trHeight w:val="344" w:hRule="atLeast"/>
          <w:cantSplit w:val="true"/>
        </w:trPr>
        <w:tc>
          <w:tcPr>
            <w:tcW w:w="50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5.3.1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Cerramiento  completo  de  las partes mecánicas móviles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5.3.2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Aperturas de ventilación de acuerdo a EN ISO 13857:2008, Tabla 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 xml:space="preserve">5.3.3 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Protección     de     acceso     a los cuartos de máquinas, estaciones   de   accionamiento y de retorno por contacto de seguridad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5.3.4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Dispositivo de seguridad para cubiertas de inspección y tapas que puedan ser abiertas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color w:val="1C3846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color w:val="1C3846"/>
                <w:kern w:val="0"/>
                <w:sz w:val="18"/>
                <w:szCs w:val="18"/>
                <w:lang w:val="es-CL" w:eastAsia="es-CL" w:bidi="ar-SA"/>
              </w:rPr>
              <w:t>5.3.5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Procedimiento  de limpieza  en el lugar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5.3.6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Posibilidad de limpieza periódica para reducir la acumulación de material combustible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{{na3-2}}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{{na4-1}}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5.4 UNIDAD DE ESTACIONAMIENTO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34" w:type="dxa"/>
        <w:jc w:val="left"/>
        <w:tblInd w:w="-66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50"/>
        <w:gridCol w:w="2691"/>
        <w:gridCol w:w="1002"/>
        <w:gridCol w:w="1078"/>
        <w:gridCol w:w="1079"/>
        <w:gridCol w:w="533"/>
        <w:gridCol w:w="2700"/>
      </w:tblGrid>
      <w:tr>
        <w:trPr>
          <w:tblHeader w:val="true"/>
          <w:trHeight w:val="344" w:hRule="atLeast"/>
          <w:cantSplit w:val="true"/>
        </w:trPr>
        <w:tc>
          <w:tcPr>
            <w:tcW w:w="50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5.4.1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Parada de la maquina por dos contactores independientes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5.4.1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Condiciones de rearme adecuadas de los dos contactores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5.4.1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Operación segura del dispositivo de maniobra manual del freno</w:t>
            </w:r>
          </w:p>
        </w:tc>
        <w:tc>
          <w:tcPr>
            <w:tcW w:w="10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5.4.2.1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 contra  sobre velocidad</w:t>
            </w:r>
          </w:p>
        </w:tc>
        <w:tc>
          <w:tcPr>
            <w:tcW w:w="10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5.4.2.2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 contra  la  inversión no intencionada de la dirección de marcha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kern w:val="0"/>
                <w:sz w:val="18"/>
                <w:szCs w:val="18"/>
                <w:lang w:val="es-CL" w:eastAsia="es-CL" w:bidi="ar-SA"/>
              </w:rPr>
              <w:t>5.4.2.3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Irrupción   de   la   alimentación eléctrica del freno por al menos dos     dispositivos eléctricos independientes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5.4.2.4</w:t>
            </w:r>
          </w:p>
        </w:tc>
        <w:tc>
          <w:tcPr>
            <w:tcW w:w="26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 de  control  para  la liberación del freno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B</w:t>
            </w:r>
          </w:p>
        </w:tc>
        <w:tc>
          <w:tcPr>
            <w:tcW w:w="10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5.4.2.5</w:t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Presencia de freno auxiliar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kern w:val="0"/>
                <w:sz w:val="18"/>
                <w:szCs w:val="18"/>
                <w:lang w:val="es-CL" w:eastAsia="es-CL" w:bidi="ar-SA"/>
              </w:rPr>
              <w:t>5.4.2.6</w:t>
            </w:r>
          </w:p>
        </w:tc>
        <w:tc>
          <w:tcPr>
            <w:tcW w:w="26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18"/>
                <w:szCs w:val="18"/>
                <w:lang w:val="es-CL" w:eastAsia="es-CL" w:bidi="ar-SA"/>
              </w:rPr>
              <w:t>Cumplimiento de las distancias de frenado en  condiciones  de funcionamiento sin carga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{{na4-2}}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{{na5-1}}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5.5 BALAUSTRADA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49" w:type="dxa"/>
        <w:jc w:val="left"/>
        <w:tblInd w:w="-66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50"/>
        <w:gridCol w:w="2690"/>
        <w:gridCol w:w="1003"/>
        <w:gridCol w:w="1079"/>
        <w:gridCol w:w="1078"/>
        <w:gridCol w:w="534"/>
        <w:gridCol w:w="2714"/>
      </w:tblGrid>
      <w:tr>
        <w:trPr>
          <w:tblHeader w:val="true"/>
          <w:trHeight w:val="344" w:hRule="atLeast"/>
          <w:cantSplit w:val="true"/>
        </w:trPr>
        <w:tc>
          <w:tcPr>
            <w:tcW w:w="50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1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5.5.2.1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Altura vertical del pasamanos en la sección  inclinada no menor que 0,90 m y no mayor que 1,10 m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B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single" w:sz="8" w:space="0" w:color="1F3B4B"/>
              <w:left w:val="single" w:sz="8" w:space="0" w:color="000000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5.5.2.2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2B4F60"/>
              <w:bottom w:val="nil"/>
              <w:right w:val="single" w:sz="8" w:space="0" w:color="2F4B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Angulo de  inclinación    del panelado interior de al menos 25° con la horizontal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B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5.5.2.3</w:t>
            </w:r>
          </w:p>
        </w:tc>
        <w:tc>
          <w:tcPr>
            <w:tcW w:w="26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284B57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anti subida instalado en al    panelado exterior de   acuerdo    con   la   norma NCh3344/1, apartado 5.5.2.2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5.5.2.3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8" w:space="0" w:color="000000"/>
              <w:right w:val="single" w:sz="8" w:space="0" w:color="284B57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Dispositivos antideslizantes ubicados a nivel del pasamanos en la cubierta de la balaustrada e instalados entre la escalera mecánica/rampa móvil y muros adyacentes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B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:lang w:val="es-CL" w:eastAsia="es-CL" w:bidi="ar-SA"/>
              </w:rPr>
              <w:t>5.5.3</w:t>
            </w:r>
          </w:p>
        </w:tc>
        <w:tc>
          <w:tcPr>
            <w:tcW w:w="26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Deflectores de faldilla instalados para minimizar la posibilidad de atrapamiento entre las faldillas y los escalones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{{na5-2}}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{{na6-1}}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5.6 PASAMANOS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16" w:type="dxa"/>
        <w:jc w:val="left"/>
        <w:tblInd w:w="-627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13"/>
        <w:gridCol w:w="2689"/>
        <w:gridCol w:w="1003"/>
        <w:gridCol w:w="1078"/>
        <w:gridCol w:w="1081"/>
        <w:gridCol w:w="533"/>
        <w:gridCol w:w="2718"/>
      </w:tblGrid>
      <w:tr>
        <w:trPr>
          <w:tblHeader w:val="true"/>
          <w:trHeight w:val="344" w:hRule="atLeast"/>
          <w:cantSplit w:val="true"/>
        </w:trPr>
        <w:tc>
          <w:tcPr>
            <w:tcW w:w="50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5.6.1</w:t>
            </w:r>
          </w:p>
        </w:tc>
        <w:tc>
          <w:tcPr>
            <w:tcW w:w="2689" w:type="dxa"/>
            <w:tcBorders>
              <w:top w:val="nil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Presencia   de   un   dispositivo de control de la velocidad del pasamanos o de un dispositivo de detección del movimiento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5.6.2</w:t>
            </w:r>
          </w:p>
        </w:tc>
        <w:tc>
          <w:tcPr>
            <w:tcW w:w="2689" w:type="dxa"/>
            <w:tcBorders>
              <w:top w:val="single" w:sz="8" w:space="0" w:color="000000"/>
              <w:left w:val="single" w:sz="8" w:space="0" w:color="2B4F60"/>
              <w:bottom w:val="nil"/>
              <w:right w:val="single" w:sz="8" w:space="0" w:color="2F4B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Distancia horizontal aceptable entre pasamanos, perfiles de protección y guías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5.6.3.1 </w:t>
            </w:r>
          </w:p>
        </w:tc>
        <w:tc>
          <w:tcPr>
            <w:tcW w:w="2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284B57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Entrada del pasamanos protegida con una cubierta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5.6.3.1 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8" w:space="0" w:color="000000"/>
              <w:right w:val="single" w:sz="8" w:space="0" w:color="284B57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eléctrico de seguridad en la entrada del pasamanos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5.6.3.2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Cabeza de balaustrada de acuerdo con NCh3344/1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{{na6-2}}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{{na7-1}}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5.7 RELLANOS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10412" w:type="dxa"/>
        <w:jc w:val="left"/>
        <w:tblInd w:w="-627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11"/>
        <w:gridCol w:w="2692"/>
        <w:gridCol w:w="1003"/>
        <w:gridCol w:w="1077"/>
        <w:gridCol w:w="1088"/>
        <w:gridCol w:w="545"/>
        <w:gridCol w:w="2695"/>
      </w:tblGrid>
      <w:tr>
        <w:trPr>
          <w:tblHeader w:val="true"/>
          <w:trHeight w:val="344" w:hRule="atLeast"/>
          <w:cantSplit w:val="true"/>
        </w:trPr>
        <w:tc>
          <w:tcPr>
            <w:tcW w:w="500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8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6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8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69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5.7.1 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Asegurar la pisada en los rellanos  (Placa de peine y placa de suelo)</w:t>
            </w:r>
          </w:p>
        </w:tc>
        <w:tc>
          <w:tcPr>
            <w:tcW w:w="10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A </w:t>
            </w:r>
          </w:p>
        </w:tc>
        <w:tc>
          <w:tcPr>
            <w:tcW w:w="1077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5.7.2 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Encaje correcto de los peines </w:t>
            </w:r>
          </w:p>
        </w:tc>
        <w:tc>
          <w:tcPr>
            <w:tcW w:w="10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A 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5.7.3 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Eléctrico de seguridad colocado en el conjunto del peine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A 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color w:val="00020F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5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52130"/>
                <w:kern w:val="0"/>
                <w:sz w:val="18"/>
                <w:szCs w:val="18"/>
                <w:lang w:val="es-CL" w:eastAsia="es-CL" w:bidi="ar-SA"/>
              </w:rPr>
              <w:t>.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7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515"/>
                <w:kern w:val="0"/>
                <w:sz w:val="18"/>
                <w:szCs w:val="18"/>
                <w:lang w:val="es-CL" w:eastAsia="es-CL" w:bidi="ar-SA"/>
              </w:rPr>
              <w:t>.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 xml:space="preserve">4 </w:t>
            </w:r>
          </w:p>
        </w:tc>
        <w:tc>
          <w:tcPr>
            <w:tcW w:w="26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color w:val="00020F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D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515"/>
                <w:kern w:val="0"/>
                <w:sz w:val="18"/>
                <w:szCs w:val="18"/>
                <w:lang w:val="es-CL" w:eastAsia="es-CL" w:bidi="ar-SA"/>
              </w:rPr>
              <w:t>i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spos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515"/>
                <w:kern w:val="0"/>
                <w:sz w:val="18"/>
                <w:szCs w:val="18"/>
                <w:lang w:val="es-CL" w:eastAsia="es-CL" w:bidi="ar-SA"/>
              </w:rPr>
              <w:t>i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t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515"/>
                <w:kern w:val="0"/>
                <w:sz w:val="18"/>
                <w:szCs w:val="18"/>
                <w:lang w:val="es-CL" w:eastAsia="es-CL" w:bidi="ar-SA"/>
              </w:rPr>
              <w:t>i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>vo de detec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515"/>
                <w:kern w:val="0"/>
                <w:sz w:val="18"/>
                <w:szCs w:val="18"/>
                <w:lang w:val="es-CL" w:eastAsia="es-CL" w:bidi="ar-SA"/>
              </w:rPr>
              <w:t>c</w:t>
            </w: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 xml:space="preserve">ión para la oscilación del escalón o placa </w:t>
            </w:r>
          </w:p>
        </w:tc>
        <w:tc>
          <w:tcPr>
            <w:tcW w:w="100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color w:val="00020F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color w:val="00020F"/>
                <w:kern w:val="0"/>
                <w:sz w:val="18"/>
                <w:szCs w:val="18"/>
                <w:lang w:val="es-CL" w:eastAsia="es-CL" w:bidi="ar-SA"/>
              </w:rPr>
              <w:t xml:space="preserve">A 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{{na7-2}}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{{na8-1}}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5.8 CUARTOS DE MAQUINARIA, ESTACIONES DE ACCIONAMIENTO Y DE RETORNO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27" w:type="dxa"/>
        <w:jc w:val="left"/>
        <w:tblInd w:w="-69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76"/>
        <w:gridCol w:w="2692"/>
        <w:gridCol w:w="1003"/>
        <w:gridCol w:w="1078"/>
        <w:gridCol w:w="1078"/>
        <w:gridCol w:w="535"/>
        <w:gridCol w:w="2764"/>
      </w:tblGrid>
      <w:tr>
        <w:trPr>
          <w:tblHeader w:val="true"/>
          <w:trHeight w:val="344" w:hRule="atLeast"/>
          <w:cantSplit w:val="true"/>
        </w:trPr>
        <w:tc>
          <w:tcPr>
            <w:tcW w:w="507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3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269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53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6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5.8.1 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Protección de acceso a partes móviles o rotativas </w:t>
            </w:r>
          </w:p>
        </w:tc>
        <w:tc>
          <w:tcPr>
            <w:tcW w:w="100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 xml:space="preserve">M 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5.8.2 </w:t>
            </w:r>
          </w:p>
        </w:tc>
        <w:tc>
          <w:tcPr>
            <w:tcW w:w="26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Área para estar de pie suficiente 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 xml:space="preserve">M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 xml:space="preserve">5.8.3 </w:t>
            </w:r>
          </w:p>
        </w:tc>
        <w:tc>
          <w:tcPr>
            <w:tcW w:w="26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Elementos para la elevación adecuados en caso de cuadro de control desmontable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 xml:space="preserve">M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5.8.4</w:t>
            </w:r>
          </w:p>
        </w:tc>
        <w:tc>
          <w:tcPr>
            <w:tcW w:w="26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Toma de corriente para iluminación en los cuartos de maquinaria</w:t>
            </w:r>
          </w:p>
        </w:tc>
        <w:tc>
          <w:tcPr>
            <w:tcW w:w="10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5.8.4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Intensidad luminosa de 200 lux en las áreas de trabajo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5.8.5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de parada de emergencia existente en las estaciones de accionamiento y de retorno (área del técnico)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3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5.8.5</w:t>
            </w:r>
          </w:p>
        </w:tc>
        <w:tc>
          <w:tcPr>
            <w:tcW w:w="2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Dispositivo de parada de emergencia compatible en las estaciones de accionamiento y de retorno (área del técnico)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val="es-CL" w:eastAsia="es-CL" w:bidi="ar-SA"/>
              </w:rPr>
              <w:t>B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{{na8-2}}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{{na11-1}}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5.11 INSTALACIONES Y APARATOS ELECTRICOS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09" w:type="dxa"/>
        <w:jc w:val="left"/>
        <w:tblInd w:w="-66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59"/>
        <w:gridCol w:w="3057"/>
        <w:gridCol w:w="899"/>
        <w:gridCol w:w="1079"/>
        <w:gridCol w:w="994"/>
        <w:gridCol w:w="627"/>
        <w:gridCol w:w="2793"/>
      </w:tblGrid>
      <w:tr>
        <w:trPr>
          <w:tblHeader w:val="true"/>
          <w:trHeight w:val="344" w:hRule="atLeast"/>
          <w:cantSplit w:val="true"/>
        </w:trPr>
        <w:tc>
          <w:tcPr>
            <w:tcW w:w="501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305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89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9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5.11.1.2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contra choque eléctrico: Protección  suficiente de partes eléctricas activas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5.11.1.3,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5.11.1.4,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5.13.3</w:t>
            </w:r>
          </w:p>
        </w:tc>
        <w:tc>
          <w:tcPr>
            <w:tcW w:w="3057" w:type="dxa"/>
            <w:tcBorders>
              <w:top w:val="nil"/>
              <w:left w:val="single" w:sz="8" w:space="0" w:color="2B4F60"/>
              <w:bottom w:val="nil"/>
              <w:right w:val="single" w:sz="8" w:space="0" w:color="2F4B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contra  choque eléctrico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5.11.2</w:t>
            </w:r>
          </w:p>
        </w:tc>
        <w:tc>
          <w:tcPr>
            <w:tcW w:w="30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284B57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contra la conexión de la unidad por ausencia  de interruptor principal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5.11.2</w:t>
            </w:r>
          </w:p>
        </w:tc>
        <w:tc>
          <w:tcPr>
            <w:tcW w:w="30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 contra  la  conexión de la unidad por un interruptor principal inadecuado</w:t>
            </w: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5.11.3</w:t>
            </w:r>
          </w:p>
        </w:tc>
        <w:tc>
          <w:tcPr>
            <w:tcW w:w="30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Descarga electrostática relacionada con pasamanos, banda de escalones</w:t>
            </w: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B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{{na11-2}}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{{na12-1}}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5.12 PROTECCION CONTRA FALLOS ELECTRICOS-MANIOBRA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509" w:type="dxa"/>
        <w:jc w:val="left"/>
        <w:tblInd w:w="-65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59"/>
        <w:gridCol w:w="3057"/>
        <w:gridCol w:w="899"/>
        <w:gridCol w:w="1079"/>
        <w:gridCol w:w="994"/>
        <w:gridCol w:w="627"/>
        <w:gridCol w:w="2793"/>
      </w:tblGrid>
      <w:tr>
        <w:trPr>
          <w:tblHeader w:val="true"/>
          <w:trHeight w:val="344" w:hRule="atLeast"/>
          <w:cantSplit w:val="true"/>
        </w:trPr>
        <w:tc>
          <w:tcPr>
            <w:tcW w:w="501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305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89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9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firstLine="18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5.12.1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8" w:space="0" w:color="000000"/>
              <w:right w:val="single" w:sz="8" w:space="0" w:color="1C3848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Disponibilidad   de   interruptor de parada para situaciones de emergencia (área del usuario)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firstLine="18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5.12.1</w:t>
            </w:r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Diseño y posición adecuada para el interruptor de parada para situaciones de emergencia (área del usuario)</w:t>
            </w:r>
          </w:p>
        </w:tc>
        <w:tc>
          <w:tcPr>
            <w:tcW w:w="8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firstLine="18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5.12.2</w:t>
            </w:r>
          </w:p>
        </w:tc>
        <w:tc>
          <w:tcPr>
            <w:tcW w:w="30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133844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Disponibilidad  de maniobra de inspección</w:t>
            </w: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7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 xml:space="preserve">{{na12-2}}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{{na13-1}}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5.13 INTERFACES CON EL EDIFICIO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tbl>
      <w:tblPr>
        <w:tblStyle w:val="Tablaconcuadrcula"/>
        <w:tblW w:w="10444" w:type="dxa"/>
        <w:jc w:val="left"/>
        <w:tblInd w:w="-64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59"/>
        <w:gridCol w:w="3055"/>
        <w:gridCol w:w="902"/>
        <w:gridCol w:w="1067"/>
        <w:gridCol w:w="1005"/>
        <w:gridCol w:w="629"/>
        <w:gridCol w:w="2726"/>
      </w:tblGrid>
      <w:tr>
        <w:trPr>
          <w:tblHeader w:val="true"/>
          <w:trHeight w:val="344" w:hRule="atLeast"/>
        </w:trPr>
        <w:tc>
          <w:tcPr>
            <w:tcW w:w="501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6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10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</w:trPr>
        <w:tc>
          <w:tcPr>
            <w:tcW w:w="10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305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6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100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62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2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5.13.1.1</w:t>
            </w:r>
          </w:p>
        </w:tc>
        <w:tc>
          <w:tcPr>
            <w:tcW w:w="30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Altura libre sobre los escalones de la escalera mecánica o placas o banda del rampa móvil en cualquier punto, no menor que a 2,30 m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5.13.1.2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Espacio suficiente entre el pasamanos y los interfaces con el edificio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5.13.1.3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Medidas preventivas adecuadas contra obstáculos del edificio que puedan causar lesiones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5.13.1.4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Área libre suficiente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630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5.13.1.5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Acceso libre  desde los rellanos o salidas intermedias de escaleras mecánicas o rampas móviles consecutivos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B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5.13.1.6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Protección  adecuada  ante calda desde los rellanos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5.13.1.7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Iluminación   adecuada   en   la línea de intersección del peine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5.13.2.1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Cuartos  de   maquinaria  fuera del bastidor bajo llave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5.13.2.2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Iluminación adecuada en los cuartos de máquinas y áreas de trabajo tuera del bastidor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5.13.2.3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Iluminación     de     emergencia adecuada para una evacuación segura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5.13.2.4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Áreas de trabajo adecuadas en los cuartos  de máquinas fuera del bastidor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5.13.2.5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Altura  y  ancho  de  acceso  a los cuartos de maquinaria adecuadas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5.13.2.6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Altura  libre  adecuada  en  los cuartos de máquinas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  <w:tr>
        <w:trPr>
          <w:trHeight w:val="566" w:hRule="atLeast"/>
        </w:trPr>
        <w:tc>
          <w:tcPr>
            <w:tcW w:w="1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5.13.3</w:t>
            </w:r>
          </w:p>
        </w:tc>
        <w:tc>
          <w:tcPr>
            <w:tcW w:w="3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Adecuada  alimentación eléctrica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cs="Arial" w:ascii="Calibri" w:hAnsi="Calibri"/>
                <w:sz w:val="18"/>
                <w:szCs w:val="18"/>
                <w:lang w:val="es-ES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{{na13-2}}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{{na14-1}}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5.14 SEÑALES DE SEGURIDAD PARA LOS USUARIOS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44" w:type="dxa"/>
        <w:jc w:val="left"/>
        <w:tblInd w:w="-636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59"/>
        <w:gridCol w:w="3055"/>
        <w:gridCol w:w="902"/>
        <w:gridCol w:w="1078"/>
        <w:gridCol w:w="994"/>
        <w:gridCol w:w="629"/>
        <w:gridCol w:w="2726"/>
      </w:tblGrid>
      <w:tr>
        <w:trPr>
          <w:tblHeader w:val="true"/>
          <w:trHeight w:val="344" w:hRule="atLeast"/>
          <w:cantSplit w:val="true"/>
        </w:trPr>
        <w:tc>
          <w:tcPr>
            <w:tcW w:w="501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305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62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72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0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5.14</w:t>
            </w:r>
          </w:p>
        </w:tc>
        <w:tc>
          <w:tcPr>
            <w:tcW w:w="30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Instalar  un  conjunto  completo de señales de seguridad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bidi="ar-SA"/>
              </w:rPr>
              <w:t>{{tabla_si}}</w:t>
            </w:r>
          </w:p>
        </w:tc>
        <w:tc>
          <w:tcPr>
            <w:tcW w:w="994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2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72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8"/>
                <w:szCs w:val="18"/>
                <w:lang w:val="es-ES" w:bidi="ar-SA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{{na14-2}}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/>
        <w:tab/>
        <w:t>{{na15-1}}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lang w:val="es-ES"/>
        </w:rPr>
      </w:pPr>
      <w:r>
        <w:rPr>
          <w:rFonts w:cs="Arial"/>
          <w:b/>
          <w:lang w:val="es-ES"/>
        </w:rPr>
        <w:t>5.15 UTILIZACION DE CARROS DE COMPRA Y DE CARROS DE EQUIPAJE</w:t>
      </w:r>
    </w:p>
    <w:p>
      <w:pPr>
        <w:pStyle w:val="Normal"/>
        <w:widowControl w:val="false"/>
        <w:spacing w:before="0" w:after="0"/>
        <w:ind w:hanging="0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tbl>
      <w:tblPr>
        <w:tblStyle w:val="Tablaconcuadrcula"/>
        <w:tblW w:w="10444" w:type="dxa"/>
        <w:jc w:val="left"/>
        <w:tblInd w:w="-645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076"/>
        <w:gridCol w:w="3068"/>
        <w:gridCol w:w="919"/>
        <w:gridCol w:w="1078"/>
        <w:gridCol w:w="966"/>
        <w:gridCol w:w="645"/>
        <w:gridCol w:w="2691"/>
      </w:tblGrid>
      <w:tr>
        <w:trPr>
          <w:tblHeader w:val="true"/>
          <w:trHeight w:val="344" w:hRule="atLeast"/>
          <w:cantSplit w:val="true"/>
        </w:trPr>
        <w:tc>
          <w:tcPr>
            <w:tcW w:w="506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NCh.3344/2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CUMPLE</w:t>
            </w:r>
          </w:p>
        </w:tc>
        <w:tc>
          <w:tcPr>
            <w:tcW w:w="96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6"/>
                <w:szCs w:val="20"/>
                <w:lang w:val="es-ES" w:bidi="ar-SA"/>
              </w:rPr>
              <w:t>FALTAS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26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60" w:after="60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blHeader w:val="true"/>
          <w:trHeight w:val="689" w:hRule="atLeast"/>
          <w:cantSplit w:val="true"/>
        </w:trPr>
        <w:tc>
          <w:tcPr>
            <w:tcW w:w="1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Art.</w:t>
            </w:r>
          </w:p>
        </w:tc>
        <w:tc>
          <w:tcPr>
            <w:tcW w:w="306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Aspectos a verificar</w:t>
            </w:r>
          </w:p>
        </w:tc>
        <w:tc>
          <w:tcPr>
            <w:tcW w:w="91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Nivel de prioridad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SI/NO</w:t>
            </w:r>
          </w:p>
        </w:tc>
        <w:tc>
          <w:tcPr>
            <w:tcW w:w="96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FG/FL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8"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NA</w:t>
            </w:r>
          </w:p>
        </w:tc>
        <w:tc>
          <w:tcPr>
            <w:tcW w:w="269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color="auto" w:fill="B8CCE4" w:themeFill="accent1" w:themeFillTint="6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lang w:val="es-ES"/>
              </w:rPr>
            </w:pPr>
            <w:r>
              <w:rPr>
                <w:rFonts w:eastAsia="Times New Roman" w:cs="Arial"/>
                <w:b/>
                <w:kern w:val="0"/>
                <w:sz w:val="18"/>
                <w:szCs w:val="20"/>
                <w:lang w:val="es-ES" w:bidi="ar-SA"/>
              </w:rPr>
              <w:t>Descripción NO-Conformidades</w:t>
            </w:r>
          </w:p>
        </w:tc>
      </w:tr>
      <w:tr>
        <w:trPr>
          <w:trHeight w:val="631" w:hRule="atLeast"/>
          <w:cantSplit w:val="true"/>
        </w:trPr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firstLine="18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5.15.1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8" w:space="0" w:color="000000"/>
              <w:right w:val="single" w:sz="8" w:space="0" w:color="284B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Diseño y posición adecuada para  el interruptor  de  parada para situaciones de emergencia (área del usuario)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A</w:t>
            </w:r>
          </w:p>
        </w:tc>
        <w:tc>
          <w:tcPr>
            <w:tcW w:w="1078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val="es-ES" w:bidi="ar-SA"/>
              </w:rPr>
              <w:t>{{tabla_si}}</w:t>
            </w:r>
          </w:p>
        </w:tc>
        <w:tc>
          <w:tcPr>
            <w:tcW w:w="9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8"/>
                <w:szCs w:val="18"/>
                <w:lang w:val="es-ES" w:bidi="ar-SA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firstLine="180"/>
              <w:jc w:val="left"/>
              <w:rPr/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5.15.1</w:t>
            </w:r>
          </w:p>
        </w:tc>
        <w:tc>
          <w:tcPr>
            <w:tcW w:w="3068" w:type="dxa"/>
            <w:tcBorders>
              <w:top w:val="nil"/>
              <w:left w:val="single" w:sz="8" w:space="0" w:color="2B4B5B"/>
              <w:bottom w:val="single" w:sz="8" w:space="0" w:color="000000"/>
              <w:right w:val="single" w:sz="8" w:space="0" w:color="284B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Barreras adecuadas para impedir el acceso de carros de compra y de carros de equipaje a la instalación de la  escalera mecánica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000000"/>
              <w:right w:val="single" w:sz="8" w:space="0" w:color="2B4F5B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M</w:t>
            </w:r>
          </w:p>
        </w:tc>
        <w:tc>
          <w:tcPr>
            <w:tcW w:w="10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val="es-ES" w:bidi="ar-SA"/>
              </w:rPr>
              <w:t>{{tabla_si}}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8"/>
                <w:szCs w:val="18"/>
                <w:lang w:val="es-ES" w:bidi="ar-SA"/>
              </w:rPr>
              <w:t>{{tabla_comentario}}</w:t>
            </w:r>
          </w:p>
        </w:tc>
      </w:tr>
      <w:tr>
        <w:trPr>
          <w:trHeight w:val="566" w:hRule="atLeast"/>
          <w:cantSplit w:val="true"/>
        </w:trPr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5.15.2</w:t>
            </w:r>
          </w:p>
        </w:tc>
        <w:tc>
          <w:tcPr>
            <w:tcW w:w="3068" w:type="dxa"/>
            <w:tcBorders>
              <w:top w:val="nil"/>
              <w:left w:val="single" w:sz="8" w:space="0" w:color="183848"/>
              <w:bottom w:val="single" w:sz="8" w:space="0" w:color="000000"/>
              <w:right w:val="single" w:sz="8" w:space="0" w:color="133448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left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Carritos en uso compatibles con la instalación de andén móvil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es-CL" w:eastAsia="es-CL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18"/>
                <w:szCs w:val="18"/>
                <w:lang w:val="es-CL" w:eastAsia="es-CL" w:bidi="ar-SA"/>
              </w:rPr>
              <w:t>B</w:t>
            </w:r>
          </w:p>
        </w:tc>
        <w:tc>
          <w:tcPr>
            <w:tcW w:w="107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18"/>
                <w:szCs w:val="18"/>
                <w:lang w:val="es-ES" w:bidi="ar-SA"/>
              </w:rPr>
              <w:t>{{tabla_si}}</w:t>
            </w:r>
          </w:p>
        </w:tc>
        <w:tc>
          <w:tcPr>
            <w:tcW w:w="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0"/>
                <w:szCs w:val="20"/>
                <w:lang w:bidi="ar-SA"/>
              </w:rPr>
              <w:t>{{tabla_l}}</w:t>
            </w:r>
          </w:p>
        </w:tc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bidi="ar-SA"/>
              </w:rPr>
              <w:t>({{tabla_na}})</w:t>
            </w:r>
          </w:p>
        </w:tc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both"/>
              <w:rPr>
                <w:rFonts w:ascii="Calibri" w:hAnsi="Calibri" w:cs="Arial" w:asciiTheme="minorHAnsi" w:hAnsiTheme="minorHAnsi"/>
                <w:sz w:val="18"/>
                <w:szCs w:val="18"/>
                <w:lang w:val="es-ES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8"/>
                <w:szCs w:val="18"/>
                <w:lang w:val="es-ES" w:bidi="ar-SA"/>
              </w:rPr>
              <w:t>{{tabla_comentario}}</w:t>
            </w:r>
          </w:p>
        </w:tc>
      </w:tr>
    </w:tbl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 xml:space="preserve">{{na15-2}}          </w:t>
        <w:tab/>
      </w:r>
    </w:p>
    <w:p>
      <w:pPr>
        <w:pStyle w:val="Normal"/>
        <w:widowControl w:val="false"/>
        <w:spacing w:before="0" w:after="0"/>
        <w:ind w:left="0" w:right="0" w:hanging="0"/>
        <w:rPr>
          <w:b/>
          <w:b/>
        </w:rPr>
      </w:pPr>
      <w:r>
        <w:rPr>
          <w:b/>
        </w:rPr>
        <w:tab/>
      </w:r>
    </w:p>
    <w:sectPr>
      <w:type w:val="nextPage"/>
      <w:pgSz w:w="11906" w:h="16838"/>
      <w:pgMar w:left="1418" w:right="1134" w:gutter="0" w:header="0" w:top="907" w:footer="0" w:bottom="60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069"/>
        </w:tabs>
        <w:ind w:left="1069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1501"/>
        </w:tabs>
        <w:ind w:left="1501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2149"/>
        </w:tabs>
        <w:ind w:left="1933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c5d14"/>
    <w:pPr>
      <w:widowControl/>
      <w:suppressAutoHyphens w:val="true"/>
      <w:bidi w:val="0"/>
      <w:spacing w:before="60" w:after="60"/>
      <w:ind w:firstLine="709"/>
      <w:jc w:val="both"/>
    </w:pPr>
    <w:rPr>
      <w:rFonts w:ascii="Arial" w:hAnsi="Arial" w:eastAsia="Times New Roman" w:cs="Times New Roman"/>
      <w:color w:val="auto"/>
      <w:kern w:val="0"/>
      <w:sz w:val="20"/>
      <w:szCs w:val="20"/>
      <w:lang w:val="es-419" w:eastAsia="pt-BR" w:bidi="ar-SA"/>
    </w:rPr>
  </w:style>
  <w:style w:type="paragraph" w:styleId="Heading1">
    <w:name w:val="Heading 1"/>
    <w:basedOn w:val="Normal"/>
    <w:next w:val="Normal"/>
    <w:qFormat/>
    <w:rsid w:val="00c57b46"/>
    <w:pPr>
      <w:keepNext w:val="true"/>
      <w:numPr>
        <w:ilvl w:val="0"/>
        <w:numId w:val="1"/>
      </w:numPr>
      <w:spacing w:before="120" w:after="120"/>
      <w:outlineLvl w:val="0"/>
    </w:pPr>
    <w:rPr>
      <w:b/>
      <w:smallCaps/>
      <w:sz w:val="22"/>
    </w:rPr>
  </w:style>
  <w:style w:type="paragraph" w:styleId="Heading2">
    <w:name w:val="Heading 2"/>
    <w:basedOn w:val="Normal"/>
    <w:next w:val="Normal"/>
    <w:link w:val="Ttulo2Car"/>
    <w:uiPriority w:val="99"/>
    <w:qFormat/>
    <w:rsid w:val="00c57b46"/>
    <w:pPr>
      <w:keepNext w:val="true"/>
      <w:numPr>
        <w:ilvl w:val="1"/>
        <w:numId w:val="1"/>
      </w:numPr>
      <w:outlineLvl w:val="1"/>
    </w:pPr>
    <w:rPr>
      <w:b/>
      <w:smallCaps/>
      <w:sz w:val="22"/>
    </w:rPr>
  </w:style>
  <w:style w:type="paragraph" w:styleId="Heading3">
    <w:name w:val="Heading 3"/>
    <w:basedOn w:val="Normal"/>
    <w:next w:val="Normal"/>
    <w:link w:val="Ttulo3Car"/>
    <w:qFormat/>
    <w:rsid w:val="00c57b46"/>
    <w:pPr>
      <w:keepNext w:val="true"/>
      <w:widowControl w:val="false"/>
      <w:numPr>
        <w:ilvl w:val="2"/>
        <w:numId w:val="1"/>
      </w:numPr>
      <w:outlineLvl w:val="2"/>
    </w:pPr>
    <w:rPr>
      <w:b/>
      <w:smallCaps/>
      <w:sz w:val="22"/>
    </w:rPr>
  </w:style>
  <w:style w:type="paragraph" w:styleId="Heading4">
    <w:name w:val="Heading 4"/>
    <w:basedOn w:val="Normal"/>
    <w:next w:val="Normal"/>
    <w:link w:val="Ttulo4Car"/>
    <w:qFormat/>
    <w:rsid w:val="00c57b46"/>
    <w:pPr>
      <w:keepNext w:val="true"/>
      <w:widowControl w:val="false"/>
      <w:outlineLvl w:val="3"/>
    </w:pPr>
    <w:rPr/>
  </w:style>
  <w:style w:type="paragraph" w:styleId="Heading5">
    <w:name w:val="Heading 5"/>
    <w:basedOn w:val="Normal"/>
    <w:next w:val="Normal"/>
    <w:qFormat/>
    <w:rsid w:val="00c57b46"/>
    <w:pPr>
      <w:keepNext w:val="true"/>
      <w:widowControl w:val="false"/>
      <w:jc w:val="center"/>
      <w:outlineLvl w:val="4"/>
    </w:pPr>
    <w:rPr/>
  </w:style>
  <w:style w:type="paragraph" w:styleId="Heading6">
    <w:name w:val="Heading 6"/>
    <w:basedOn w:val="Normal"/>
    <w:next w:val="Normal"/>
    <w:qFormat/>
    <w:rsid w:val="00c57b46"/>
    <w:pPr>
      <w:keepNext w:val="true"/>
      <w:widowControl w:val="false"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rsid w:val="00c57b46"/>
    <w:pPr>
      <w:keepNext w:val="true"/>
      <w:widowControl w:val="false"/>
      <w:outlineLvl w:val="6"/>
    </w:pPr>
    <w:rPr>
      <w:b/>
      <w:color w:val="000000"/>
    </w:rPr>
  </w:style>
  <w:style w:type="paragraph" w:styleId="Heading8">
    <w:name w:val="Heading 8"/>
    <w:basedOn w:val="Normal"/>
    <w:next w:val="Normal"/>
    <w:qFormat/>
    <w:rsid w:val="00c57b46"/>
    <w:pPr>
      <w:keepNext w:val="true"/>
      <w:widowControl w:val="false"/>
      <w:outlineLvl w:val="7"/>
    </w:pPr>
    <w:rPr>
      <w:color w:val="000000"/>
    </w:rPr>
  </w:style>
  <w:style w:type="paragraph" w:styleId="Heading9">
    <w:name w:val="Heading 9"/>
    <w:basedOn w:val="Normal"/>
    <w:next w:val="Normal"/>
    <w:qFormat/>
    <w:rsid w:val="00c57b46"/>
    <w:pPr>
      <w:keepNext w:val="true"/>
      <w:widowControl w:val="false"/>
      <w:outlineLvl w:val="8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rsid w:val="00c57b46"/>
    <w:rPr>
      <w:rFonts w:ascii="Arial" w:hAnsi="Arial"/>
      <w:color w:val="0000FF"/>
      <w:u w:val="single"/>
    </w:rPr>
  </w:style>
  <w:style w:type="character" w:styleId="FootnoteCharacters">
    <w:name w:val="Footnote Characters"/>
    <w:semiHidden/>
    <w:qFormat/>
    <w:rsid w:val="00c57b46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Annotationreference">
    <w:name w:val="annotation reference"/>
    <w:basedOn w:val="DefaultParagraphFont"/>
    <w:semiHidden/>
    <w:qFormat/>
    <w:rsid w:val="00c57b46"/>
    <w:rPr>
      <w:sz w:val="16"/>
      <w:szCs w:val="16"/>
    </w:rPr>
  </w:style>
  <w:style w:type="character" w:styleId="Pagenumber">
    <w:name w:val="page number"/>
    <w:basedOn w:val="DefaultParagraphFont"/>
    <w:qFormat/>
    <w:rsid w:val="00c57b46"/>
    <w:rPr/>
  </w:style>
  <w:style w:type="character" w:styleId="VisitedInternetLink">
    <w:name w:val="FollowedHyperlink"/>
    <w:basedOn w:val="DefaultParagraphFont"/>
    <w:uiPriority w:val="99"/>
    <w:rsid w:val="00c57b46"/>
    <w:rPr>
      <w:color w:val="800080"/>
      <w:u w:val="single"/>
    </w:rPr>
  </w:style>
  <w:style w:type="character" w:styleId="EncabezadoCar" w:customStyle="1">
    <w:name w:val="Encabezado Car"/>
    <w:basedOn w:val="DefaultParagraphFont"/>
    <w:link w:val="Header"/>
    <w:qFormat/>
    <w:rsid w:val="00005b11"/>
    <w:rPr>
      <w:rFonts w:ascii="Arial" w:hAnsi="Arial"/>
      <w:lang w:eastAsia="pt-BR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816f09"/>
    <w:rPr>
      <w:rFonts w:ascii="Arial" w:hAnsi="Arial"/>
      <w:sz w:val="16"/>
      <w:lang w:eastAsia="pt-BR"/>
    </w:rPr>
  </w:style>
  <w:style w:type="character" w:styleId="TextodegloboCar" w:customStyle="1">
    <w:name w:val="Texto de globo Car"/>
    <w:link w:val="BalloonText"/>
    <w:semiHidden/>
    <w:qFormat/>
    <w:rsid w:val="00b646a6"/>
    <w:rPr>
      <w:rFonts w:ascii="Tahoma" w:hAnsi="Tahoma" w:cs="Tahoma"/>
      <w:sz w:val="16"/>
      <w:szCs w:val="16"/>
      <w:lang w:val="es-419" w:eastAsia="pt-BR"/>
    </w:rPr>
  </w:style>
  <w:style w:type="character" w:styleId="Ttulo3Car" w:customStyle="1">
    <w:name w:val="Título 3 Car"/>
    <w:link w:val="Heading3"/>
    <w:qFormat/>
    <w:rsid w:val="00b646a6"/>
    <w:rPr>
      <w:rFonts w:ascii="Arial" w:hAnsi="Arial"/>
      <w:b/>
      <w:smallCaps/>
      <w:sz w:val="22"/>
      <w:lang w:val="es-419" w:eastAsia="pt-BR"/>
    </w:rPr>
  </w:style>
  <w:style w:type="character" w:styleId="Ttulo4Car" w:customStyle="1">
    <w:name w:val="Título 4 Car"/>
    <w:link w:val="Heading4"/>
    <w:qFormat/>
    <w:rsid w:val="00b646a6"/>
    <w:rPr>
      <w:rFonts w:ascii="Arial" w:hAnsi="Arial"/>
      <w:lang w:val="es-419" w:eastAsia="pt-BR"/>
    </w:rPr>
  </w:style>
  <w:style w:type="character" w:styleId="Ttulo2Car" w:customStyle="1">
    <w:name w:val="Título 2 Car"/>
    <w:basedOn w:val="DefaultParagraphFont"/>
    <w:link w:val="Heading2"/>
    <w:uiPriority w:val="99"/>
    <w:qFormat/>
    <w:locked/>
    <w:rsid w:val="00b646a6"/>
    <w:rPr>
      <w:rFonts w:ascii="Arial" w:hAnsi="Arial"/>
      <w:b/>
      <w:smallCaps/>
      <w:sz w:val="22"/>
      <w:lang w:val="es-419" w:eastAsia="pt-BR"/>
    </w:rPr>
  </w:style>
  <w:style w:type="character" w:styleId="TextocomentarioCar" w:customStyle="1">
    <w:name w:val="Texto comentario Car"/>
    <w:basedOn w:val="DefaultParagraphFont"/>
    <w:link w:val="Annotationtext"/>
    <w:semiHidden/>
    <w:qFormat/>
    <w:rsid w:val="00b44562"/>
    <w:rPr>
      <w:rFonts w:ascii="Arial" w:hAnsi="Arial"/>
      <w:lang w:val="es-419" w:eastAsia="pt-BR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sid w:val="00b44562"/>
    <w:rPr>
      <w:rFonts w:ascii="Arial" w:hAnsi="Arial"/>
      <w:b/>
      <w:bCs/>
      <w:lang w:val="es-419" w:eastAsia="pt-BR"/>
    </w:rPr>
  </w:style>
  <w:style w:type="character" w:styleId="Emphasis">
    <w:name w:val="Emphasis"/>
    <w:basedOn w:val="DefaultParagraphFont"/>
    <w:qFormat/>
    <w:rsid w:val="00f56393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rsid w:val="00c57b46"/>
    <w:pPr/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rsid w:val="00c57b4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rsid w:val="00c57b46"/>
    <w:pPr>
      <w:tabs>
        <w:tab w:val="clear" w:pos="709"/>
        <w:tab w:val="center" w:pos="4419" w:leader="none"/>
        <w:tab w:val="right" w:pos="8838" w:leader="none"/>
      </w:tabs>
      <w:spacing w:before="0" w:after="0"/>
    </w:pPr>
    <w:rPr>
      <w:sz w:val="16"/>
    </w:rPr>
  </w:style>
  <w:style w:type="paragraph" w:styleId="TextBodyIndent">
    <w:name w:val="Body Text Indent"/>
    <w:basedOn w:val="Normal"/>
    <w:rsid w:val="00c57b46"/>
    <w:pPr/>
    <w:rPr/>
  </w:style>
  <w:style w:type="paragraph" w:styleId="DocumentMap">
    <w:name w:val="Document Map"/>
    <w:basedOn w:val="Normal"/>
    <w:semiHidden/>
    <w:qFormat/>
    <w:rsid w:val="00c57b46"/>
    <w:pPr>
      <w:shd w:val="clear" w:color="auto" w:fill="000080"/>
    </w:pPr>
    <w:rPr>
      <w:rFonts w:ascii="Tahoma" w:hAnsi="Tahoma" w:cs="Tahoma"/>
    </w:rPr>
  </w:style>
  <w:style w:type="paragraph" w:styleId="Contents1">
    <w:name w:val="TOC 1"/>
    <w:basedOn w:val="Normal"/>
    <w:next w:val="Normal"/>
    <w:autoRedefine/>
    <w:semiHidden/>
    <w:rsid w:val="002a0794"/>
    <w:pPr>
      <w:tabs>
        <w:tab w:val="clear" w:pos="709"/>
        <w:tab w:val="left" w:pos="407" w:leader="none"/>
        <w:tab w:val="right" w:pos="8495" w:leader="dot"/>
      </w:tabs>
      <w:spacing w:before="120" w:after="120"/>
      <w:ind w:hanging="0"/>
      <w:jc w:val="left"/>
    </w:pPr>
    <w:rPr>
      <w:rFonts w:cs="Arial"/>
      <w:b/>
      <w:bCs/>
      <w:caps/>
      <w:sz w:val="18"/>
      <w:szCs w:val="18"/>
      <w:u w:val="single"/>
    </w:rPr>
  </w:style>
  <w:style w:type="paragraph" w:styleId="Contents2">
    <w:name w:val="TOC 2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b/>
      <w:bCs/>
      <w:smallCaps/>
      <w:szCs w:val="26"/>
    </w:rPr>
  </w:style>
  <w:style w:type="paragraph" w:styleId="Contents3">
    <w:name w:val="TOC 3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mallCaps/>
      <w:szCs w:val="26"/>
    </w:rPr>
  </w:style>
  <w:style w:type="paragraph" w:styleId="Contents4">
    <w:name w:val="TOC 4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5">
    <w:name w:val="TOC 5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6">
    <w:name w:val="TOC 6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7">
    <w:name w:val="TOC 7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8">
    <w:name w:val="TOC 8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Contents9">
    <w:name w:val="TOC 9"/>
    <w:basedOn w:val="Normal"/>
    <w:next w:val="Normal"/>
    <w:autoRedefine/>
    <w:semiHidden/>
    <w:rsid w:val="00c57b46"/>
    <w:pPr>
      <w:spacing w:before="0" w:after="0"/>
      <w:ind w:hanging="0"/>
      <w:jc w:val="left"/>
    </w:pPr>
    <w:rPr>
      <w:rFonts w:ascii="Times New Roman" w:hAnsi="Times New Roman"/>
      <w:szCs w:val="26"/>
    </w:rPr>
  </w:style>
  <w:style w:type="paragraph" w:styleId="Footnote">
    <w:name w:val="Footnote Text"/>
    <w:basedOn w:val="Normal"/>
    <w:semiHidden/>
    <w:rsid w:val="00c57b46"/>
    <w:pPr/>
    <w:rPr>
      <w:sz w:val="16"/>
    </w:rPr>
  </w:style>
  <w:style w:type="paragraph" w:styleId="Annotationtext">
    <w:name w:val="annotation text"/>
    <w:basedOn w:val="Normal"/>
    <w:link w:val="TextocomentarioCar"/>
    <w:semiHidden/>
    <w:qFormat/>
    <w:rsid w:val="00c57b46"/>
    <w:pPr/>
    <w:rPr/>
  </w:style>
  <w:style w:type="paragraph" w:styleId="BodyTextIndent2">
    <w:name w:val="Body Text Indent 2"/>
    <w:basedOn w:val="Normal"/>
    <w:qFormat/>
    <w:rsid w:val="00c57b46"/>
    <w:pPr/>
    <w:rPr>
      <w:i/>
      <w:iCs/>
      <w:color w:val="FF0000"/>
    </w:rPr>
  </w:style>
  <w:style w:type="paragraph" w:styleId="BalloonText">
    <w:name w:val="Balloon Text"/>
    <w:basedOn w:val="Normal"/>
    <w:link w:val="TextodegloboCar"/>
    <w:semiHidden/>
    <w:qFormat/>
    <w:rsid w:val="00c57b4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37ce"/>
    <w:pPr>
      <w:spacing w:before="60" w:after="60"/>
      <w:ind w:left="720" w:firstLine="709"/>
      <w:contextualSpacing/>
    </w:pPr>
    <w:rPr/>
  </w:style>
  <w:style w:type="paragraph" w:styleId="Xl65" w:customStyle="1">
    <w:name w:val="xl65"/>
    <w:basedOn w:val="Normal"/>
    <w:qFormat/>
    <w:rsid w:val="00995ade"/>
    <w:pP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66" w:customStyle="1">
    <w:name w:val="xl66"/>
    <w:basedOn w:val="Normal"/>
    <w:qFormat/>
    <w:rsid w:val="00995ade"/>
    <w:pP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7" w:customStyle="1">
    <w:name w:val="xl67"/>
    <w:basedOn w:val="Normal"/>
    <w:qFormat/>
    <w:rsid w:val="00995ade"/>
    <w:pP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68" w:customStyle="1">
    <w:name w:val="xl68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69" w:customStyle="1">
    <w:name w:val="xl6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0" w:customStyle="1">
    <w:name w:val="xl70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1" w:customStyle="1">
    <w:name w:val="xl71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2" w:customStyle="1">
    <w:name w:val="xl72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3" w:customStyle="1">
    <w:name w:val="xl7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4" w:customStyle="1">
    <w:name w:val="xl7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sz w:val="16"/>
      <w:szCs w:val="16"/>
      <w:lang w:eastAsia="es-CO"/>
    </w:rPr>
  </w:style>
  <w:style w:type="paragraph" w:styleId="Xl75" w:customStyle="1">
    <w:name w:val="xl75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6" w:customStyle="1">
    <w:name w:val="xl7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Autospacing="1" w:afterAutospacing="1"/>
      <w:ind w:hanging="0"/>
      <w:jc w:val="left"/>
    </w:pPr>
    <w:rPr>
      <w:rFonts w:ascii="Cambria" w:hAnsi="Cambria"/>
      <w:sz w:val="16"/>
      <w:szCs w:val="16"/>
      <w:lang w:eastAsia="es-CO"/>
    </w:rPr>
  </w:style>
  <w:style w:type="paragraph" w:styleId="Xl77" w:customStyle="1">
    <w:name w:val="xl7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FF0000"/>
      <w:sz w:val="16"/>
      <w:szCs w:val="16"/>
      <w:lang w:eastAsia="es-CO"/>
    </w:rPr>
  </w:style>
  <w:style w:type="paragraph" w:styleId="Xl78" w:customStyle="1">
    <w:name w:val="xl7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79" w:customStyle="1">
    <w:name w:val="xl79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0" w:customStyle="1">
    <w:name w:val="xl80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1" w:customStyle="1">
    <w:name w:val="xl81"/>
    <w:basedOn w:val="Normal"/>
    <w:qFormat/>
    <w:rsid w:val="00995ade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2" w:customStyle="1">
    <w:name w:val="xl82"/>
    <w:basedOn w:val="Normal"/>
    <w:qFormat/>
    <w:rsid w:val="00995ade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3" w:customStyle="1">
    <w:name w:val="xl83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84" w:customStyle="1">
    <w:name w:val="xl84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</w:pPr>
    <w:rPr>
      <w:rFonts w:ascii="Cambria" w:hAnsi="Cambria"/>
      <w:b/>
      <w:bCs/>
      <w:sz w:val="16"/>
      <w:szCs w:val="16"/>
      <w:lang w:eastAsia="es-CO"/>
    </w:rPr>
  </w:style>
  <w:style w:type="paragraph" w:styleId="Xl85" w:customStyle="1">
    <w:name w:val="xl85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6" w:customStyle="1">
    <w:name w:val="xl86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376091"/>
      <w:sz w:val="16"/>
      <w:szCs w:val="16"/>
      <w:lang w:eastAsia="es-CO"/>
    </w:rPr>
  </w:style>
  <w:style w:type="paragraph" w:styleId="Xl87" w:customStyle="1">
    <w:name w:val="xl87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8" w:customStyle="1">
    <w:name w:val="xl88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left"/>
    </w:pPr>
    <w:rPr>
      <w:rFonts w:ascii="Cambria" w:hAnsi="Cambria"/>
      <w:color w:val="E46D0A"/>
      <w:sz w:val="16"/>
      <w:szCs w:val="16"/>
      <w:lang w:eastAsia="es-CO"/>
    </w:rPr>
  </w:style>
  <w:style w:type="paragraph" w:styleId="Xl89" w:customStyle="1">
    <w:name w:val="xl89"/>
    <w:basedOn w:val="Normal"/>
    <w:qFormat/>
    <w:rsid w:val="00995ade"/>
    <w:pPr>
      <w:pBdr>
        <w:left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Xl90" w:customStyle="1">
    <w:name w:val="xl90"/>
    <w:basedOn w:val="Normal"/>
    <w:qFormat/>
    <w:rsid w:val="00995ade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1" w:customStyle="1">
    <w:name w:val="xl91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2" w:customStyle="1">
    <w:name w:val="xl92"/>
    <w:basedOn w:val="Normal"/>
    <w:qFormat/>
    <w:rsid w:val="00995ade"/>
    <w:pPr>
      <w:pBdr>
        <w:top w:val="single" w:sz="8" w:space="0" w:color="000000"/>
        <w:left w:val="single" w:sz="4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3" w:customStyle="1">
    <w:name w:val="xl93"/>
    <w:basedOn w:val="Normal"/>
    <w:qFormat/>
    <w:rsid w:val="00995ade"/>
    <w:pPr>
      <w:pBdr>
        <w:top w:val="single" w:sz="8" w:space="0" w:color="000000"/>
        <w:bottom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4" w:customStyle="1">
    <w:name w:val="xl94"/>
    <w:basedOn w:val="Normal"/>
    <w:qFormat/>
    <w:rsid w:val="00995ade"/>
    <w:pPr>
      <w:pBdr>
        <w:top w:val="single" w:sz="8" w:space="0" w:color="000000"/>
        <w:bottom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5" w:customStyle="1">
    <w:name w:val="xl95"/>
    <w:basedOn w:val="Normal"/>
    <w:qFormat/>
    <w:rsid w:val="00995ade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6" w:customStyle="1">
    <w:name w:val="xl96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center"/>
      <w:textAlignment w:val="center"/>
    </w:pPr>
    <w:rPr>
      <w:rFonts w:ascii="Cambria" w:hAnsi="Cambria"/>
      <w:b/>
      <w:bCs/>
      <w:sz w:val="18"/>
      <w:szCs w:val="18"/>
      <w:lang w:eastAsia="es-CO"/>
    </w:rPr>
  </w:style>
  <w:style w:type="paragraph" w:styleId="Xl97" w:customStyle="1">
    <w:name w:val="xl97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8" w:customStyle="1">
    <w:name w:val="xl98"/>
    <w:basedOn w:val="Normal"/>
    <w:qFormat/>
    <w:rsid w:val="00995ade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000000" w:fill="B8CCE4"/>
      <w:spacing w:beforeAutospacing="1" w:afterAutospacing="1"/>
      <w:ind w:hanging="0"/>
      <w:jc w:val="left"/>
      <w:textAlignment w:val="center"/>
    </w:pPr>
    <w:rPr>
      <w:rFonts w:ascii="Cambria" w:hAnsi="Cambria"/>
      <w:sz w:val="18"/>
      <w:szCs w:val="18"/>
      <w:lang w:eastAsia="es-CO"/>
    </w:rPr>
  </w:style>
  <w:style w:type="paragraph" w:styleId="Xl99" w:customStyle="1">
    <w:name w:val="xl99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0" w:customStyle="1">
    <w:name w:val="xl100"/>
    <w:basedOn w:val="Normal"/>
    <w:qFormat/>
    <w:rsid w:val="00995ade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color w:val="376091"/>
      <w:sz w:val="16"/>
      <w:szCs w:val="16"/>
      <w:lang w:eastAsia="es-CO"/>
    </w:rPr>
  </w:style>
  <w:style w:type="paragraph" w:styleId="Xl101" w:customStyle="1">
    <w:name w:val="xl101"/>
    <w:basedOn w:val="Normal"/>
    <w:qFormat/>
    <w:rsid w:val="00995ade"/>
    <w:pPr>
      <w:pBdr>
        <w:left w:val="single" w:sz="8" w:space="0" w:color="000000"/>
        <w:right w:val="single" w:sz="4" w:space="0" w:color="000000"/>
      </w:pBdr>
      <w:spacing w:beforeAutospacing="1" w:afterAutospacing="1"/>
      <w:ind w:hanging="0"/>
      <w:jc w:val="left"/>
      <w:textAlignment w:val="center"/>
    </w:pPr>
    <w:rPr>
      <w:rFonts w:ascii="Cambria" w:hAnsi="Cambria"/>
      <w:sz w:val="16"/>
      <w:szCs w:val="16"/>
      <w:lang w:eastAsia="es-CO"/>
    </w:rPr>
  </w:style>
  <w:style w:type="paragraph" w:styleId="Xl102" w:customStyle="1">
    <w:name w:val="xl102"/>
    <w:basedOn w:val="Normal"/>
    <w:qFormat/>
    <w:rsid w:val="00995ade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ind w:hanging="0"/>
      <w:jc w:val="center"/>
      <w:textAlignment w:val="center"/>
    </w:pPr>
    <w:rPr>
      <w:rFonts w:ascii="Cambria" w:hAnsi="Cambria"/>
      <w:sz w:val="16"/>
      <w:szCs w:val="16"/>
      <w:lang w:eastAsia="es-CO"/>
    </w:rPr>
  </w:style>
  <w:style w:type="paragraph" w:styleId="Caption1">
    <w:name w:val="caption"/>
    <w:basedOn w:val="Normal"/>
    <w:next w:val="Normal"/>
    <w:unhideWhenUsed/>
    <w:qFormat/>
    <w:rsid w:val="002c646f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Annotationsubject">
    <w:name w:val="annotation subject"/>
    <w:basedOn w:val="Annotationtext"/>
    <w:next w:val="Annotationtext"/>
    <w:link w:val="AsuntodelcomentarioCar"/>
    <w:semiHidden/>
    <w:unhideWhenUsed/>
    <w:qFormat/>
    <w:rsid w:val="00b44562"/>
    <w:pPr/>
    <w:rPr>
      <w:b/>
      <w:bCs/>
    </w:rPr>
  </w:style>
  <w:style w:type="paragraph" w:styleId="Default" w:customStyle="1">
    <w:name w:val="Default"/>
    <w:qFormat/>
    <w:rsid w:val="00ec6ff7"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Calibri"/>
      <w:color w:val="000000"/>
      <w:kern w:val="0"/>
      <w:sz w:val="24"/>
      <w:szCs w:val="24"/>
      <w:lang w:val="es-CL"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Estilo1" w:customStyle="1">
    <w:name w:val="Estilo1"/>
    <w:qFormat/>
    <w:rsid w:val="00347171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7937a1"/>
    <w:pPr>
      <w:spacing w:before="60" w:after="6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8">
    <w:name w:val="Table Grid 8"/>
    <w:basedOn w:val="Tablanormal"/>
    <w:rsid w:val="008521e8"/>
    <w:pPr>
      <w:spacing w:before="60" w:after="6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EA066-7712-472A-8086-38115E07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LibreOffice/7.4.7.2$Linux_X86_64 LibreOffice_project/40$Build-2</Application>
  <AppVersion>15.0000</AppVersion>
  <Pages>8</Pages>
  <Words>1616</Words>
  <Characters>12129</Characters>
  <CharactersWithSpaces>13342</CharactersWithSpaces>
  <Paragraphs>733</Paragraphs>
  <Company>UCIEE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2024-05-14T19:55:00Z</dcterms:created>
  <dc:creator>ICD</dc:creator>
  <dc:description/>
  <dc:language>en-US</dc:language>
  <cp:lastModifiedBy/>
  <cp:lastPrinted>2024-03-31T13:27:00Z</cp:lastPrinted>
  <dcterms:modified xsi:type="dcterms:W3CDTF">2026-07-28T16:31:10Z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ActionId">
    <vt:lpwstr>ec039139-d876-4c32-b819-c7467dc1c04d</vt:lpwstr>
  </property>
  <property fmtid="{D5CDD505-2E9C-101B-9397-08002B2CF9AE}" pid="3" name="MSIP_Label_d3d538fd-7cd2-4b8b-bd42-f6ee8cc1e568_ContentBits">
    <vt:lpwstr>0</vt:lpwstr>
  </property>
  <property fmtid="{D5CDD505-2E9C-101B-9397-08002B2CF9AE}" pid="4" name="MSIP_Label_d3d538fd-7cd2-4b8b-bd42-f6ee8cc1e568_Enabled">
    <vt:lpwstr>true</vt:lpwstr>
  </property>
  <property fmtid="{D5CDD505-2E9C-101B-9397-08002B2CF9AE}" pid="5" name="MSIP_Label_d3d538fd-7cd2-4b8b-bd42-f6ee8cc1e568_Method">
    <vt:lpwstr>Standard</vt:lpwstr>
  </property>
  <property fmtid="{D5CDD505-2E9C-101B-9397-08002B2CF9AE}" pid="6" name="MSIP_Label_d3d538fd-7cd2-4b8b-bd42-f6ee8cc1e568_Name">
    <vt:lpwstr>d3d538fd-7cd2-4b8b-bd42-f6ee8cc1e568</vt:lpwstr>
  </property>
  <property fmtid="{D5CDD505-2E9C-101B-9397-08002B2CF9AE}" pid="7" name="MSIP_Label_d3d538fd-7cd2-4b8b-bd42-f6ee8cc1e568_SetDate">
    <vt:lpwstr>2021-07-22T15:38:53Z</vt:lpwstr>
  </property>
  <property fmtid="{D5CDD505-2E9C-101B-9397-08002B2CF9AE}" pid="8" name="MSIP_Label_d3d538fd-7cd2-4b8b-bd42-f6ee8cc1e568_SiteId">
    <vt:lpwstr>255bd3b3-8412-4e31-a3ec-56916c7ae8c0</vt:lpwstr>
  </property>
</Properties>
</file>