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2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{{normas_de_referencia}}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2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 y montacargas Eléctricos/Hidráulicos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bookmarkStart w:id="0" w:name="__DdeLink__1401_940945877"/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  <w:bookmarkEnd w:id="0"/>
    </w:p>
    <w:tbl>
      <w:tblPr>
        <w:tblStyle w:val="Tablaconcuadrcula"/>
        <w:tblW w:w="9493" w:type="dxa"/>
        <w:jc w:val="left"/>
        <w:tblInd w:w="1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1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Graves: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Graves: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1" w:name="__DdeLink__1404_940945877"/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{{revision_past_errors_graves}}</w:t>
            </w:r>
            <w:bookmarkEnd w:id="1"/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6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{{if_viejo}}</w:t>
      </w:r>
    </w:p>
    <w:p>
      <w:pPr>
        <w:pStyle w:val="Normal"/>
        <w:bidi w:val="0"/>
        <w:ind w:hanging="0"/>
        <w:jc w:val="left"/>
        <w:rPr>
          <w:rFonts w:ascii="Aptos Narrow" w:hAnsi="Aptos Narrow"/>
          <w:i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</w:pPr>
      <w:r>
        <w:rPr>
          <w:b/>
          <w:bCs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W w:w="11261" w:type="dxa"/>
        <w:jc w:val="left"/>
        <w:tblInd w:w="-96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4"/>
        <w:gridCol w:w="1613"/>
        <w:gridCol w:w="3148"/>
        <w:gridCol w:w="900"/>
        <w:gridCol w:w="1000"/>
        <w:gridCol w:w="899"/>
        <w:gridCol w:w="3226"/>
      </w:tblGrid>
      <w:tr>
        <w:trPr>
          <w:tblHeader w:val="true"/>
          <w:trHeight w:val="490" w:hRule="atLeast"/>
          <w:cantSplit w:val="true"/>
        </w:trPr>
        <w:tc>
          <w:tcPr>
            <w:tcW w:w="2087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shd w:fill="DDDDDD" w:val="clear"/>
            <w:vAlign w:val="center"/>
          </w:tcPr>
          <w:p>
            <w:pPr>
              <w:pStyle w:val="Normal"/>
              <w:bidi w:val="0"/>
              <w:spacing w:before="60" w:after="60"/>
              <w:ind w:hanging="0"/>
              <w:jc w:val="left"/>
              <w:rPr>
                <w:rFonts w:ascii="Arial" w:hAnsi="Arial"/>
                <w:b/>
                <w:b/>
                <w:bCs/>
                <w:sz w:val="18"/>
                <w:szCs w:val="18"/>
              </w:rPr>
            </w:pPr>
            <w:r>
              <w:rPr>
                <w:rFonts w:ascii="Arial" w:hAnsi="Arial"/>
                <w:b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</w:t>
            </w:r>
            <w:r>
              <w:rPr>
                <w:rFonts w:ascii="Arial" w:hAnsi="Arial"/>
                <w:b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Ley N.º 20.422</w:t>
            </w:r>
          </w:p>
        </w:tc>
        <w:tc>
          <w:tcPr>
            <w:tcW w:w="9173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</w:r>
          </w:p>
        </w:tc>
      </w:tr>
      <w:tr>
        <w:trPr>
          <w:tblHeader w:val="true"/>
          <w:trHeight w:val="490" w:hRule="atLeast"/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Nº</w:t>
            </w:r>
          </w:p>
        </w:tc>
        <w:tc>
          <w:tcPr>
            <w:tcW w:w="1613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Elemento / condición a verificar</w:t>
            </w:r>
          </w:p>
        </w:tc>
        <w:tc>
          <w:tcPr>
            <w:tcW w:w="3148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Criterio de verificación</w:t>
            </w:r>
          </w:p>
        </w:tc>
        <w:tc>
          <w:tcPr>
            <w:tcW w:w="900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 w:val="18"/>
                <w:szCs w:val="18"/>
              </w:rPr>
              <w:t>Cumple</w:t>
            </w:r>
          </w:p>
        </w:tc>
        <w:tc>
          <w:tcPr>
            <w:tcW w:w="1000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uppressLineNumbers/>
              <w:tabs>
                <w:tab w:val="clear" w:pos="709"/>
                <w:tab w:val="left" w:pos="0" w:leader="none"/>
              </w:tabs>
              <w:suppressAutoHyphens w:val="true"/>
              <w:bidi w:val="0"/>
              <w:spacing w:before="60" w:after="60"/>
              <w:ind w:left="-89" w:right="-89" w:hanging="0"/>
              <w:jc w:val="center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 w:val="16"/>
                <w:szCs w:val="16"/>
              </w:rPr>
              <w:t>No   Implementado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N/A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B8CCE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Cs w:val="false"/>
                <w:iCs w:val="false"/>
                <w:sz w:val="20"/>
                <w:szCs w:val="20"/>
              </w:rPr>
              <w:t>Observaciones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eastAsia="Times New Roman" w:cs="Arial" w:ascii="Calibri" w:hAnsi="Calibri"/>
                <w:bCs w:val="false"/>
                <w:iCs w:val="false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1613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Ruta accesible y área de aproximación</w:t>
            </w:r>
          </w:p>
        </w:tc>
        <w:tc>
          <w:tcPr>
            <w:tcW w:w="3148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Ascensor conectado a la ruta accesible, cuando corresponda. Área frente al ascensor mínimo 1,50 × 1,50 m y ancho frente a puerta no menor que la profundidad de la cabina.</w:t>
            </w:r>
          </w:p>
        </w:tc>
        <w:tc>
          <w:tcPr>
            <w:tcW w:w="90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{{inc_1_cumple}}</w:t>
            </w:r>
          </w:p>
        </w:tc>
        <w:tc>
          <w:tcPr>
            <w:tcW w:w="100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{{inc_1_no}}</w:t>
            </w:r>
          </w:p>
        </w:tc>
        <w:tc>
          <w:tcPr>
            <w:tcW w:w="89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{{inc_1_na}}</w:t>
            </w:r>
          </w:p>
        </w:tc>
        <w:tc>
          <w:tcPr>
            <w:tcW w:w="3226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{{inc_1_obs}}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2</w:t>
            </w:r>
          </w:p>
        </w:tc>
        <w:tc>
          <w:tcPr>
            <w:tcW w:w="1613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Panel de comando: ubicación</w:t>
            </w:r>
          </w:p>
        </w:tc>
        <w:tc>
          <w:tcPr>
            <w:tcW w:w="314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Botones/sistemas de activación entre 0,90 y 1,20 m de altura y a mínimo 0,40 m del vértice interior de la cabina.</w:t>
            </w:r>
          </w:p>
        </w:tc>
        <w:tc>
          <w:tcPr>
            <w:tcW w:w="9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{{inc_2_cumple}}</w:t>
            </w:r>
          </w:p>
        </w:tc>
        <w:tc>
          <w:tcPr>
            <w:tcW w:w="10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{{inc_2_no}}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{{inc_2_na}}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{{inc_2_obs}}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3</w:t>
            </w:r>
          </w:p>
        </w:tc>
        <w:tc>
          <w:tcPr>
            <w:tcW w:w="1613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Botones de comando</w:t>
            </w:r>
          </w:p>
        </w:tc>
        <w:tc>
          <w:tcPr>
            <w:tcW w:w="314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Botones de numeración con diámetro mínimo 2 cm, en sobrerrelieve, con contraste de color y numeración Braille alineada lateralmente.</w:t>
            </w:r>
          </w:p>
        </w:tc>
        <w:tc>
          <w:tcPr>
            <w:tcW w:w="9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{{inc_3_cumple}}</w:t>
            </w:r>
          </w:p>
        </w:tc>
        <w:tc>
          <w:tcPr>
            <w:tcW w:w="10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{{inc_3_no}}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{{inc_3_na}}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{{inc_3_obs}}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4</w:t>
            </w:r>
          </w:p>
        </w:tc>
        <w:tc>
          <w:tcPr>
            <w:tcW w:w="1613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Pasamano</w:t>
            </w:r>
          </w:p>
        </w:tc>
        <w:tc>
          <w:tcPr>
            <w:tcW w:w="314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Pasamano en al menos una pared lateral, en todo su largo cuando corresponda; diámetro 3,5–5 cm, separación de la pared ≥ 3,5 cm y altura 0,90 m.</w:t>
            </w:r>
          </w:p>
        </w:tc>
        <w:tc>
          <w:tcPr>
            <w:tcW w:w="9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{{inc_4_cumple}}</w:t>
            </w:r>
          </w:p>
        </w:tc>
        <w:tc>
          <w:tcPr>
            <w:tcW w:w="10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{{inc_4_no}}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{{inc_4_na}}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{{inc_4_obs}}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5</w:t>
            </w:r>
          </w:p>
        </w:tc>
        <w:tc>
          <w:tcPr>
            <w:tcW w:w="1613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Pasamano en cabinas &gt; 2 m</w:t>
            </w:r>
          </w:p>
        </w:tc>
        <w:tc>
          <w:tcPr>
            <w:tcW w:w="314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Cuando el ancho de cabina sea superior a 2 m, pasamano instalado en al menos dos paredes.</w:t>
            </w:r>
          </w:p>
        </w:tc>
        <w:tc>
          <w:tcPr>
            <w:tcW w:w="9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{{inc_5_cumple}}</w:t>
            </w:r>
          </w:p>
        </w:tc>
        <w:tc>
          <w:tcPr>
            <w:tcW w:w="10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{{inc_5_no}}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{{inc_5_na}}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{{inc_5_obs}}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6</w:t>
            </w:r>
          </w:p>
        </w:tc>
        <w:tc>
          <w:tcPr>
            <w:tcW w:w="1613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Espejo o dispositivo de retrovisión</w:t>
            </w:r>
          </w:p>
        </w:tc>
        <w:tc>
          <w:tcPr>
            <w:tcW w:w="314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Cuando por las dimensiones de la cabina una persona en silla de ruedas no pueda girar, debe existir espejo u otro dispositivo que permita observar obstáculos al retroceder. Si es espejo: inastillable e instalado desde 0,30 m de altura.</w:t>
            </w:r>
          </w:p>
        </w:tc>
        <w:tc>
          <w:tcPr>
            <w:tcW w:w="9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{{inc_6_cumple}}</w:t>
            </w:r>
          </w:p>
        </w:tc>
        <w:tc>
          <w:tcPr>
            <w:tcW w:w="10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{{inc_6_no}}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{{inc_6_na}}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{{inc_6_obs}}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/>
                <w:iCs w:val="false"/>
                <w:szCs w:val="24"/>
                <w:lang w:val="es-ES"/>
              </w:rPr>
              <w:t>7</w:t>
            </w:r>
          </w:p>
        </w:tc>
        <w:tc>
          <w:tcPr>
            <w:tcW w:w="1613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/>
                <w:bCs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/>
                <w:iCs w:val="false"/>
                <w:color w:val="000000"/>
                <w:szCs w:val="24"/>
              </w:rPr>
              <w:t>Señal audible y tiempo de detención</w:t>
            </w:r>
          </w:p>
        </w:tc>
        <w:tc>
          <w:tcPr>
            <w:tcW w:w="314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/>
                <w:bCs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Cs/>
                <w:iCs w:val="false"/>
                <w:color w:val="000000"/>
                <w:szCs w:val="24"/>
              </w:rPr>
              <w:t>Señal audible indicando el número de piso en cada parada y tiempo de detención suficiente para permitir el paso de personas en silla de ruedas, con discapacidad visual o movilidad reducida.</w:t>
            </w:r>
          </w:p>
        </w:tc>
        <w:tc>
          <w:tcPr>
            <w:tcW w:w="9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/>
                <w:iCs w:val="false"/>
                <w:szCs w:val="24"/>
                <w:lang w:val="es-ES"/>
              </w:rPr>
              <w:t>{{inc_7_cumple}}</w:t>
            </w:r>
          </w:p>
        </w:tc>
        <w:tc>
          <w:tcPr>
            <w:tcW w:w="1000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/>
                <w:iCs w:val="false"/>
                <w:szCs w:val="24"/>
                <w:lang w:val="es-ES"/>
              </w:rPr>
              <w:t>{{inc_7_no}}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/>
                <w:iCs w:val="false"/>
                <w:szCs w:val="24"/>
                <w:lang w:val="es-ES"/>
              </w:rPr>
              <w:t>{{inc_7_na}}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/>
                <w:iCs w:val="false"/>
                <w:szCs w:val="24"/>
                <w:lang w:val="es-ES"/>
              </w:rPr>
              <w:t>{{inc_7_obs}}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ALCANCE Y RESULTADO DEL LEVANTAMIENTO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De acuerdo con la inspección realizada, se verificó el estado de implementación de las condiciones de accesibilidad aplicables al ascensor, conforme a los requisitos establecidos en el Decreto Supremo N.º 50 de 2015, que modifica la Ordenanza General de Urbanismo y Construcciones en materia de accesibilidad universal, en el marco de la Ley N.º 20.422.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{{inc_conclusion}}</w:t>
      </w:r>
    </w:p>
    <w:p>
      <w:pPr>
        <w:pStyle w:val="Normal"/>
        <w:rPr/>
      </w:pPr>
      <w:r>
        <w:rPr/>
      </w:r>
    </w:p>
    <w:p>
      <w:pPr>
        <w:pStyle w:val="Normal"/>
        <w:spacing w:before="60" w:after="60"/>
        <w:rPr/>
      </w:pPr>
      <w:r>
        <w:rPr/>
        <w:t>El presente levantamiento tiene carácter informativo y de verificación de las condiciones observadas al momento de la inspección, y no constituye por sí mismo un pronunciamiento respecto de la certificación del ascensor ni reemplaza las atribuciones de los organismos competentes en materia de fiscalización de las normas de accesibilidad.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Aptos Narrow">
    <w:charset w:val="01"/>
    <w:family w:val="roman"/>
    <w:pitch w:val="variable"/>
  </w:font>
  <w:font w:name="Arial">
    <w:charset w:val="01"/>
    <w:family w:val="swiss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64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719075823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406953375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6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6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embedSystem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</TotalTime>
  <Application>LibreOffice/7.4.7.2$Linux_X86_64 LibreOffice_project/40$Build-2</Application>
  <AppVersion>15.0000</AppVersion>
  <Pages>6</Pages>
  <Words>1020</Words>
  <Characters>7555</Characters>
  <CharactersWithSpaces>8538</CharactersWithSpaces>
  <Paragraphs>274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2026-10-20T17:34:09Z</dcterms:modified>
  <cp:revision>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